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8B295" w14:textId="1D95D942" w:rsidR="00AE4EA7" w:rsidRDefault="007F605E">
      <w:pPr>
        <w:pStyle w:val="Titel"/>
      </w:pPr>
      <w:r>
        <w:t>Praxishilfe zur Anonymisierung/Pseudonymisierung</w:t>
      </w:r>
    </w:p>
    <w:p w14:paraId="5DC7F557" w14:textId="77777777" w:rsidR="00AE4EA7" w:rsidRDefault="00AE4EA7"/>
    <w:p w14:paraId="3524D585" w14:textId="77777777" w:rsidR="00B537FB" w:rsidRDefault="00B537FB"/>
    <w:p w14:paraId="5B1BE412" w14:textId="66F03135" w:rsidR="00AE4EA7" w:rsidRDefault="00000000">
      <w:pPr>
        <w:rPr>
          <w:rFonts w:cs="Arial"/>
          <w:sz w:val="24"/>
          <w:szCs w:val="24"/>
        </w:rPr>
      </w:pPr>
      <w:r>
        <w:rPr>
          <w:rFonts w:cs="Arial"/>
          <w:sz w:val="24"/>
          <w:szCs w:val="24"/>
        </w:rPr>
        <w:t>Erarbeitet von</w:t>
      </w:r>
      <w:r w:rsidR="00971658">
        <w:rPr>
          <w:rFonts w:cs="Arial"/>
          <w:sz w:val="24"/>
          <w:szCs w:val="24"/>
        </w:rPr>
        <w:t xml:space="preserve"> Mitgliedern aus den nachfolgend genannten </w:t>
      </w:r>
      <w:r w:rsidR="00971658" w:rsidRPr="004832F9">
        <w:rPr>
          <w:rFonts w:cs="Arial"/>
          <w:sz w:val="24"/>
          <w:szCs w:val="24"/>
        </w:rPr>
        <w:t>Verbänden</w:t>
      </w:r>
    </w:p>
    <w:p w14:paraId="58095BBB" w14:textId="77777777" w:rsidR="00AE4EA7" w:rsidRDefault="00AE4EA7">
      <w:pPr>
        <w:rPr>
          <w:rFonts w:cs="Arial"/>
          <w:sz w:val="24"/>
          <w:szCs w:val="28"/>
        </w:rPr>
      </w:pPr>
    </w:p>
    <w:p w14:paraId="7A1102ED" w14:textId="77777777" w:rsidR="00AE4EA7" w:rsidRDefault="00000000">
      <w:pPr>
        <w:rPr>
          <w:rFonts w:cs="Arial"/>
          <w:sz w:val="24"/>
          <w:szCs w:val="28"/>
        </w:rPr>
      </w:pPr>
      <w:r>
        <w:rPr>
          <w:rFonts w:cs="Arial"/>
          <w:noProof/>
          <w:sz w:val="24"/>
          <w:szCs w:val="28"/>
        </w:rPr>
        <w:drawing>
          <wp:anchor distT="0" distB="0" distL="114300" distR="114300" simplePos="0" relativeHeight="2" behindDoc="0" locked="0" layoutInCell="0" allowOverlap="1" wp14:anchorId="6E21DE0A" wp14:editId="24501727">
            <wp:simplePos x="0" y="0"/>
            <wp:positionH relativeFrom="column">
              <wp:posOffset>3957955</wp:posOffset>
            </wp:positionH>
            <wp:positionV relativeFrom="paragraph">
              <wp:posOffset>235585</wp:posOffset>
            </wp:positionV>
            <wp:extent cx="1990725" cy="657225"/>
            <wp:effectExtent l="0" t="0" r="0" b="0"/>
            <wp:wrapTight wrapText="bothSides">
              <wp:wrapPolygon edited="0">
                <wp:start x="-13" y="0"/>
                <wp:lineTo x="-13" y="21256"/>
                <wp:lineTo x="21484" y="21256"/>
                <wp:lineTo x="21484" y="0"/>
                <wp:lineTo x="-13" y="0"/>
              </wp:wrapPolygon>
            </wp:wrapTight>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pic:cNvPicPr>
                      <a:picLocks noChangeAspect="1" noChangeArrowheads="1"/>
                    </pic:cNvPicPr>
                  </pic:nvPicPr>
                  <pic:blipFill>
                    <a:blip r:embed="rId8"/>
                    <a:stretch>
                      <a:fillRect/>
                    </a:stretch>
                  </pic:blipFill>
                  <pic:spPr bwMode="auto">
                    <a:xfrm>
                      <a:off x="0" y="0"/>
                      <a:ext cx="1990725" cy="657225"/>
                    </a:xfrm>
                    <a:prstGeom prst="rect">
                      <a:avLst/>
                    </a:prstGeom>
                  </pic:spPr>
                </pic:pic>
              </a:graphicData>
            </a:graphic>
          </wp:anchor>
        </w:drawing>
      </w:r>
    </w:p>
    <w:p w14:paraId="79AA30CF" w14:textId="77777777" w:rsidR="00AE4EA7" w:rsidRDefault="00000000">
      <w:pPr>
        <w:spacing w:after="0"/>
        <w:jc w:val="left"/>
        <w:rPr>
          <w:rFonts w:cs="Arial"/>
          <w:sz w:val="24"/>
          <w:szCs w:val="28"/>
        </w:rPr>
      </w:pPr>
      <w:r>
        <w:rPr>
          <w:rFonts w:cs="Arial"/>
          <w:sz w:val="24"/>
          <w:szCs w:val="28"/>
        </w:rPr>
        <w:t xml:space="preserve">Deutsche Gesellschaft für </w:t>
      </w:r>
      <w:r w:rsidRPr="004832F9">
        <w:rPr>
          <w:rFonts w:cs="Arial"/>
          <w:sz w:val="24"/>
          <w:szCs w:val="28"/>
        </w:rPr>
        <w:t>Medizinische</w:t>
      </w:r>
      <w:r>
        <w:rPr>
          <w:rFonts w:cs="Arial"/>
          <w:sz w:val="24"/>
          <w:szCs w:val="28"/>
        </w:rPr>
        <w:t xml:space="preserve"> Informatik, Biometrie und Epidemiologie e. V. (GMDS)</w:t>
      </w:r>
    </w:p>
    <w:p w14:paraId="111F7900" w14:textId="77777777" w:rsidR="00AE4EA7" w:rsidRDefault="00000000">
      <w:pPr>
        <w:jc w:val="left"/>
        <w:rPr>
          <w:rFonts w:cs="Arial"/>
          <w:sz w:val="24"/>
          <w:szCs w:val="28"/>
        </w:rPr>
      </w:pPr>
      <w:r>
        <w:rPr>
          <w:rFonts w:cs="Arial"/>
          <w:sz w:val="24"/>
          <w:szCs w:val="28"/>
        </w:rPr>
        <w:t>Arbeitsgruppe „Datenschutz und IT-Sicherheit im Gesundheitswesen“</w:t>
      </w:r>
    </w:p>
    <w:p w14:paraId="7E9254EB" w14:textId="6F0D3D7D" w:rsidR="00971658" w:rsidRDefault="00971658" w:rsidP="00971658"/>
    <w:p w14:paraId="4ED0BA99" w14:textId="0568ECD6" w:rsidR="00971658" w:rsidRDefault="00971658" w:rsidP="00971658"/>
    <w:p w14:paraId="389369E8" w14:textId="4F55065A" w:rsidR="00971658" w:rsidRDefault="00971658" w:rsidP="00971658">
      <w:pPr>
        <w:rPr>
          <w:rFonts w:cs="Arial"/>
          <w:szCs w:val="28"/>
        </w:rPr>
      </w:pPr>
      <w:r>
        <w:rPr>
          <w:rFonts w:cs="Arial"/>
          <w:noProof/>
          <w:szCs w:val="28"/>
          <w:lang w:eastAsia="de-DE"/>
        </w:rPr>
        <w:drawing>
          <wp:anchor distT="0" distB="0" distL="114300" distR="114300" simplePos="0" relativeHeight="251655680" behindDoc="1" locked="0" layoutInCell="1" allowOverlap="1" wp14:anchorId="28834752" wp14:editId="4A0E4B13">
            <wp:simplePos x="0" y="0"/>
            <wp:positionH relativeFrom="column">
              <wp:posOffset>4280535</wp:posOffset>
            </wp:positionH>
            <wp:positionV relativeFrom="paragraph">
              <wp:posOffset>28575</wp:posOffset>
            </wp:positionV>
            <wp:extent cx="1557655" cy="972820"/>
            <wp:effectExtent l="0" t="0" r="0" b="0"/>
            <wp:wrapTight wrapText="bothSides">
              <wp:wrapPolygon edited="0">
                <wp:start x="2906" y="4230"/>
                <wp:lineTo x="2642" y="19034"/>
                <wp:lineTo x="19284" y="19034"/>
                <wp:lineTo x="19284" y="4230"/>
                <wp:lineTo x="2906" y="423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7655"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2B975" w14:textId="6F9C6ED1" w:rsidR="00971658" w:rsidRDefault="00971658" w:rsidP="00971658">
      <w:pPr>
        <w:rPr>
          <w:rFonts w:cs="Arial"/>
          <w:szCs w:val="28"/>
        </w:rPr>
      </w:pPr>
      <w:r>
        <w:rPr>
          <w:rFonts w:cs="Arial"/>
          <w:szCs w:val="28"/>
        </w:rPr>
        <w:t>Berufsverband der Datenschutzbeauftragten Deutschlands (BvD) e. V.</w:t>
      </w:r>
    </w:p>
    <w:p w14:paraId="0D1A0A72" w14:textId="7DA2A748" w:rsidR="00AE4EA7" w:rsidRDefault="00AE4EA7">
      <w:pPr>
        <w:rPr>
          <w:rFonts w:cs="Arial"/>
          <w:sz w:val="24"/>
          <w:szCs w:val="24"/>
        </w:rPr>
      </w:pPr>
    </w:p>
    <w:p w14:paraId="42338399" w14:textId="4BD35A79" w:rsidR="00971658" w:rsidRDefault="00971658">
      <w:pPr>
        <w:rPr>
          <w:rFonts w:cs="Arial"/>
          <w:sz w:val="24"/>
          <w:szCs w:val="24"/>
        </w:rPr>
      </w:pPr>
    </w:p>
    <w:p w14:paraId="4017B121" w14:textId="0BE19D57" w:rsidR="00971658" w:rsidRDefault="00201F22">
      <w:pPr>
        <w:rPr>
          <w:rFonts w:cs="Arial"/>
          <w:sz w:val="24"/>
          <w:szCs w:val="24"/>
        </w:rPr>
      </w:pPr>
      <w:r w:rsidRPr="00201F22">
        <w:rPr>
          <w:noProof/>
        </w:rPr>
        <w:drawing>
          <wp:anchor distT="0" distB="0" distL="114300" distR="114300" simplePos="0" relativeHeight="251662848" behindDoc="0" locked="0" layoutInCell="1" allowOverlap="1" wp14:anchorId="36442CB2" wp14:editId="72AB7154">
            <wp:simplePos x="0" y="0"/>
            <wp:positionH relativeFrom="column">
              <wp:posOffset>4221480</wp:posOffset>
            </wp:positionH>
            <wp:positionV relativeFrom="paragraph">
              <wp:posOffset>181610</wp:posOffset>
            </wp:positionV>
            <wp:extent cx="1835066" cy="909240"/>
            <wp:effectExtent l="0" t="0" r="0" b="5715"/>
            <wp:wrapNone/>
            <wp:docPr id="796778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7860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5066" cy="909240"/>
                    </a:xfrm>
                    <a:prstGeom prst="rect">
                      <a:avLst/>
                    </a:prstGeom>
                  </pic:spPr>
                </pic:pic>
              </a:graphicData>
            </a:graphic>
            <wp14:sizeRelH relativeFrom="page">
              <wp14:pctWidth>0</wp14:pctWidth>
            </wp14:sizeRelH>
            <wp14:sizeRelV relativeFrom="page">
              <wp14:pctHeight>0</wp14:pctHeight>
            </wp14:sizeRelV>
          </wp:anchor>
        </w:drawing>
      </w:r>
    </w:p>
    <w:p w14:paraId="3B0F8005" w14:textId="5E5C6CE6" w:rsidR="00AE4EA7" w:rsidRDefault="00000000">
      <w:pPr>
        <w:jc w:val="left"/>
        <w:rPr>
          <w:rFonts w:cs="Arial"/>
          <w:sz w:val="24"/>
          <w:szCs w:val="24"/>
        </w:rPr>
      </w:pPr>
      <w:r>
        <w:rPr>
          <w:rFonts w:cs="Arial"/>
          <w:sz w:val="24"/>
          <w:szCs w:val="24"/>
        </w:rPr>
        <w:t xml:space="preserve">Bundesverband Gesundheits-IT </w:t>
      </w:r>
      <w:r w:rsidRPr="008444FB">
        <w:rPr>
          <w:rFonts w:cs="Arial"/>
          <w:sz w:val="24"/>
          <w:szCs w:val="24"/>
        </w:rPr>
        <w:t>e. V.</w:t>
      </w:r>
      <w:r>
        <w:rPr>
          <w:rFonts w:cs="Arial"/>
          <w:sz w:val="24"/>
          <w:szCs w:val="24"/>
          <w:lang w:eastAsia="de-DE"/>
        </w:rPr>
        <w:t xml:space="preserve"> </w:t>
      </w:r>
      <w:r>
        <w:rPr>
          <w:rFonts w:cs="Arial"/>
          <w:sz w:val="24"/>
          <w:szCs w:val="24"/>
        </w:rPr>
        <w:br/>
        <w:t>Arbeitsgruppe „Datenschutz &amp; IT-Sicherheit“</w:t>
      </w:r>
    </w:p>
    <w:p w14:paraId="5CAF1A07" w14:textId="77777777" w:rsidR="00AE4EA7" w:rsidRDefault="00AE4EA7">
      <w:pPr>
        <w:rPr>
          <w:rFonts w:cs="Arial"/>
          <w:sz w:val="24"/>
          <w:szCs w:val="28"/>
        </w:rPr>
      </w:pPr>
    </w:p>
    <w:p w14:paraId="2DBF8ECC" w14:textId="77777777" w:rsidR="00971658" w:rsidRDefault="00971658">
      <w:pPr>
        <w:rPr>
          <w:rFonts w:cs="Arial"/>
          <w:sz w:val="24"/>
          <w:szCs w:val="28"/>
        </w:rPr>
      </w:pPr>
    </w:p>
    <w:p w14:paraId="5BA20B07" w14:textId="77777777" w:rsidR="00CA188B" w:rsidRDefault="00CA188B">
      <w:pPr>
        <w:jc w:val="left"/>
        <w:sectPr w:rsidR="00CA188B" w:rsidSect="0066523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20"/>
          <w:formProt w:val="0"/>
          <w:docGrid w:linePitch="360" w:charSpace="4096"/>
        </w:sectPr>
      </w:pPr>
    </w:p>
    <w:p w14:paraId="74F8CB3B" w14:textId="6A0BF6EA" w:rsidR="00AE4EA7" w:rsidRDefault="00000000">
      <w:pPr>
        <w:spacing w:after="0"/>
        <w:rPr>
          <w:rFonts w:cstheme="minorHAnsi"/>
          <w:b/>
          <w:bCs/>
          <w:sz w:val="28"/>
          <w:szCs w:val="28"/>
        </w:rPr>
      </w:pPr>
      <w:r>
        <w:rPr>
          <w:rFonts w:cstheme="minorHAnsi"/>
          <w:b/>
          <w:bCs/>
          <w:sz w:val="28"/>
          <w:szCs w:val="28"/>
        </w:rPr>
        <w:lastRenderedPageBreak/>
        <w:t>Version 2</w:t>
      </w:r>
    </w:p>
    <w:p w14:paraId="07998CE6" w14:textId="2476EA0C" w:rsidR="00AE4EA7" w:rsidRDefault="00000000" w:rsidP="00400DCF">
      <w:pPr>
        <w:spacing w:after="80"/>
        <w:rPr>
          <w:rFonts w:cstheme="minorHAnsi"/>
        </w:rPr>
      </w:pPr>
      <w:r>
        <w:rPr>
          <w:rFonts w:cstheme="minorHAnsi"/>
        </w:rPr>
        <w:t xml:space="preserve">Stand: </w:t>
      </w:r>
      <w:r w:rsidR="0051608C">
        <w:rPr>
          <w:rFonts w:cstheme="minorHAnsi"/>
        </w:rPr>
        <w:t>27</w:t>
      </w:r>
      <w:r>
        <w:rPr>
          <w:rFonts w:cstheme="minorHAnsi"/>
        </w:rPr>
        <w:t xml:space="preserve">. </w:t>
      </w:r>
      <w:r w:rsidR="0051608C">
        <w:rPr>
          <w:rFonts w:cstheme="minorHAnsi"/>
        </w:rPr>
        <w:t>Januar</w:t>
      </w:r>
      <w:r>
        <w:rPr>
          <w:rFonts w:cstheme="minorHAnsi"/>
        </w:rPr>
        <w:t xml:space="preserve"> </w:t>
      </w:r>
      <w:r w:rsidRPr="004832F9">
        <w:rPr>
          <w:rFonts w:cstheme="minorHAnsi"/>
        </w:rPr>
        <w:t>2024</w:t>
      </w:r>
    </w:p>
    <w:p w14:paraId="28BF0DC7" w14:textId="77777777" w:rsidR="00AE4EA7" w:rsidRDefault="00000000">
      <w:pPr>
        <w:spacing w:after="80"/>
        <w:rPr>
          <w:rFonts w:cstheme="minorHAnsi"/>
          <w:b/>
        </w:rPr>
      </w:pPr>
      <w:r>
        <w:rPr>
          <w:rFonts w:cstheme="minorHAnsi"/>
          <w:b/>
        </w:rPr>
        <w:t>Autoren (alphabetisch)</w:t>
      </w:r>
    </w:p>
    <w:tbl>
      <w:tblPr>
        <w:tblStyle w:val="Tabellenraster"/>
        <w:tblW w:w="9212" w:type="dxa"/>
        <w:tblLayout w:type="fixed"/>
        <w:tblLook w:val="04A0" w:firstRow="1" w:lastRow="0" w:firstColumn="1" w:lastColumn="0" w:noHBand="0" w:noVBand="1"/>
      </w:tblPr>
      <w:tblGrid>
        <w:gridCol w:w="2660"/>
        <w:gridCol w:w="6552"/>
      </w:tblGrid>
      <w:tr w:rsidR="00AE4EA7" w14:paraId="33D2D102" w14:textId="77777777" w:rsidTr="00F16FA1">
        <w:tc>
          <w:tcPr>
            <w:tcW w:w="2660" w:type="dxa"/>
            <w:tcBorders>
              <w:top w:val="nil"/>
              <w:left w:val="nil"/>
              <w:bottom w:val="nil"/>
              <w:right w:val="nil"/>
            </w:tcBorders>
          </w:tcPr>
          <w:p w14:paraId="448043F0" w14:textId="77777777" w:rsidR="00AE4EA7" w:rsidRDefault="00000000">
            <w:pPr>
              <w:widowControl w:val="0"/>
              <w:spacing w:after="0" w:line="240" w:lineRule="auto"/>
              <w:rPr>
                <w:rFonts w:cstheme="minorHAnsi"/>
              </w:rPr>
            </w:pPr>
            <w:r>
              <w:rPr>
                <w:rFonts w:eastAsia="Calibri" w:cstheme="minorHAnsi"/>
              </w:rPr>
              <w:t>Tanja Albert</w:t>
            </w:r>
          </w:p>
        </w:tc>
        <w:tc>
          <w:tcPr>
            <w:tcW w:w="6552" w:type="dxa"/>
            <w:tcBorders>
              <w:top w:val="nil"/>
              <w:left w:val="nil"/>
              <w:bottom w:val="nil"/>
              <w:right w:val="nil"/>
            </w:tcBorders>
          </w:tcPr>
          <w:p w14:paraId="07BB3452" w14:textId="592639A2" w:rsidR="00AE4EA7" w:rsidRDefault="006330C9">
            <w:pPr>
              <w:widowControl w:val="0"/>
              <w:spacing w:after="0" w:line="240" w:lineRule="auto"/>
              <w:rPr>
                <w:rFonts w:cstheme="minorHAnsi"/>
              </w:rPr>
            </w:pPr>
            <w:r w:rsidRPr="004832F9">
              <w:rPr>
                <w:rFonts w:cstheme="minorHAnsi"/>
              </w:rPr>
              <w:t>Daskeo</w:t>
            </w:r>
            <w:r w:rsidRPr="006330C9">
              <w:rPr>
                <w:rFonts w:cstheme="minorHAnsi"/>
              </w:rPr>
              <w:t xml:space="preserve"> Albert &amp; Beyer GbR</w:t>
            </w:r>
          </w:p>
        </w:tc>
      </w:tr>
      <w:tr w:rsidR="00AE4EA7" w14:paraId="28A4C5EE" w14:textId="77777777" w:rsidTr="00F16FA1">
        <w:tc>
          <w:tcPr>
            <w:tcW w:w="2660" w:type="dxa"/>
            <w:tcBorders>
              <w:top w:val="nil"/>
              <w:left w:val="nil"/>
              <w:bottom w:val="nil"/>
              <w:right w:val="nil"/>
            </w:tcBorders>
          </w:tcPr>
          <w:p w14:paraId="39A8FB70" w14:textId="77777777" w:rsidR="00AE4EA7" w:rsidRDefault="00000000">
            <w:pPr>
              <w:widowControl w:val="0"/>
              <w:spacing w:after="0" w:line="240" w:lineRule="auto"/>
              <w:rPr>
                <w:rFonts w:cstheme="minorHAnsi"/>
              </w:rPr>
            </w:pPr>
            <w:r>
              <w:rPr>
                <w:rFonts w:eastAsia="Calibri" w:cstheme="minorHAnsi"/>
              </w:rPr>
              <w:t>Andrea Backer-Heuveldop</w:t>
            </w:r>
          </w:p>
        </w:tc>
        <w:tc>
          <w:tcPr>
            <w:tcW w:w="6552" w:type="dxa"/>
            <w:tcBorders>
              <w:top w:val="nil"/>
              <w:left w:val="nil"/>
              <w:bottom w:val="nil"/>
              <w:right w:val="nil"/>
            </w:tcBorders>
          </w:tcPr>
          <w:p w14:paraId="22C2DCFE" w14:textId="77777777" w:rsidR="00AE4EA7" w:rsidRDefault="00000000">
            <w:pPr>
              <w:widowControl w:val="0"/>
              <w:spacing w:after="0" w:line="240" w:lineRule="auto"/>
              <w:rPr>
                <w:rFonts w:cstheme="minorHAnsi"/>
              </w:rPr>
            </w:pPr>
            <w:r w:rsidRPr="004832F9">
              <w:rPr>
                <w:rFonts w:eastAsia="Calibri" w:cstheme="minorHAnsi"/>
              </w:rPr>
              <w:t>ds</w:t>
            </w:r>
            <w:r>
              <w:rPr>
                <w:rFonts w:eastAsia="Calibri" w:cstheme="minorHAnsi"/>
              </w:rPr>
              <w:t>² Unternehmensberatung GmbH &amp; Co. KG</w:t>
            </w:r>
          </w:p>
        </w:tc>
      </w:tr>
      <w:tr w:rsidR="00AE4EA7" w14:paraId="762F665E" w14:textId="77777777" w:rsidTr="00F16FA1">
        <w:tc>
          <w:tcPr>
            <w:tcW w:w="2660" w:type="dxa"/>
            <w:tcBorders>
              <w:top w:val="nil"/>
              <w:left w:val="nil"/>
              <w:bottom w:val="nil"/>
              <w:right w:val="nil"/>
            </w:tcBorders>
          </w:tcPr>
          <w:p w14:paraId="544A0424" w14:textId="77777777" w:rsidR="00AE4EA7" w:rsidRDefault="00000000">
            <w:pPr>
              <w:widowControl w:val="0"/>
              <w:spacing w:after="0" w:line="240" w:lineRule="auto"/>
              <w:rPr>
                <w:rFonts w:cstheme="minorHAnsi"/>
              </w:rPr>
            </w:pPr>
            <w:r>
              <w:rPr>
                <w:rFonts w:eastAsia="Calibri" w:cstheme="minorHAnsi"/>
              </w:rPr>
              <w:t xml:space="preserve">Jürgen </w:t>
            </w:r>
            <w:r w:rsidRPr="004832F9">
              <w:rPr>
                <w:rFonts w:eastAsia="Calibri" w:cstheme="minorHAnsi"/>
              </w:rPr>
              <w:t>Bühse</w:t>
            </w:r>
          </w:p>
        </w:tc>
        <w:tc>
          <w:tcPr>
            <w:tcW w:w="6552" w:type="dxa"/>
            <w:tcBorders>
              <w:top w:val="nil"/>
              <w:left w:val="nil"/>
              <w:bottom w:val="nil"/>
              <w:right w:val="nil"/>
            </w:tcBorders>
          </w:tcPr>
          <w:p w14:paraId="368DBA43" w14:textId="77777777" w:rsidR="00AE4EA7" w:rsidRDefault="00000000">
            <w:pPr>
              <w:widowControl w:val="0"/>
              <w:spacing w:after="0" w:line="240" w:lineRule="auto"/>
              <w:rPr>
                <w:rFonts w:cstheme="minorHAnsi"/>
              </w:rPr>
            </w:pPr>
            <w:r w:rsidRPr="004832F9">
              <w:rPr>
                <w:rFonts w:eastAsia="Calibri" w:cstheme="minorHAnsi"/>
              </w:rPr>
              <w:t>PERGON</w:t>
            </w:r>
            <w:r>
              <w:rPr>
                <w:rFonts w:eastAsia="Calibri" w:cstheme="minorHAnsi"/>
              </w:rPr>
              <w:t xml:space="preserve"> Unternehmensberatung e. K.</w:t>
            </w:r>
          </w:p>
        </w:tc>
      </w:tr>
      <w:tr w:rsidR="00AE4EA7" w14:paraId="11753F97" w14:textId="77777777" w:rsidTr="00F16FA1">
        <w:tc>
          <w:tcPr>
            <w:tcW w:w="2660" w:type="dxa"/>
            <w:tcBorders>
              <w:top w:val="nil"/>
              <w:left w:val="nil"/>
              <w:bottom w:val="nil"/>
              <w:right w:val="nil"/>
            </w:tcBorders>
          </w:tcPr>
          <w:p w14:paraId="13770FAC" w14:textId="77777777" w:rsidR="00AE4EA7" w:rsidRDefault="00000000">
            <w:pPr>
              <w:widowControl w:val="0"/>
              <w:spacing w:after="0" w:line="240" w:lineRule="auto"/>
              <w:rPr>
                <w:rFonts w:cstheme="minorHAnsi"/>
              </w:rPr>
            </w:pPr>
            <w:r>
              <w:rPr>
                <w:rFonts w:eastAsia="Calibri" w:cstheme="minorHAnsi"/>
              </w:rPr>
              <w:t>Jamie Crookes</w:t>
            </w:r>
          </w:p>
        </w:tc>
        <w:tc>
          <w:tcPr>
            <w:tcW w:w="6552" w:type="dxa"/>
            <w:tcBorders>
              <w:top w:val="nil"/>
              <w:left w:val="nil"/>
              <w:bottom w:val="nil"/>
              <w:right w:val="nil"/>
            </w:tcBorders>
          </w:tcPr>
          <w:p w14:paraId="59A10623" w14:textId="77777777" w:rsidR="00AE4EA7" w:rsidRDefault="00000000">
            <w:pPr>
              <w:widowControl w:val="0"/>
              <w:spacing w:after="0" w:line="240" w:lineRule="auto"/>
              <w:rPr>
                <w:rFonts w:cstheme="minorHAnsi"/>
              </w:rPr>
            </w:pPr>
            <w:r w:rsidRPr="004832F9">
              <w:rPr>
                <w:rFonts w:eastAsia="Calibri" w:cstheme="minorHAnsi"/>
              </w:rPr>
              <w:t>Compliant</w:t>
            </w:r>
            <w:r>
              <w:rPr>
                <w:rFonts w:eastAsia="Calibri" w:cstheme="minorHAnsi"/>
              </w:rPr>
              <w:t xml:space="preserve"> Digital GmbH &amp; Co. KG</w:t>
            </w:r>
          </w:p>
        </w:tc>
      </w:tr>
      <w:tr w:rsidR="00AE4EA7" w14:paraId="68E76984" w14:textId="77777777" w:rsidTr="00F16FA1">
        <w:tc>
          <w:tcPr>
            <w:tcW w:w="2660" w:type="dxa"/>
            <w:tcBorders>
              <w:top w:val="nil"/>
              <w:left w:val="nil"/>
              <w:bottom w:val="nil"/>
              <w:right w:val="nil"/>
            </w:tcBorders>
          </w:tcPr>
          <w:p w14:paraId="5A153349" w14:textId="77777777" w:rsidR="00AE4EA7" w:rsidRDefault="00000000">
            <w:pPr>
              <w:widowControl w:val="0"/>
              <w:spacing w:after="0" w:line="240" w:lineRule="auto"/>
              <w:rPr>
                <w:rFonts w:cstheme="minorHAnsi"/>
              </w:rPr>
            </w:pPr>
            <w:r>
              <w:rPr>
                <w:rFonts w:eastAsia="Calibri" w:cstheme="minorHAnsi"/>
              </w:rPr>
              <w:t xml:space="preserve">Joaquín M. </w:t>
            </w:r>
            <w:r w:rsidRPr="004832F9">
              <w:rPr>
                <w:rFonts w:eastAsia="Calibri" w:cstheme="minorHAnsi"/>
              </w:rPr>
              <w:t>González</w:t>
            </w:r>
          </w:p>
        </w:tc>
        <w:tc>
          <w:tcPr>
            <w:tcW w:w="6552" w:type="dxa"/>
            <w:tcBorders>
              <w:top w:val="nil"/>
              <w:left w:val="nil"/>
              <w:bottom w:val="nil"/>
              <w:right w:val="nil"/>
            </w:tcBorders>
          </w:tcPr>
          <w:p w14:paraId="7A5D5088" w14:textId="77777777" w:rsidR="00AE4EA7" w:rsidRDefault="00000000">
            <w:pPr>
              <w:widowControl w:val="0"/>
              <w:spacing w:after="0" w:line="240" w:lineRule="auto"/>
              <w:rPr>
                <w:rFonts w:cstheme="minorHAnsi"/>
              </w:rPr>
            </w:pPr>
            <w:r>
              <w:rPr>
                <w:rFonts w:eastAsia="Calibri" w:cstheme="minorHAnsi"/>
              </w:rPr>
              <w:t>Kassenärztliche Vereinigung Baden-Württemberg</w:t>
            </w:r>
          </w:p>
        </w:tc>
      </w:tr>
      <w:tr w:rsidR="00971658" w14:paraId="396D9F25" w14:textId="77777777" w:rsidTr="00F16FA1">
        <w:tc>
          <w:tcPr>
            <w:tcW w:w="2660" w:type="dxa"/>
            <w:tcBorders>
              <w:top w:val="nil"/>
              <w:left w:val="nil"/>
              <w:bottom w:val="nil"/>
              <w:right w:val="nil"/>
            </w:tcBorders>
          </w:tcPr>
          <w:p w14:paraId="11164A0E" w14:textId="35194C42" w:rsidR="00971658" w:rsidRDefault="00971658">
            <w:pPr>
              <w:widowControl w:val="0"/>
              <w:spacing w:after="0" w:line="240" w:lineRule="auto"/>
              <w:rPr>
                <w:rFonts w:eastAsia="Calibri" w:cstheme="minorHAnsi"/>
              </w:rPr>
            </w:pPr>
            <w:r w:rsidRPr="00971658">
              <w:rPr>
                <w:rFonts w:eastAsia="Calibri" w:cstheme="minorHAnsi"/>
              </w:rPr>
              <w:t>Carla Haase</w:t>
            </w:r>
          </w:p>
        </w:tc>
        <w:tc>
          <w:tcPr>
            <w:tcW w:w="6552" w:type="dxa"/>
            <w:tcBorders>
              <w:top w:val="nil"/>
              <w:left w:val="nil"/>
              <w:bottom w:val="nil"/>
              <w:right w:val="nil"/>
            </w:tcBorders>
          </w:tcPr>
          <w:p w14:paraId="1F23BF46" w14:textId="65464F10" w:rsidR="00971658" w:rsidRDefault="00971658">
            <w:pPr>
              <w:widowControl w:val="0"/>
              <w:spacing w:after="0" w:line="240" w:lineRule="auto"/>
              <w:rPr>
                <w:rFonts w:eastAsia="Calibri" w:cstheme="minorHAnsi"/>
              </w:rPr>
            </w:pPr>
            <w:r w:rsidRPr="00971658">
              <w:rPr>
                <w:rFonts w:eastAsia="Calibri" w:cstheme="minorHAnsi"/>
              </w:rPr>
              <w:t>PRO Klinik Holding</w:t>
            </w:r>
          </w:p>
        </w:tc>
      </w:tr>
      <w:tr w:rsidR="00AE4EA7" w14:paraId="286D12B5" w14:textId="77777777" w:rsidTr="00F16FA1">
        <w:tc>
          <w:tcPr>
            <w:tcW w:w="2660" w:type="dxa"/>
            <w:tcBorders>
              <w:top w:val="nil"/>
              <w:left w:val="nil"/>
              <w:bottom w:val="nil"/>
              <w:right w:val="nil"/>
            </w:tcBorders>
          </w:tcPr>
          <w:p w14:paraId="3CEF4769" w14:textId="77777777" w:rsidR="00AE4EA7" w:rsidRDefault="00000000">
            <w:pPr>
              <w:widowControl w:val="0"/>
              <w:spacing w:after="0" w:line="240" w:lineRule="auto"/>
              <w:rPr>
                <w:rFonts w:cstheme="minorHAnsi"/>
              </w:rPr>
            </w:pPr>
            <w:r>
              <w:rPr>
                <w:rFonts w:eastAsia="Calibri" w:cstheme="minorHAnsi"/>
              </w:rPr>
              <w:t>Christoph Isele</w:t>
            </w:r>
          </w:p>
        </w:tc>
        <w:tc>
          <w:tcPr>
            <w:tcW w:w="6552" w:type="dxa"/>
            <w:tcBorders>
              <w:top w:val="nil"/>
              <w:left w:val="nil"/>
              <w:bottom w:val="nil"/>
              <w:right w:val="nil"/>
            </w:tcBorders>
          </w:tcPr>
          <w:p w14:paraId="42934FE6" w14:textId="402C3ACB" w:rsidR="00AE4EA7" w:rsidRDefault="00000000">
            <w:pPr>
              <w:widowControl w:val="0"/>
              <w:spacing w:after="0" w:line="240" w:lineRule="auto"/>
              <w:rPr>
                <w:rFonts w:cstheme="minorHAnsi"/>
              </w:rPr>
            </w:pPr>
            <w:r w:rsidRPr="004832F9">
              <w:rPr>
                <w:rFonts w:eastAsia="Calibri" w:cstheme="minorHAnsi"/>
              </w:rPr>
              <w:t>Cerner</w:t>
            </w:r>
            <w:r w:rsidR="00EB5A16">
              <w:rPr>
                <w:rFonts w:eastAsia="Calibri" w:cstheme="minorHAnsi"/>
              </w:rPr>
              <w:t xml:space="preserve"> </w:t>
            </w:r>
            <w:r w:rsidR="00EB5A16" w:rsidRPr="004832F9">
              <w:rPr>
                <w:rFonts w:eastAsia="Calibri" w:cstheme="minorHAnsi"/>
              </w:rPr>
              <w:t>Health</w:t>
            </w:r>
            <w:r w:rsidR="00EB5A16" w:rsidRPr="00EB5A16">
              <w:rPr>
                <w:rFonts w:eastAsia="Calibri" w:cstheme="minorHAnsi"/>
              </w:rPr>
              <w:t xml:space="preserve"> Services</w:t>
            </w:r>
            <w:r>
              <w:rPr>
                <w:rFonts w:eastAsia="Calibri" w:cstheme="minorHAnsi"/>
              </w:rPr>
              <w:t xml:space="preserve"> Deutschland GmbH</w:t>
            </w:r>
          </w:p>
        </w:tc>
      </w:tr>
      <w:tr w:rsidR="00AE4EA7" w14:paraId="1CEC104E" w14:textId="77777777" w:rsidTr="00F16FA1">
        <w:tc>
          <w:tcPr>
            <w:tcW w:w="2660" w:type="dxa"/>
            <w:tcBorders>
              <w:top w:val="nil"/>
              <w:left w:val="nil"/>
              <w:bottom w:val="nil"/>
              <w:right w:val="nil"/>
            </w:tcBorders>
          </w:tcPr>
          <w:p w14:paraId="7B736FA9" w14:textId="77777777" w:rsidR="00AE4EA7" w:rsidRDefault="00000000">
            <w:pPr>
              <w:widowControl w:val="0"/>
              <w:spacing w:after="0" w:line="240" w:lineRule="auto"/>
              <w:rPr>
                <w:rFonts w:ascii="Calibri" w:eastAsia="Calibri" w:hAnsi="Calibri" w:cstheme="minorHAnsi"/>
              </w:rPr>
            </w:pPr>
            <w:r>
              <w:rPr>
                <w:rFonts w:eastAsia="Calibri" w:cstheme="minorHAnsi"/>
              </w:rPr>
              <w:t>David Koeppe</w:t>
            </w:r>
          </w:p>
        </w:tc>
        <w:tc>
          <w:tcPr>
            <w:tcW w:w="6552" w:type="dxa"/>
            <w:tcBorders>
              <w:top w:val="nil"/>
              <w:left w:val="nil"/>
              <w:bottom w:val="nil"/>
              <w:right w:val="nil"/>
            </w:tcBorders>
          </w:tcPr>
          <w:p w14:paraId="168F924B" w14:textId="77777777" w:rsidR="00AE4EA7" w:rsidRDefault="00000000">
            <w:pPr>
              <w:widowControl w:val="0"/>
              <w:spacing w:after="0" w:line="240" w:lineRule="auto"/>
              <w:rPr>
                <w:rFonts w:ascii="Calibri" w:eastAsia="Calibri" w:hAnsi="Calibri" w:cstheme="minorHAnsi"/>
              </w:rPr>
            </w:pPr>
            <w:r>
              <w:rPr>
                <w:rFonts w:eastAsia="Calibri" w:cstheme="minorHAnsi"/>
              </w:rPr>
              <w:t>Vivantes - Netzwerk für Gesundheit GmbH</w:t>
            </w:r>
          </w:p>
        </w:tc>
      </w:tr>
      <w:tr w:rsidR="00AE4EA7" w14:paraId="4AFEE39C" w14:textId="77777777" w:rsidTr="00F16FA1">
        <w:tc>
          <w:tcPr>
            <w:tcW w:w="2660" w:type="dxa"/>
            <w:tcBorders>
              <w:top w:val="nil"/>
              <w:left w:val="nil"/>
              <w:bottom w:val="nil"/>
              <w:right w:val="nil"/>
            </w:tcBorders>
          </w:tcPr>
          <w:p w14:paraId="273A37A3" w14:textId="77777777" w:rsidR="00AE4EA7" w:rsidRPr="004832F9" w:rsidRDefault="00000000">
            <w:pPr>
              <w:widowControl w:val="0"/>
              <w:spacing w:after="0" w:line="240" w:lineRule="auto"/>
              <w:rPr>
                <w:rFonts w:ascii="Calibri" w:eastAsia="Calibri" w:hAnsi="Calibri" w:cstheme="minorHAnsi"/>
              </w:rPr>
            </w:pPr>
            <w:r>
              <w:rPr>
                <w:rFonts w:eastAsia="Calibri" w:cstheme="minorHAnsi"/>
              </w:rPr>
              <w:t>Mic</w:t>
            </w:r>
            <w:r w:rsidRPr="004832F9">
              <w:rPr>
                <w:rFonts w:eastAsia="Calibri" w:cstheme="minorHAnsi"/>
              </w:rPr>
              <w:t>hael Letter</w:t>
            </w:r>
          </w:p>
        </w:tc>
        <w:tc>
          <w:tcPr>
            <w:tcW w:w="6552" w:type="dxa"/>
            <w:tcBorders>
              <w:top w:val="nil"/>
              <w:left w:val="nil"/>
              <w:bottom w:val="nil"/>
              <w:right w:val="nil"/>
            </w:tcBorders>
          </w:tcPr>
          <w:p w14:paraId="7F751DA3" w14:textId="77777777" w:rsidR="00AE4EA7" w:rsidRDefault="00000000">
            <w:pPr>
              <w:widowControl w:val="0"/>
              <w:spacing w:after="0" w:line="240" w:lineRule="auto"/>
              <w:rPr>
                <w:rFonts w:ascii="Calibri" w:eastAsia="Calibri" w:hAnsi="Calibri" w:cstheme="minorHAnsi"/>
              </w:rPr>
            </w:pPr>
            <w:r w:rsidRPr="004832F9">
              <w:rPr>
                <w:rFonts w:eastAsia="Calibri" w:cstheme="minorHAnsi"/>
              </w:rPr>
              <w:t>5medical management</w:t>
            </w:r>
            <w:r>
              <w:rPr>
                <w:rFonts w:eastAsia="Calibri" w:cstheme="minorHAnsi"/>
              </w:rPr>
              <w:t xml:space="preserve"> GmbH</w:t>
            </w:r>
          </w:p>
        </w:tc>
      </w:tr>
      <w:tr w:rsidR="00367235" w14:paraId="375493D3" w14:textId="77777777" w:rsidTr="00F16FA1">
        <w:tc>
          <w:tcPr>
            <w:tcW w:w="2660" w:type="dxa"/>
            <w:tcBorders>
              <w:top w:val="nil"/>
              <w:left w:val="nil"/>
              <w:bottom w:val="nil"/>
              <w:right w:val="nil"/>
            </w:tcBorders>
          </w:tcPr>
          <w:p w14:paraId="67F73282" w14:textId="53D85267" w:rsidR="00367235" w:rsidRDefault="00367235">
            <w:pPr>
              <w:widowControl w:val="0"/>
              <w:spacing w:after="0" w:line="240" w:lineRule="auto"/>
              <w:rPr>
                <w:rFonts w:eastAsia="Calibri" w:cstheme="minorHAnsi"/>
              </w:rPr>
            </w:pPr>
            <w:r w:rsidRPr="00367235">
              <w:rPr>
                <w:rFonts w:eastAsia="Calibri" w:cstheme="minorHAnsi"/>
              </w:rPr>
              <w:t>Georg Möller</w:t>
            </w:r>
          </w:p>
        </w:tc>
        <w:tc>
          <w:tcPr>
            <w:tcW w:w="6552" w:type="dxa"/>
            <w:tcBorders>
              <w:top w:val="nil"/>
              <w:left w:val="nil"/>
              <w:bottom w:val="nil"/>
              <w:right w:val="nil"/>
            </w:tcBorders>
          </w:tcPr>
          <w:p w14:paraId="1159A67C" w14:textId="0D90430D" w:rsidR="00367235" w:rsidRDefault="00367235">
            <w:pPr>
              <w:widowControl w:val="0"/>
              <w:spacing w:after="0" w:line="240" w:lineRule="auto"/>
              <w:rPr>
                <w:rFonts w:eastAsia="Calibri" w:cstheme="minorHAnsi"/>
              </w:rPr>
            </w:pPr>
            <w:r w:rsidRPr="004832F9">
              <w:rPr>
                <w:rFonts w:eastAsia="Calibri" w:cstheme="minorHAnsi"/>
              </w:rPr>
              <w:t>SK-Consulting</w:t>
            </w:r>
            <w:r w:rsidRPr="00367235">
              <w:rPr>
                <w:rFonts w:eastAsia="Calibri" w:cstheme="minorHAnsi"/>
              </w:rPr>
              <w:t xml:space="preserve"> Group GmbH</w:t>
            </w:r>
          </w:p>
        </w:tc>
      </w:tr>
      <w:tr w:rsidR="00AE4EA7" w14:paraId="600A00CB" w14:textId="77777777" w:rsidTr="00F16FA1">
        <w:tc>
          <w:tcPr>
            <w:tcW w:w="2660" w:type="dxa"/>
            <w:tcBorders>
              <w:top w:val="nil"/>
              <w:left w:val="nil"/>
              <w:bottom w:val="nil"/>
              <w:right w:val="nil"/>
            </w:tcBorders>
          </w:tcPr>
          <w:p w14:paraId="2F6EB901" w14:textId="77777777" w:rsidR="00AE4EA7" w:rsidRDefault="00000000">
            <w:pPr>
              <w:widowControl w:val="0"/>
              <w:spacing w:after="0" w:line="240" w:lineRule="auto"/>
              <w:rPr>
                <w:rFonts w:ascii="Calibri" w:eastAsia="Calibri" w:hAnsi="Calibri" w:cstheme="minorHAnsi"/>
              </w:rPr>
            </w:pPr>
            <w:r>
              <w:rPr>
                <w:rFonts w:eastAsia="Calibri" w:cstheme="minorHAnsi"/>
              </w:rPr>
              <w:t xml:space="preserve">Regina </w:t>
            </w:r>
            <w:r w:rsidRPr="004832F9">
              <w:rPr>
                <w:rFonts w:eastAsia="Calibri" w:cstheme="minorHAnsi"/>
              </w:rPr>
              <w:t>Mühlich</w:t>
            </w:r>
          </w:p>
        </w:tc>
        <w:tc>
          <w:tcPr>
            <w:tcW w:w="6552" w:type="dxa"/>
            <w:tcBorders>
              <w:top w:val="nil"/>
              <w:left w:val="nil"/>
              <w:bottom w:val="nil"/>
              <w:right w:val="nil"/>
            </w:tcBorders>
          </w:tcPr>
          <w:p w14:paraId="45BC3354" w14:textId="77777777" w:rsidR="00AE4EA7" w:rsidRDefault="00000000">
            <w:pPr>
              <w:widowControl w:val="0"/>
              <w:spacing w:after="0" w:line="240" w:lineRule="auto"/>
              <w:rPr>
                <w:rFonts w:ascii="Calibri" w:eastAsia="Calibri" w:hAnsi="Calibri" w:cstheme="minorHAnsi"/>
              </w:rPr>
            </w:pPr>
            <w:r>
              <w:rPr>
                <w:rFonts w:eastAsia="Calibri" w:cstheme="minorHAnsi"/>
              </w:rPr>
              <w:t>AdOrga Solutions GmbH</w:t>
            </w:r>
          </w:p>
        </w:tc>
      </w:tr>
      <w:tr w:rsidR="00AE4EA7" w14:paraId="0A92D85F" w14:textId="77777777" w:rsidTr="00F16FA1">
        <w:tc>
          <w:tcPr>
            <w:tcW w:w="2660" w:type="dxa"/>
            <w:tcBorders>
              <w:top w:val="nil"/>
              <w:left w:val="nil"/>
              <w:bottom w:val="nil"/>
              <w:right w:val="nil"/>
            </w:tcBorders>
          </w:tcPr>
          <w:p w14:paraId="06F1606D" w14:textId="77777777" w:rsidR="00AE4EA7" w:rsidRDefault="00000000">
            <w:pPr>
              <w:widowControl w:val="0"/>
              <w:spacing w:after="0" w:line="240" w:lineRule="auto"/>
              <w:rPr>
                <w:rFonts w:ascii="Calibri" w:eastAsia="Calibri" w:hAnsi="Calibri" w:cstheme="minorHAnsi"/>
              </w:rPr>
            </w:pPr>
            <w:r>
              <w:rPr>
                <w:rFonts w:eastAsia="Calibri" w:cstheme="minorHAnsi"/>
              </w:rPr>
              <w:t>Bernd Schütze</w:t>
            </w:r>
          </w:p>
        </w:tc>
        <w:tc>
          <w:tcPr>
            <w:tcW w:w="6552" w:type="dxa"/>
            <w:tcBorders>
              <w:top w:val="nil"/>
              <w:left w:val="nil"/>
              <w:bottom w:val="nil"/>
              <w:right w:val="nil"/>
            </w:tcBorders>
          </w:tcPr>
          <w:p w14:paraId="750CE3FA" w14:textId="77777777" w:rsidR="00AE4EA7" w:rsidRDefault="00000000">
            <w:pPr>
              <w:widowControl w:val="0"/>
              <w:spacing w:after="0" w:line="240" w:lineRule="auto"/>
              <w:rPr>
                <w:rFonts w:ascii="Calibri" w:eastAsia="Calibri" w:hAnsi="Calibri" w:cstheme="minorHAnsi"/>
              </w:rPr>
            </w:pPr>
            <w:r>
              <w:rPr>
                <w:rFonts w:eastAsia="Calibri" w:cstheme="minorHAnsi"/>
              </w:rPr>
              <w:t xml:space="preserve">Deutsche Telekom </w:t>
            </w:r>
            <w:r w:rsidRPr="004832F9">
              <w:rPr>
                <w:rFonts w:eastAsia="Calibri" w:cstheme="minorHAnsi"/>
              </w:rPr>
              <w:t>Healthcare</w:t>
            </w:r>
            <w:r>
              <w:rPr>
                <w:rFonts w:eastAsia="Calibri" w:cstheme="minorHAnsi"/>
              </w:rPr>
              <w:t xml:space="preserve"> </w:t>
            </w:r>
            <w:r w:rsidRPr="004832F9">
              <w:rPr>
                <w:rFonts w:eastAsia="Calibri" w:cstheme="minorHAnsi"/>
              </w:rPr>
              <w:t>and</w:t>
            </w:r>
            <w:r>
              <w:rPr>
                <w:rFonts w:eastAsia="Calibri" w:cstheme="minorHAnsi"/>
              </w:rPr>
              <w:t xml:space="preserve"> Security GmbH</w:t>
            </w:r>
          </w:p>
        </w:tc>
      </w:tr>
      <w:tr w:rsidR="00AE4EA7" w14:paraId="6F58DAE6" w14:textId="77777777" w:rsidTr="00F16FA1">
        <w:tc>
          <w:tcPr>
            <w:tcW w:w="2660" w:type="dxa"/>
            <w:tcBorders>
              <w:top w:val="nil"/>
              <w:left w:val="nil"/>
              <w:bottom w:val="nil"/>
              <w:right w:val="nil"/>
            </w:tcBorders>
          </w:tcPr>
          <w:p w14:paraId="3E837361" w14:textId="77777777" w:rsidR="00AE4EA7" w:rsidRDefault="00000000">
            <w:pPr>
              <w:widowControl w:val="0"/>
              <w:spacing w:after="0" w:line="240" w:lineRule="auto"/>
              <w:rPr>
                <w:rFonts w:cstheme="minorHAnsi"/>
              </w:rPr>
            </w:pPr>
            <w:r>
              <w:rPr>
                <w:rFonts w:eastAsia="Calibri" w:cstheme="minorHAnsi"/>
              </w:rPr>
              <w:t>David Seiler</w:t>
            </w:r>
          </w:p>
        </w:tc>
        <w:tc>
          <w:tcPr>
            <w:tcW w:w="6552" w:type="dxa"/>
            <w:tcBorders>
              <w:top w:val="nil"/>
              <w:left w:val="nil"/>
              <w:bottom w:val="nil"/>
              <w:right w:val="nil"/>
            </w:tcBorders>
          </w:tcPr>
          <w:p w14:paraId="53EE12EC" w14:textId="77777777" w:rsidR="00AE4EA7" w:rsidRDefault="00000000">
            <w:pPr>
              <w:widowControl w:val="0"/>
              <w:spacing w:after="0" w:line="240" w:lineRule="auto"/>
              <w:rPr>
                <w:rFonts w:cstheme="minorHAnsi"/>
              </w:rPr>
            </w:pPr>
            <w:r>
              <w:rPr>
                <w:rFonts w:eastAsia="Calibri" w:cstheme="minorHAnsi"/>
              </w:rPr>
              <w:t>Rechtsanwalt</w:t>
            </w:r>
          </w:p>
        </w:tc>
      </w:tr>
      <w:tr w:rsidR="00AE4EA7" w14:paraId="250EC002" w14:textId="77777777" w:rsidTr="00F16FA1">
        <w:tc>
          <w:tcPr>
            <w:tcW w:w="2660" w:type="dxa"/>
            <w:tcBorders>
              <w:top w:val="nil"/>
              <w:left w:val="nil"/>
              <w:bottom w:val="nil"/>
              <w:right w:val="nil"/>
            </w:tcBorders>
          </w:tcPr>
          <w:p w14:paraId="3ED28A5D" w14:textId="77777777" w:rsidR="00AE4EA7" w:rsidRDefault="00000000">
            <w:pPr>
              <w:widowControl w:val="0"/>
              <w:spacing w:after="0" w:line="240" w:lineRule="auto"/>
              <w:rPr>
                <w:rFonts w:cstheme="minorHAnsi"/>
              </w:rPr>
            </w:pPr>
            <w:r>
              <w:rPr>
                <w:rFonts w:eastAsia="Calibri" w:cstheme="minorHAnsi"/>
              </w:rPr>
              <w:t xml:space="preserve">Ulrike-Alexandra </w:t>
            </w:r>
            <w:r w:rsidRPr="004832F9">
              <w:rPr>
                <w:rFonts w:eastAsia="Calibri" w:cstheme="minorHAnsi"/>
              </w:rPr>
              <w:t>Seitzinger</w:t>
            </w:r>
          </w:p>
        </w:tc>
        <w:tc>
          <w:tcPr>
            <w:tcW w:w="6552" w:type="dxa"/>
            <w:tcBorders>
              <w:top w:val="nil"/>
              <w:left w:val="nil"/>
              <w:bottom w:val="nil"/>
              <w:right w:val="nil"/>
            </w:tcBorders>
          </w:tcPr>
          <w:p w14:paraId="2E12DF56" w14:textId="77777777" w:rsidR="00AE4EA7" w:rsidRDefault="00000000">
            <w:pPr>
              <w:widowControl w:val="0"/>
              <w:spacing w:after="0" w:line="240" w:lineRule="auto"/>
              <w:rPr>
                <w:rFonts w:cstheme="minorHAnsi"/>
              </w:rPr>
            </w:pPr>
            <w:r>
              <w:rPr>
                <w:rFonts w:eastAsia="Calibri" w:cstheme="minorHAnsi"/>
              </w:rPr>
              <w:t>Seitzinger Legal•HR•Privacy</w:t>
            </w:r>
          </w:p>
        </w:tc>
      </w:tr>
    </w:tbl>
    <w:p w14:paraId="41E8D76E" w14:textId="77777777" w:rsidR="00AE4EA7" w:rsidRDefault="00AE4EA7">
      <w:pPr>
        <w:spacing w:after="0" w:line="240" w:lineRule="auto"/>
        <w:rPr>
          <w:rFonts w:cstheme="minorHAnsi"/>
        </w:rPr>
      </w:pPr>
    </w:p>
    <w:p w14:paraId="1C9D7479" w14:textId="77777777" w:rsidR="00AE4EA7" w:rsidRDefault="00000000">
      <w:pPr>
        <w:spacing w:after="0"/>
        <w:rPr>
          <w:rFonts w:cstheme="minorHAnsi"/>
          <w:b/>
          <w:bCs/>
          <w:sz w:val="28"/>
          <w:szCs w:val="28"/>
        </w:rPr>
      </w:pPr>
      <w:r>
        <w:rPr>
          <w:rFonts w:cstheme="minorHAnsi"/>
          <w:b/>
          <w:bCs/>
          <w:sz w:val="28"/>
          <w:szCs w:val="28"/>
        </w:rPr>
        <w:t>Version 1</w:t>
      </w:r>
    </w:p>
    <w:p w14:paraId="5F8A13CE" w14:textId="77777777" w:rsidR="00AE4EA7" w:rsidRDefault="00000000">
      <w:pPr>
        <w:spacing w:after="80"/>
        <w:rPr>
          <w:rFonts w:cstheme="minorHAnsi"/>
        </w:rPr>
      </w:pPr>
      <w:r>
        <w:rPr>
          <w:rFonts w:cstheme="minorHAnsi"/>
        </w:rPr>
        <w:t xml:space="preserve">Stand: 29. Juni </w:t>
      </w:r>
      <w:r w:rsidRPr="004832F9">
        <w:rPr>
          <w:rFonts w:cstheme="minorHAnsi"/>
        </w:rPr>
        <w:t>2018</w:t>
      </w:r>
    </w:p>
    <w:p w14:paraId="4F26BB79" w14:textId="77777777" w:rsidR="00AE4EA7" w:rsidRDefault="00000000">
      <w:pPr>
        <w:spacing w:after="80"/>
        <w:rPr>
          <w:rFonts w:cstheme="minorHAnsi"/>
          <w:b/>
        </w:rPr>
      </w:pPr>
      <w:r>
        <w:rPr>
          <w:rFonts w:cstheme="minorHAnsi"/>
          <w:b/>
        </w:rPr>
        <w:t>Autoren (alphabetisch)</w:t>
      </w:r>
    </w:p>
    <w:tbl>
      <w:tblPr>
        <w:tblStyle w:val="Tabellenraster"/>
        <w:tblW w:w="9212" w:type="dxa"/>
        <w:tblLayout w:type="fixed"/>
        <w:tblLook w:val="04A0" w:firstRow="1" w:lastRow="0" w:firstColumn="1" w:lastColumn="0" w:noHBand="0" w:noVBand="1"/>
      </w:tblPr>
      <w:tblGrid>
        <w:gridCol w:w="2517"/>
        <w:gridCol w:w="6695"/>
      </w:tblGrid>
      <w:tr w:rsidR="00AE4EA7" w14:paraId="0DDCBD35" w14:textId="77777777">
        <w:tc>
          <w:tcPr>
            <w:tcW w:w="2517" w:type="dxa"/>
            <w:tcBorders>
              <w:top w:val="nil"/>
              <w:left w:val="nil"/>
              <w:bottom w:val="nil"/>
              <w:right w:val="nil"/>
            </w:tcBorders>
          </w:tcPr>
          <w:p w14:paraId="1BF2F18B" w14:textId="77777777" w:rsidR="00AE4EA7" w:rsidRDefault="00000000">
            <w:pPr>
              <w:widowControl w:val="0"/>
              <w:spacing w:after="0" w:line="240" w:lineRule="auto"/>
              <w:rPr>
                <w:rFonts w:cstheme="minorHAnsi"/>
              </w:rPr>
            </w:pPr>
            <w:r>
              <w:rPr>
                <w:rFonts w:eastAsia="Calibri" w:cstheme="minorHAnsi"/>
              </w:rPr>
              <w:t xml:space="preserve">Sonja </w:t>
            </w:r>
            <w:r w:rsidRPr="004832F9">
              <w:rPr>
                <w:rFonts w:eastAsia="Calibri" w:cstheme="minorHAnsi"/>
              </w:rPr>
              <w:t>Holst</w:t>
            </w:r>
          </w:p>
        </w:tc>
        <w:tc>
          <w:tcPr>
            <w:tcW w:w="6694" w:type="dxa"/>
            <w:tcBorders>
              <w:top w:val="nil"/>
              <w:left w:val="nil"/>
              <w:bottom w:val="nil"/>
              <w:right w:val="nil"/>
            </w:tcBorders>
          </w:tcPr>
          <w:p w14:paraId="52291A24" w14:textId="77777777" w:rsidR="00AE4EA7" w:rsidRDefault="00000000">
            <w:pPr>
              <w:widowControl w:val="0"/>
              <w:spacing w:after="0" w:line="240" w:lineRule="auto"/>
              <w:rPr>
                <w:rFonts w:cstheme="minorHAnsi"/>
              </w:rPr>
            </w:pPr>
            <w:r>
              <w:rPr>
                <w:rFonts w:eastAsia="Calibri" w:cstheme="minorHAnsi"/>
              </w:rPr>
              <w:t>Charité - Universitätsmedizin Berlin</w:t>
            </w:r>
          </w:p>
        </w:tc>
      </w:tr>
      <w:tr w:rsidR="00AE4EA7" w14:paraId="7848A971" w14:textId="77777777">
        <w:tc>
          <w:tcPr>
            <w:tcW w:w="2517" w:type="dxa"/>
            <w:tcBorders>
              <w:top w:val="nil"/>
              <w:left w:val="nil"/>
              <w:bottom w:val="nil"/>
              <w:right w:val="nil"/>
            </w:tcBorders>
          </w:tcPr>
          <w:p w14:paraId="685363D5" w14:textId="77777777" w:rsidR="00AE4EA7" w:rsidRDefault="00000000">
            <w:pPr>
              <w:widowControl w:val="0"/>
              <w:spacing w:after="0" w:line="240" w:lineRule="auto"/>
              <w:rPr>
                <w:rFonts w:cstheme="minorHAnsi"/>
              </w:rPr>
            </w:pPr>
            <w:r>
              <w:rPr>
                <w:rFonts w:eastAsia="Calibri" w:cstheme="minorHAnsi"/>
              </w:rPr>
              <w:t>Bernd Schütze</w:t>
            </w:r>
          </w:p>
        </w:tc>
        <w:tc>
          <w:tcPr>
            <w:tcW w:w="6694" w:type="dxa"/>
            <w:tcBorders>
              <w:top w:val="nil"/>
              <w:left w:val="nil"/>
              <w:bottom w:val="nil"/>
              <w:right w:val="nil"/>
            </w:tcBorders>
          </w:tcPr>
          <w:p w14:paraId="6229CA74" w14:textId="77777777" w:rsidR="00AE4EA7" w:rsidRDefault="00000000">
            <w:pPr>
              <w:widowControl w:val="0"/>
              <w:spacing w:after="0" w:line="240" w:lineRule="auto"/>
              <w:rPr>
                <w:rFonts w:cstheme="minorHAnsi"/>
              </w:rPr>
            </w:pPr>
            <w:r>
              <w:rPr>
                <w:rFonts w:eastAsia="Calibri" w:cstheme="minorHAnsi"/>
              </w:rPr>
              <w:t xml:space="preserve">Deutsche Telekom </w:t>
            </w:r>
            <w:r w:rsidRPr="004832F9">
              <w:rPr>
                <w:rFonts w:eastAsia="Calibri" w:cstheme="minorHAnsi"/>
              </w:rPr>
              <w:t>Healthcare</w:t>
            </w:r>
            <w:r>
              <w:rPr>
                <w:rFonts w:eastAsia="Calibri" w:cstheme="minorHAnsi"/>
              </w:rPr>
              <w:t xml:space="preserve"> </w:t>
            </w:r>
            <w:r w:rsidRPr="004832F9">
              <w:rPr>
                <w:rFonts w:eastAsia="Calibri" w:cstheme="minorHAnsi"/>
              </w:rPr>
              <w:t>and</w:t>
            </w:r>
            <w:r>
              <w:rPr>
                <w:rFonts w:eastAsia="Calibri" w:cstheme="minorHAnsi"/>
              </w:rPr>
              <w:t xml:space="preserve"> Security GmbH</w:t>
            </w:r>
          </w:p>
        </w:tc>
      </w:tr>
      <w:tr w:rsidR="00AE4EA7" w14:paraId="5D843865" w14:textId="77777777">
        <w:tc>
          <w:tcPr>
            <w:tcW w:w="2517" w:type="dxa"/>
            <w:tcBorders>
              <w:top w:val="nil"/>
              <w:left w:val="nil"/>
              <w:bottom w:val="nil"/>
              <w:right w:val="nil"/>
            </w:tcBorders>
          </w:tcPr>
          <w:p w14:paraId="16994412" w14:textId="77777777" w:rsidR="00AE4EA7" w:rsidRDefault="00000000">
            <w:pPr>
              <w:widowControl w:val="0"/>
              <w:spacing w:after="0" w:line="240" w:lineRule="auto"/>
              <w:rPr>
                <w:rFonts w:cstheme="minorHAnsi"/>
              </w:rPr>
            </w:pPr>
            <w:r>
              <w:rPr>
                <w:rFonts w:eastAsia="Calibri" w:cstheme="minorHAnsi"/>
              </w:rPr>
              <w:t>Gerald Spyra</w:t>
            </w:r>
          </w:p>
        </w:tc>
        <w:tc>
          <w:tcPr>
            <w:tcW w:w="6694" w:type="dxa"/>
            <w:tcBorders>
              <w:top w:val="nil"/>
              <w:left w:val="nil"/>
              <w:bottom w:val="nil"/>
              <w:right w:val="nil"/>
            </w:tcBorders>
          </w:tcPr>
          <w:p w14:paraId="10D52F4C" w14:textId="77777777" w:rsidR="00AE4EA7" w:rsidRDefault="00000000">
            <w:pPr>
              <w:widowControl w:val="0"/>
              <w:spacing w:after="0" w:line="240" w:lineRule="auto"/>
              <w:rPr>
                <w:rFonts w:cstheme="minorHAnsi"/>
              </w:rPr>
            </w:pPr>
            <w:r w:rsidRPr="004832F9">
              <w:rPr>
                <w:rFonts w:eastAsia="Calibri" w:cstheme="minorHAnsi"/>
              </w:rPr>
              <w:t>Ratajczak</w:t>
            </w:r>
            <w:r>
              <w:rPr>
                <w:rFonts w:eastAsia="Calibri" w:cstheme="minorHAnsi"/>
              </w:rPr>
              <w:t xml:space="preserve"> und Partner </w:t>
            </w:r>
            <w:r w:rsidRPr="004832F9">
              <w:rPr>
                <w:rFonts w:eastAsia="Calibri" w:cstheme="minorHAnsi"/>
              </w:rPr>
              <w:t>mbB</w:t>
            </w:r>
            <w:r>
              <w:rPr>
                <w:rFonts w:eastAsia="Calibri" w:cstheme="minorHAnsi"/>
              </w:rPr>
              <w:t xml:space="preserve"> Rechtsanwälte</w:t>
            </w:r>
          </w:p>
        </w:tc>
      </w:tr>
    </w:tbl>
    <w:p w14:paraId="347466F7" w14:textId="77777777" w:rsidR="00AE4EA7" w:rsidRDefault="00AE4EA7">
      <w:pPr>
        <w:rPr>
          <w:rFonts w:cstheme="minorHAnsi"/>
        </w:rPr>
      </w:pPr>
    </w:p>
    <w:p w14:paraId="709ED743" w14:textId="77777777" w:rsidR="00AE4EA7" w:rsidRDefault="00000000">
      <w:pPr>
        <w:spacing w:after="0"/>
        <w:rPr>
          <w:rFonts w:ascii="Cambria" w:hAnsi="Cambria"/>
          <w:color w:val="0070C0"/>
          <w:sz w:val="28"/>
          <w:szCs w:val="28"/>
        </w:rPr>
      </w:pPr>
      <w:r>
        <w:rPr>
          <w:rFonts w:ascii="Cambria" w:hAnsi="Cambria"/>
          <w:color w:val="0070C0"/>
          <w:sz w:val="28"/>
          <w:szCs w:val="28"/>
        </w:rPr>
        <w:t>Geschlechtergerechte Sprache</w:t>
      </w:r>
    </w:p>
    <w:p w14:paraId="18B514C3" w14:textId="77777777" w:rsidR="00AE4EA7" w:rsidRDefault="00000000">
      <w:pPr>
        <w:spacing w:after="0"/>
      </w:pPr>
      <w:r>
        <w:t>Hinweis bzgl. geschlechtsneutraler Formulierung im gesamten Text:</w:t>
      </w:r>
    </w:p>
    <w:p w14:paraId="75EA3435" w14:textId="2B37C3A3" w:rsidR="00AE4EA7" w:rsidRDefault="00000000">
      <w:pPr>
        <w:pStyle w:val="Listenabsatz"/>
        <w:numPr>
          <w:ilvl w:val="0"/>
          <w:numId w:val="24"/>
        </w:numPr>
      </w:pPr>
      <w:r>
        <w:t xml:space="preserve">Eine gleichstellungsgerechte Gesellschaft erfordert eine geschlechterneutrale Sprache. Geschlechterneutrale Sprache muss im deutschen Umfeld drei Geschlechtern gerecht </w:t>
      </w:r>
      <w:r w:rsidR="00311345">
        <w:t>werden</w:t>
      </w:r>
      <w:r>
        <w:t xml:space="preserve">: </w:t>
      </w:r>
      <w:r w:rsidRPr="004832F9">
        <w:t>Divers</w:t>
      </w:r>
      <w:r>
        <w:t>, Frauen und Männern.</w:t>
      </w:r>
    </w:p>
    <w:p w14:paraId="34E1DE60" w14:textId="77777777" w:rsidR="00AE4EA7" w:rsidRDefault="00000000">
      <w:pPr>
        <w:pStyle w:val="Listenabsatz"/>
        <w:numPr>
          <w:ilvl w:val="0"/>
          <w:numId w:val="24"/>
        </w:numPr>
      </w:pPr>
      <w:r>
        <w:t>Im folgenden Text werden, soweit möglich und sinnvoll, entsprechende Formulierungen genutzt (z. B. Paarformeln, Ableitungen). Personenbezeichnungen, bei denen es sich um juristische Fachbegriffe handelt, die sowohl natürliche als auch juristische Personen bezeichnen können, werden im folgenden Text nicht durch Paarformeln ersetzt. Dies gilt auch für technische Fachbegriffe, Definitionen und Zitate aus Normen (z. B. DIN EN ISO) und gesetzlichen Vorschriften. Entsprechende Begriffe sind im Sinne der Gleichbehandlung geschlechtsneutral zu interpretieren.</w:t>
      </w:r>
    </w:p>
    <w:p w14:paraId="581CCBEF" w14:textId="77777777" w:rsidR="00AE4EA7" w:rsidRDefault="00000000">
      <w:pPr>
        <w:pStyle w:val="Listenabsatz"/>
        <w:numPr>
          <w:ilvl w:val="0"/>
          <w:numId w:val="24"/>
        </w:numPr>
      </w:pPr>
      <w:r>
        <w:t>Wo aus Gründen der leichteren Lesbarkeit bei personenbezogenen Substantiven und Pronomen nur ein Geschlecht dargestellt wurde, impliziert dies jedoch keine Benachteiligung der anderen beiden Geschlechter, sondern soll im Sinne der sprachlichen Vereinfachung als geschlechtsneutral verstanden werden.</w:t>
      </w:r>
    </w:p>
    <w:p w14:paraId="1DCEEACC" w14:textId="77777777" w:rsidR="00AE4EA7" w:rsidRDefault="00000000">
      <w:pPr>
        <w:jc w:val="left"/>
      </w:pPr>
      <w:r>
        <w:br w:type="page"/>
      </w:r>
    </w:p>
    <w:p w14:paraId="26126389" w14:textId="77777777" w:rsidR="00AE4EA7" w:rsidRDefault="00000000">
      <w:pPr>
        <w:pStyle w:val="Untertitel"/>
      </w:pPr>
      <w:bookmarkStart w:id="0" w:name="_Toc467402030"/>
      <w:bookmarkStart w:id="1" w:name="_Toc492282807"/>
      <w:bookmarkStart w:id="2" w:name="_Toc473233932"/>
      <w:bookmarkStart w:id="3" w:name="_Toc470630151"/>
      <w:bookmarkStart w:id="4" w:name="_Toc466177206"/>
      <w:bookmarkStart w:id="5" w:name="_Toc472750820"/>
      <w:bookmarkStart w:id="6" w:name="_Toc472754490"/>
      <w:bookmarkStart w:id="7" w:name="_Toc466177268"/>
      <w:bookmarkStart w:id="8" w:name="_Toc478037173"/>
      <w:bookmarkStart w:id="9" w:name="_Toc472062819"/>
      <w:bookmarkStart w:id="10" w:name="_Toc472062746"/>
      <w:bookmarkStart w:id="11" w:name="_Toc481399823"/>
      <w:bookmarkStart w:id="12" w:name="_Toc484343753"/>
      <w:bookmarkStart w:id="13" w:name="_Toc470630228"/>
      <w:bookmarkStart w:id="14" w:name="_Toc481838553"/>
      <w:bookmarkStart w:id="15" w:name="_Toc486696416"/>
      <w:bookmarkStart w:id="16" w:name="_Toc488391371"/>
      <w:bookmarkStart w:id="17" w:name="_Toc474495489"/>
      <w:bookmarkStart w:id="18" w:name="_Toc384031309"/>
      <w:bookmarkStart w:id="19" w:name="_Toc488390183"/>
      <w:bookmarkStart w:id="20" w:name="_Toc478204418"/>
      <w:bookmarkStart w:id="21" w:name="_Toc478725842"/>
      <w:bookmarkStart w:id="22" w:name="_Toc474485678"/>
      <w:bookmarkStart w:id="23" w:name="_Toc492202025"/>
      <w:bookmarkStart w:id="24" w:name="_Toc472846406"/>
      <w:bookmarkStart w:id="25" w:name="_Toc476302738"/>
      <w:bookmarkStart w:id="26" w:name="_Toc478037313"/>
      <w:bookmarkStart w:id="27" w:name="_Toc472700194"/>
      <w:bookmarkStart w:id="28" w:name="_Toc474484946"/>
      <w:r>
        <w:t>Haftungsausschluss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A8146ED" w14:textId="77777777" w:rsidR="00AE4EA7" w:rsidRDefault="00000000">
      <w:pPr>
        <w:rPr>
          <w:rFonts w:cs="Arial"/>
          <w:sz w:val="21"/>
          <w:szCs w:val="21"/>
        </w:rPr>
      </w:pPr>
      <w:r>
        <w:rPr>
          <w:rFonts w:cs="Arial"/>
          <w:sz w:val="21"/>
          <w:szCs w:val="21"/>
        </w:rPr>
        <w:t>Das vorliegende Werk ist nach bestem Wissen erstellt, der Inhalt wurde von den Autoren mit größter Sorgfalt zusammengestellt. Dennoch ist diese Ausarbeitung nur als Standpunkt der Autoren aufzufassen, eine Haftung für die Angaben übernehmen die Autoren nicht. Die in diesem Werk gegebenen Hinweise dürfen daher nicht direkt übernommen werden, sondern müssen vom Leser für die jeweilige Situation anhand der geltenden Vorschriften geprüft und angepasst werden.</w:t>
      </w:r>
    </w:p>
    <w:p w14:paraId="3C8AC8DD" w14:textId="77777777" w:rsidR="00AE4EA7" w:rsidRDefault="00000000">
      <w:pPr>
        <w:rPr>
          <w:rFonts w:cs="Arial"/>
          <w:sz w:val="21"/>
          <w:szCs w:val="21"/>
        </w:rPr>
      </w:pPr>
      <w:r>
        <w:rPr>
          <w:rFonts w:cs="Arial"/>
          <w:sz w:val="21"/>
          <w:szCs w:val="21"/>
        </w:rPr>
        <w:t>Die Autoren sind bestrebt, in allen Publikationen die Urheberrechte der verwendeten Texte zu beachten, von ihnen selbst erstellte Texte zu nutzen oder auf lizenzfreie Texte zurückzugreifen.</w:t>
      </w:r>
    </w:p>
    <w:p w14:paraId="3348AD2A" w14:textId="77777777" w:rsidR="00AE4EA7" w:rsidRDefault="00000000">
      <w:pPr>
        <w:rPr>
          <w:rFonts w:cs="Arial"/>
          <w:sz w:val="21"/>
          <w:szCs w:val="21"/>
        </w:rPr>
      </w:pPr>
      <w:r>
        <w:rPr>
          <w:rFonts w:cs="Arial"/>
          <w:sz w:val="21"/>
          <w:szCs w:val="21"/>
        </w:rPr>
        <w:t>Alle innerhalb dieses Dokumentes genannten und ggf. durch Dritte geschützten Marken- und Warenzeichen unterliegen uneingeschränkt den Bestimmungen des jeweils gültigen Kennzeichenrechts und den Besitzrechten der jeweiligen eingetragenen Eigentümer. Allein aufgrund der bloßen Nennung ist nicht der Schluss zu ziehen, dass Markenzeichen nicht durch Rechte Dritter geschützt sind!</w:t>
      </w:r>
    </w:p>
    <w:p w14:paraId="0627E6CC" w14:textId="77777777" w:rsidR="00AE4EA7" w:rsidRDefault="00000000">
      <w:pPr>
        <w:pStyle w:val="Untertitel"/>
      </w:pPr>
      <w:bookmarkStart w:id="29" w:name="_Toc481838554"/>
      <w:bookmarkStart w:id="30" w:name="_Toc481399824"/>
      <w:bookmarkStart w:id="31" w:name="_Toc467402031"/>
      <w:bookmarkStart w:id="32" w:name="_Toc486696417"/>
      <w:bookmarkStart w:id="33" w:name="_Toc492202026"/>
      <w:bookmarkStart w:id="34" w:name="_Toc488391372"/>
      <w:bookmarkStart w:id="35" w:name="_Toc400089231"/>
      <w:bookmarkStart w:id="36" w:name="_Toc472750821"/>
      <w:bookmarkStart w:id="37" w:name="_Toc472754491"/>
      <w:bookmarkStart w:id="38" w:name="_Toc474484947"/>
      <w:bookmarkStart w:id="39" w:name="_Toc492282808"/>
      <w:bookmarkStart w:id="40" w:name="_Toc470630229"/>
      <w:bookmarkStart w:id="41" w:name="_Toc478204419"/>
      <w:bookmarkStart w:id="42" w:name="_Toc472700195"/>
      <w:bookmarkStart w:id="43" w:name="_Toc474495490"/>
      <w:bookmarkStart w:id="44" w:name="_Toc472062820"/>
      <w:bookmarkStart w:id="45" w:name="_Toc466177269"/>
      <w:bookmarkStart w:id="46" w:name="_Toc466177207"/>
      <w:bookmarkStart w:id="47" w:name="_Toc488390184"/>
      <w:bookmarkStart w:id="48" w:name="_Toc484343754"/>
      <w:bookmarkStart w:id="49" w:name="_Toc478725843"/>
      <w:bookmarkStart w:id="50" w:name="_Toc470630152"/>
      <w:bookmarkStart w:id="51" w:name="_Toc472846407"/>
      <w:bookmarkStart w:id="52" w:name="_Toc478037314"/>
      <w:bookmarkStart w:id="53" w:name="_Toc476302739"/>
      <w:bookmarkStart w:id="54" w:name="_Toc472062747"/>
      <w:bookmarkStart w:id="55" w:name="_Toc473233933"/>
      <w:bookmarkStart w:id="56" w:name="_Toc474485679"/>
      <w:bookmarkStart w:id="57" w:name="_Toc478037174"/>
      <w:r>
        <w:t>Copyright</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3CDDEF9" w14:textId="77777777" w:rsidR="00AE4EA7" w:rsidRDefault="00000000">
      <w:pPr>
        <w:rPr>
          <w:rFonts w:cs="Arial"/>
          <w:sz w:val="21"/>
          <w:szCs w:val="21"/>
        </w:rPr>
      </w:pPr>
      <w:r>
        <w:rPr>
          <w:rFonts w:cs="Arial"/>
          <w:sz w:val="21"/>
          <w:szCs w:val="21"/>
        </w:rPr>
        <w:t>Für in diesem Dokument veröffentlichte, von den Autoren selbst erstellte Objekte gilt hinsichtlich des Copyrights die folgende Regelung:</w:t>
      </w:r>
    </w:p>
    <w:p w14:paraId="4BEFDF82" w14:textId="77777777" w:rsidR="00AE4EA7" w:rsidRDefault="00000000">
      <w:pPr>
        <w:spacing w:after="0"/>
        <w:rPr>
          <w:rFonts w:cs="Arial"/>
          <w:sz w:val="21"/>
          <w:szCs w:val="21"/>
        </w:rPr>
      </w:pPr>
      <w:r>
        <w:rPr>
          <w:noProof/>
        </w:rPr>
        <w:drawing>
          <wp:anchor distT="0" distB="0" distL="114300" distR="114300" simplePos="0" relativeHeight="3" behindDoc="0" locked="0" layoutInCell="0" allowOverlap="1" wp14:anchorId="48882AEE" wp14:editId="2AE3B85D">
            <wp:simplePos x="0" y="0"/>
            <wp:positionH relativeFrom="column">
              <wp:posOffset>4981575</wp:posOffset>
            </wp:positionH>
            <wp:positionV relativeFrom="paragraph">
              <wp:posOffset>9525</wp:posOffset>
            </wp:positionV>
            <wp:extent cx="838200" cy="295275"/>
            <wp:effectExtent l="0" t="0" r="0" b="0"/>
            <wp:wrapSquare wrapText="bothSides"/>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noChangeArrowheads="1"/>
                    </pic:cNvPicPr>
                  </pic:nvPicPr>
                  <pic:blipFill>
                    <a:blip r:embed="rId17"/>
                    <a:stretch>
                      <a:fillRect/>
                    </a:stretch>
                  </pic:blipFill>
                  <pic:spPr bwMode="auto">
                    <a:xfrm>
                      <a:off x="0" y="0"/>
                      <a:ext cx="838200" cy="295275"/>
                    </a:xfrm>
                    <a:prstGeom prst="rect">
                      <a:avLst/>
                    </a:prstGeom>
                  </pic:spPr>
                </pic:pic>
              </a:graphicData>
            </a:graphic>
          </wp:anchor>
        </w:drawing>
      </w:r>
      <w:r>
        <w:rPr>
          <w:rFonts w:cs="Arial"/>
          <w:sz w:val="21"/>
          <w:szCs w:val="21"/>
        </w:rPr>
        <w:t xml:space="preserve">Dieses Werk ist unter einer </w:t>
      </w:r>
      <w:r w:rsidRPr="004832F9">
        <w:rPr>
          <w:rFonts w:cs="Arial"/>
          <w:sz w:val="21"/>
          <w:szCs w:val="21"/>
        </w:rPr>
        <w:t>Creative</w:t>
      </w:r>
      <w:r>
        <w:rPr>
          <w:rFonts w:cs="Arial"/>
          <w:sz w:val="21"/>
          <w:szCs w:val="21"/>
        </w:rPr>
        <w:t xml:space="preserve"> Commons-Lizenz (4.0 Deutschland Lizenzvertrag) lizenziert.</w:t>
      </w:r>
      <w:r>
        <w:rPr>
          <w:sz w:val="21"/>
          <w:szCs w:val="21"/>
          <w:lang w:eastAsia="de-DE"/>
        </w:rPr>
        <w:t xml:space="preserve"> </w:t>
      </w:r>
      <w:r>
        <w:rPr>
          <w:rFonts w:cs="Arial"/>
          <w:sz w:val="21"/>
          <w:szCs w:val="21"/>
        </w:rPr>
        <w:t>D. h. Sie dürfen:</w:t>
      </w:r>
    </w:p>
    <w:p w14:paraId="4C5E4B07" w14:textId="77777777" w:rsidR="00AE4EA7" w:rsidRDefault="00000000">
      <w:pPr>
        <w:pStyle w:val="Listenabsatz"/>
        <w:numPr>
          <w:ilvl w:val="0"/>
          <w:numId w:val="9"/>
        </w:numPr>
        <w:spacing w:after="0"/>
        <w:ind w:left="714" w:hanging="357"/>
        <w:rPr>
          <w:rFonts w:cs="Arial"/>
          <w:sz w:val="21"/>
          <w:szCs w:val="21"/>
        </w:rPr>
      </w:pPr>
      <w:r>
        <w:rPr>
          <w:rFonts w:cs="Arial"/>
          <w:sz w:val="21"/>
          <w:szCs w:val="21"/>
        </w:rPr>
        <w:t xml:space="preserve">Teilen: Das Material in jedwedem Format oder Medium vervielfältigen und </w:t>
      </w:r>
      <w:r w:rsidRPr="004832F9">
        <w:rPr>
          <w:rFonts w:cs="Arial"/>
          <w:sz w:val="21"/>
          <w:szCs w:val="21"/>
        </w:rPr>
        <w:t>weiterverbreiten</w:t>
      </w:r>
    </w:p>
    <w:p w14:paraId="58712C59" w14:textId="77777777" w:rsidR="00AE4EA7" w:rsidRDefault="00000000">
      <w:pPr>
        <w:pStyle w:val="Listenabsatz"/>
        <w:numPr>
          <w:ilvl w:val="0"/>
          <w:numId w:val="9"/>
        </w:numPr>
        <w:spacing w:after="0"/>
        <w:ind w:left="714" w:hanging="357"/>
        <w:rPr>
          <w:rFonts w:cs="Arial"/>
          <w:sz w:val="21"/>
          <w:szCs w:val="21"/>
        </w:rPr>
      </w:pPr>
      <w:r>
        <w:rPr>
          <w:rFonts w:cs="Arial"/>
          <w:sz w:val="21"/>
          <w:szCs w:val="21"/>
        </w:rPr>
        <w:t xml:space="preserve">Bearbeiten: Das Material remixen, verändern und darauf </w:t>
      </w:r>
      <w:r w:rsidRPr="004832F9">
        <w:rPr>
          <w:rFonts w:cs="Arial"/>
          <w:sz w:val="21"/>
          <w:szCs w:val="21"/>
        </w:rPr>
        <w:t>aufbauen</w:t>
      </w:r>
    </w:p>
    <w:p w14:paraId="08BF4640" w14:textId="77777777" w:rsidR="00AE4EA7" w:rsidRDefault="00000000">
      <w:pPr>
        <w:rPr>
          <w:rFonts w:cs="Arial"/>
          <w:sz w:val="21"/>
          <w:szCs w:val="21"/>
        </w:rPr>
      </w:pPr>
      <w:r w:rsidRPr="004832F9">
        <w:rPr>
          <w:rFonts w:cs="Arial"/>
          <w:sz w:val="21"/>
          <w:szCs w:val="21"/>
        </w:rPr>
        <w:t>und</w:t>
      </w:r>
      <w:r>
        <w:rPr>
          <w:rFonts w:cs="Arial"/>
          <w:sz w:val="21"/>
          <w:szCs w:val="21"/>
        </w:rPr>
        <w:t xml:space="preserve"> zwar für beliebige Zwecke, sogar kommerziell. Der Lizenzgeber kann diese Freiheiten nicht widerrufen, solange Sie sich an die Lizenzbedingungen halten.</w:t>
      </w:r>
    </w:p>
    <w:p w14:paraId="2CF6B8A7" w14:textId="77777777" w:rsidR="00AE4EA7" w:rsidRDefault="00000000">
      <w:pPr>
        <w:spacing w:after="0"/>
        <w:rPr>
          <w:rFonts w:cs="Arial"/>
          <w:sz w:val="21"/>
          <w:szCs w:val="21"/>
        </w:rPr>
      </w:pPr>
      <w:r>
        <w:rPr>
          <w:rFonts w:cs="Arial"/>
          <w:sz w:val="21"/>
          <w:szCs w:val="21"/>
        </w:rPr>
        <w:t>Die Nutzung ist unter den folgenden Bedingungen möglich:</w:t>
      </w:r>
    </w:p>
    <w:p w14:paraId="1016A960" w14:textId="77777777" w:rsidR="00AE4EA7" w:rsidRDefault="00000000">
      <w:pPr>
        <w:pStyle w:val="Listenabsatz"/>
        <w:numPr>
          <w:ilvl w:val="0"/>
          <w:numId w:val="9"/>
        </w:numPr>
        <w:spacing w:after="0"/>
        <w:rPr>
          <w:rFonts w:cs="Arial"/>
          <w:sz w:val="21"/>
          <w:szCs w:val="21"/>
        </w:rPr>
      </w:pPr>
      <w:r>
        <w:rPr>
          <w:rFonts w:cs="Arial"/>
          <w:sz w:val="21"/>
          <w:szCs w:val="21"/>
        </w:rPr>
        <w:t>Namensnennung: Sie müssen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Sie oder Ihre Nutzung besonders.</w:t>
      </w:r>
    </w:p>
    <w:p w14:paraId="506C7F06" w14:textId="77777777" w:rsidR="00AE4EA7" w:rsidRDefault="00000000">
      <w:pPr>
        <w:pStyle w:val="Listenabsatz"/>
        <w:numPr>
          <w:ilvl w:val="0"/>
          <w:numId w:val="9"/>
        </w:numPr>
        <w:spacing w:after="0"/>
        <w:rPr>
          <w:rFonts w:cs="Arial"/>
          <w:sz w:val="21"/>
          <w:szCs w:val="21"/>
        </w:rPr>
      </w:pPr>
      <w:r>
        <w:rPr>
          <w:rFonts w:cs="Arial"/>
          <w:sz w:val="21"/>
          <w:szCs w:val="21"/>
        </w:rPr>
        <w:t>Weitergabe unter gleichen Bedingungen: Wenn Sie das Material remixen, verändern oder anderweitig direkt darauf aufbauen, dürfen Sie Ihre Beiträge nur unter derselben Lizenz wie das Original verbreiten.</w:t>
      </w:r>
    </w:p>
    <w:p w14:paraId="6D51D707" w14:textId="77777777" w:rsidR="00AE4EA7" w:rsidRDefault="00000000">
      <w:pPr>
        <w:pStyle w:val="Listenabsatz"/>
        <w:numPr>
          <w:ilvl w:val="0"/>
          <w:numId w:val="9"/>
        </w:numPr>
        <w:spacing w:after="80"/>
        <w:ind w:left="714" w:hanging="357"/>
        <w:rPr>
          <w:rFonts w:cs="Arial"/>
          <w:sz w:val="21"/>
          <w:szCs w:val="21"/>
        </w:rPr>
      </w:pPr>
      <w:r>
        <w:rPr>
          <w:rFonts w:cs="Arial"/>
          <w:sz w:val="21"/>
          <w:szCs w:val="21"/>
        </w:rPr>
        <w:t>Keine weiteren Einschränkungen: Sie dürfen keine zusätzlichen Klauseln oder technische Verfahren einsetzen, die anderen rechtlich irgendetwas untersagen, was die Lizenz erlaubt.</w:t>
      </w:r>
    </w:p>
    <w:p w14:paraId="77B31D2D" w14:textId="77777777" w:rsidR="00AE4EA7" w:rsidRDefault="00000000">
      <w:pPr>
        <w:spacing w:after="0"/>
        <w:rPr>
          <w:rFonts w:cs="Arial"/>
          <w:sz w:val="21"/>
          <w:szCs w:val="21"/>
        </w:rPr>
      </w:pPr>
      <w:r>
        <w:rPr>
          <w:rFonts w:cs="Arial"/>
          <w:sz w:val="21"/>
          <w:szCs w:val="21"/>
        </w:rPr>
        <w:t>Im Weiteren gilt:</w:t>
      </w:r>
    </w:p>
    <w:p w14:paraId="2D734E72" w14:textId="77777777" w:rsidR="00AE4EA7" w:rsidRDefault="00000000">
      <w:pPr>
        <w:pStyle w:val="Listenabsatz"/>
        <w:numPr>
          <w:ilvl w:val="0"/>
          <w:numId w:val="9"/>
        </w:numPr>
        <w:spacing w:after="0"/>
        <w:ind w:left="714" w:hanging="357"/>
        <w:rPr>
          <w:rFonts w:cs="Arial"/>
          <w:sz w:val="21"/>
          <w:szCs w:val="21"/>
        </w:rPr>
      </w:pPr>
      <w:r>
        <w:rPr>
          <w:rFonts w:cs="Arial"/>
          <w:sz w:val="21"/>
          <w:szCs w:val="21"/>
        </w:rPr>
        <w:t>Jede der vorgenannten Bedingungen kann aufgehoben werden, sofern Sie die Einwilligung des Rechteinhabers dazu erhalten.</w:t>
      </w:r>
    </w:p>
    <w:p w14:paraId="3B953212" w14:textId="77777777" w:rsidR="00AE4EA7" w:rsidRDefault="00000000">
      <w:pPr>
        <w:pStyle w:val="Listenabsatz"/>
        <w:numPr>
          <w:ilvl w:val="0"/>
          <w:numId w:val="9"/>
        </w:numPr>
        <w:spacing w:after="0"/>
        <w:ind w:left="714" w:hanging="357"/>
        <w:rPr>
          <w:rFonts w:cs="Arial"/>
          <w:sz w:val="21"/>
          <w:szCs w:val="21"/>
        </w:rPr>
      </w:pPr>
      <w:r>
        <w:rPr>
          <w:rFonts w:cs="Arial"/>
          <w:sz w:val="21"/>
          <w:szCs w:val="21"/>
        </w:rPr>
        <w:t>Diese Lizenz lässt die Urheberpersönlichkeitsrechte unberührt.</w:t>
      </w:r>
    </w:p>
    <w:p w14:paraId="65AEC164" w14:textId="77777777" w:rsidR="00AE4EA7" w:rsidRDefault="00000000">
      <w:pPr>
        <w:spacing w:after="0"/>
        <w:rPr>
          <w:rFonts w:cs="Arial"/>
          <w:sz w:val="21"/>
          <w:szCs w:val="21"/>
        </w:rPr>
      </w:pPr>
      <w:r>
        <w:rPr>
          <w:rFonts w:cs="Arial"/>
          <w:sz w:val="21"/>
          <w:szCs w:val="21"/>
        </w:rPr>
        <w:t>Um sich die Lizenz anzusehen, gehen Sie bitte ins Internet auf die Webseite:</w:t>
      </w:r>
    </w:p>
    <w:p w14:paraId="7C3E05E5" w14:textId="1E998776" w:rsidR="00AE4EA7" w:rsidRPr="004832F9" w:rsidRDefault="00000000">
      <w:pPr>
        <w:spacing w:after="0"/>
        <w:jc w:val="center"/>
        <w:rPr>
          <w:rFonts w:cs="Arial"/>
          <w:sz w:val="21"/>
          <w:szCs w:val="21"/>
        </w:rPr>
      </w:pPr>
      <w:hyperlink r:id="rId18" w:history="1">
        <w:r w:rsidR="0051608C" w:rsidRPr="00D45EB4">
          <w:rPr>
            <w:rStyle w:val="Hyperlink"/>
            <w:rFonts w:cs="Arial"/>
            <w:sz w:val="21"/>
            <w:szCs w:val="21"/>
          </w:rPr>
          <w:t>https://creativecommons.org/licenses/by-sa/4.0/deed.de</w:t>
        </w:r>
      </w:hyperlink>
    </w:p>
    <w:p w14:paraId="727529F5" w14:textId="77777777" w:rsidR="00AE4EA7" w:rsidRDefault="00000000">
      <w:pPr>
        <w:spacing w:after="0"/>
        <w:rPr>
          <w:rFonts w:cs="Arial"/>
          <w:sz w:val="21"/>
          <w:szCs w:val="21"/>
        </w:rPr>
      </w:pPr>
      <w:r w:rsidRPr="004832F9">
        <w:rPr>
          <w:rFonts w:cs="Arial"/>
          <w:sz w:val="21"/>
          <w:szCs w:val="21"/>
        </w:rPr>
        <w:t>bzw.</w:t>
      </w:r>
      <w:r>
        <w:rPr>
          <w:rFonts w:cs="Arial"/>
          <w:sz w:val="21"/>
          <w:szCs w:val="21"/>
        </w:rPr>
        <w:t xml:space="preserve"> für den vollständigen Lizenztext</w:t>
      </w:r>
    </w:p>
    <w:p w14:paraId="1A808EFA" w14:textId="5FE1CEBC" w:rsidR="00AE4EA7" w:rsidRDefault="00000000">
      <w:pPr>
        <w:jc w:val="center"/>
        <w:rPr>
          <w:rFonts w:cs="Arial"/>
          <w:sz w:val="21"/>
          <w:szCs w:val="21"/>
        </w:rPr>
      </w:pPr>
      <w:hyperlink r:id="rId19" w:history="1">
        <w:r w:rsidR="00CA188B" w:rsidRPr="00EA57D8">
          <w:rPr>
            <w:rStyle w:val="Hyperlink"/>
            <w:rFonts w:cs="Arial"/>
            <w:sz w:val="21"/>
            <w:szCs w:val="21"/>
          </w:rPr>
          <w:t>https://creativecommons.org/licenses/by-</w:t>
        </w:r>
        <w:r w:rsidR="00CA188B" w:rsidRPr="004832F9">
          <w:rPr>
            <w:rStyle w:val="Hyperlink"/>
            <w:rFonts w:cs="Arial"/>
            <w:sz w:val="21"/>
            <w:szCs w:val="21"/>
          </w:rPr>
          <w:t>sa</w:t>
        </w:r>
        <w:r w:rsidR="00CA188B" w:rsidRPr="00EA57D8">
          <w:rPr>
            <w:rStyle w:val="Hyperlink"/>
            <w:rFonts w:cs="Arial"/>
            <w:sz w:val="21"/>
            <w:szCs w:val="21"/>
          </w:rPr>
          <w:t>/4.0/</w:t>
        </w:r>
        <w:r w:rsidR="00CA188B" w:rsidRPr="004832F9">
          <w:rPr>
            <w:rStyle w:val="Hyperlink"/>
            <w:rFonts w:cs="Arial"/>
            <w:sz w:val="21"/>
            <w:szCs w:val="21"/>
          </w:rPr>
          <w:t>legalcode</w:t>
        </w:r>
      </w:hyperlink>
    </w:p>
    <w:p w14:paraId="35174634" w14:textId="77777777" w:rsidR="00CA188B" w:rsidRDefault="00CA188B" w:rsidP="00CA188B"/>
    <w:p w14:paraId="01759209" w14:textId="11E5E14A" w:rsidR="00CA188B" w:rsidRDefault="00CA188B">
      <w:pPr>
        <w:spacing w:after="0" w:line="240" w:lineRule="auto"/>
        <w:jc w:val="left"/>
      </w:pPr>
      <w:r>
        <w:br w:type="page"/>
      </w:r>
    </w:p>
    <w:p w14:paraId="0904354F" w14:textId="77777777" w:rsidR="00CA188B" w:rsidRDefault="00CA188B" w:rsidP="00CA188B">
      <w:pPr>
        <w:pStyle w:val="Untertitel"/>
      </w:pPr>
      <w:bookmarkStart w:id="58" w:name="_Toc512158335"/>
      <w:r>
        <w:t>Inhaltsverzeichnis</w:t>
      </w:r>
      <w:bookmarkEnd w:id="58"/>
    </w:p>
    <w:p w14:paraId="0C9CBBD8" w14:textId="77777777" w:rsidR="002F753E" w:rsidRPr="002F753E" w:rsidRDefault="002F753E" w:rsidP="002F753E"/>
    <w:sdt>
      <w:sdtPr>
        <w:rPr>
          <w:sz w:val="22"/>
          <w:szCs w:val="22"/>
        </w:rPr>
        <w:id w:val="375511176"/>
        <w:docPartObj>
          <w:docPartGallery w:val="Table of Contents"/>
          <w:docPartUnique/>
        </w:docPartObj>
      </w:sdtPr>
      <w:sdtEndPr>
        <w:rPr>
          <w:sz w:val="24"/>
          <w:szCs w:val="24"/>
        </w:rPr>
      </w:sdtEndPr>
      <w:sdtContent>
        <w:p w14:paraId="05EC9980" w14:textId="74F7CF8B" w:rsidR="002A7B67" w:rsidRDefault="00D720C3">
          <w:pPr>
            <w:pStyle w:val="Verzeichnis1"/>
            <w:rPr>
              <w:rFonts w:eastAsiaTheme="minorEastAsia" w:cstheme="minorBidi"/>
              <w:b w:val="0"/>
              <w:bCs w:val="0"/>
              <w:iCs w:val="0"/>
              <w:noProof/>
              <w:kern w:val="2"/>
              <w:sz w:val="22"/>
              <w:szCs w:val="22"/>
              <w:lang w:eastAsia="de-DE"/>
              <w14:ligatures w14:val="standardContextual"/>
            </w:rPr>
          </w:pPr>
          <w:r>
            <w:fldChar w:fldCharType="begin"/>
          </w:r>
          <w:r>
            <w:instrText xml:space="preserve"> TOC \o "1-4" \h \z \u </w:instrText>
          </w:r>
          <w:r>
            <w:fldChar w:fldCharType="separate"/>
          </w:r>
          <w:hyperlink w:anchor="_Toc154652579" w:history="1">
            <w:r w:rsidR="002A7B67" w:rsidRPr="00BA6ED6">
              <w:rPr>
                <w:rStyle w:val="Hyperlink"/>
                <w:noProof/>
              </w:rPr>
              <w:t>Zusammenfassung</w:t>
            </w:r>
            <w:r w:rsidR="002A7B67">
              <w:rPr>
                <w:noProof/>
                <w:webHidden/>
              </w:rPr>
              <w:tab/>
            </w:r>
            <w:r w:rsidR="002A7B67">
              <w:rPr>
                <w:noProof/>
                <w:webHidden/>
              </w:rPr>
              <w:fldChar w:fldCharType="begin"/>
            </w:r>
            <w:r w:rsidR="002A7B67">
              <w:rPr>
                <w:noProof/>
                <w:webHidden/>
              </w:rPr>
              <w:instrText xml:space="preserve"> PAGEREF _Toc154652579 \h </w:instrText>
            </w:r>
            <w:r w:rsidR="002A7B67">
              <w:rPr>
                <w:noProof/>
                <w:webHidden/>
              </w:rPr>
            </w:r>
            <w:r w:rsidR="002A7B67">
              <w:rPr>
                <w:noProof/>
                <w:webHidden/>
              </w:rPr>
              <w:fldChar w:fldCharType="separate"/>
            </w:r>
            <w:r w:rsidR="00C9149F">
              <w:rPr>
                <w:noProof/>
                <w:webHidden/>
              </w:rPr>
              <w:t>1</w:t>
            </w:r>
            <w:r w:rsidR="002A7B67">
              <w:rPr>
                <w:noProof/>
                <w:webHidden/>
              </w:rPr>
              <w:fldChar w:fldCharType="end"/>
            </w:r>
          </w:hyperlink>
        </w:p>
        <w:p w14:paraId="60C97912" w14:textId="369B4FB6"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580" w:history="1">
            <w:r w:rsidR="002A7B67" w:rsidRPr="00BA6ED6">
              <w:rPr>
                <w:rStyle w:val="Hyperlink"/>
                <w:noProof/>
              </w:rPr>
              <w:t>Vorwort zur zweiten Fassung</w:t>
            </w:r>
            <w:r w:rsidR="002A7B67">
              <w:rPr>
                <w:noProof/>
                <w:webHidden/>
              </w:rPr>
              <w:tab/>
            </w:r>
            <w:r w:rsidR="002A7B67">
              <w:rPr>
                <w:noProof/>
                <w:webHidden/>
              </w:rPr>
              <w:fldChar w:fldCharType="begin"/>
            </w:r>
            <w:r w:rsidR="002A7B67">
              <w:rPr>
                <w:noProof/>
                <w:webHidden/>
              </w:rPr>
              <w:instrText xml:space="preserve"> PAGEREF _Toc154652580 \h </w:instrText>
            </w:r>
            <w:r w:rsidR="002A7B67">
              <w:rPr>
                <w:noProof/>
                <w:webHidden/>
              </w:rPr>
            </w:r>
            <w:r w:rsidR="002A7B67">
              <w:rPr>
                <w:noProof/>
                <w:webHidden/>
              </w:rPr>
              <w:fldChar w:fldCharType="separate"/>
            </w:r>
            <w:r w:rsidR="00C9149F">
              <w:rPr>
                <w:noProof/>
                <w:webHidden/>
              </w:rPr>
              <w:t>2</w:t>
            </w:r>
            <w:r w:rsidR="002A7B67">
              <w:rPr>
                <w:noProof/>
                <w:webHidden/>
              </w:rPr>
              <w:fldChar w:fldCharType="end"/>
            </w:r>
          </w:hyperlink>
        </w:p>
        <w:p w14:paraId="2C36A2DF" w14:textId="4F531FCE"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581" w:history="1">
            <w:r w:rsidR="002A7B67" w:rsidRPr="00BA6ED6">
              <w:rPr>
                <w:rStyle w:val="Hyperlink"/>
                <w:noProof/>
              </w:rPr>
              <w:t>1</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Einleitung</w:t>
            </w:r>
            <w:r w:rsidR="002A7B67">
              <w:rPr>
                <w:noProof/>
                <w:webHidden/>
              </w:rPr>
              <w:tab/>
            </w:r>
            <w:r w:rsidR="002A7B67">
              <w:rPr>
                <w:noProof/>
                <w:webHidden/>
              </w:rPr>
              <w:fldChar w:fldCharType="begin"/>
            </w:r>
            <w:r w:rsidR="002A7B67">
              <w:rPr>
                <w:noProof/>
                <w:webHidden/>
              </w:rPr>
              <w:instrText xml:space="preserve"> PAGEREF _Toc154652581 \h </w:instrText>
            </w:r>
            <w:r w:rsidR="002A7B67">
              <w:rPr>
                <w:noProof/>
                <w:webHidden/>
              </w:rPr>
            </w:r>
            <w:r w:rsidR="002A7B67">
              <w:rPr>
                <w:noProof/>
                <w:webHidden/>
              </w:rPr>
              <w:fldChar w:fldCharType="separate"/>
            </w:r>
            <w:r w:rsidR="00C9149F">
              <w:rPr>
                <w:noProof/>
                <w:webHidden/>
              </w:rPr>
              <w:t>3</w:t>
            </w:r>
            <w:r w:rsidR="002A7B67">
              <w:rPr>
                <w:noProof/>
                <w:webHidden/>
              </w:rPr>
              <w:fldChar w:fldCharType="end"/>
            </w:r>
          </w:hyperlink>
        </w:p>
        <w:p w14:paraId="47131E1A" w14:textId="20BFE169"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582" w:history="1">
            <w:r w:rsidR="002A7B67" w:rsidRPr="00BA6ED6">
              <w:rPr>
                <w:rStyle w:val="Hyperlink"/>
                <w:noProof/>
              </w:rPr>
              <w:t>2</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Abgrenzung/Klarstellung</w:t>
            </w:r>
            <w:r w:rsidR="002A7B67">
              <w:rPr>
                <w:noProof/>
                <w:webHidden/>
              </w:rPr>
              <w:tab/>
            </w:r>
            <w:r w:rsidR="002A7B67">
              <w:rPr>
                <w:noProof/>
                <w:webHidden/>
              </w:rPr>
              <w:fldChar w:fldCharType="begin"/>
            </w:r>
            <w:r w:rsidR="002A7B67">
              <w:rPr>
                <w:noProof/>
                <w:webHidden/>
              </w:rPr>
              <w:instrText xml:space="preserve"> PAGEREF _Toc154652582 \h </w:instrText>
            </w:r>
            <w:r w:rsidR="002A7B67">
              <w:rPr>
                <w:noProof/>
                <w:webHidden/>
              </w:rPr>
            </w:r>
            <w:r w:rsidR="002A7B67">
              <w:rPr>
                <w:noProof/>
                <w:webHidden/>
              </w:rPr>
              <w:fldChar w:fldCharType="separate"/>
            </w:r>
            <w:r w:rsidR="00C9149F">
              <w:rPr>
                <w:noProof/>
                <w:webHidden/>
              </w:rPr>
              <w:t>4</w:t>
            </w:r>
            <w:r w:rsidR="002A7B67">
              <w:rPr>
                <w:noProof/>
                <w:webHidden/>
              </w:rPr>
              <w:fldChar w:fldCharType="end"/>
            </w:r>
          </w:hyperlink>
        </w:p>
        <w:p w14:paraId="4376A429" w14:textId="4344B496"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583" w:history="1">
            <w:r w:rsidR="002A7B67" w:rsidRPr="00BA6ED6">
              <w:rPr>
                <w:rStyle w:val="Hyperlink"/>
                <w:noProof/>
              </w:rPr>
              <w:t>3</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Allgemeines</w:t>
            </w:r>
            <w:r w:rsidR="002A7B67">
              <w:rPr>
                <w:noProof/>
                <w:webHidden/>
              </w:rPr>
              <w:tab/>
            </w:r>
            <w:r w:rsidR="002A7B67">
              <w:rPr>
                <w:noProof/>
                <w:webHidden/>
              </w:rPr>
              <w:fldChar w:fldCharType="begin"/>
            </w:r>
            <w:r w:rsidR="002A7B67">
              <w:rPr>
                <w:noProof/>
                <w:webHidden/>
              </w:rPr>
              <w:instrText xml:space="preserve"> PAGEREF _Toc154652583 \h </w:instrText>
            </w:r>
            <w:r w:rsidR="002A7B67">
              <w:rPr>
                <w:noProof/>
                <w:webHidden/>
              </w:rPr>
            </w:r>
            <w:r w:rsidR="002A7B67">
              <w:rPr>
                <w:noProof/>
                <w:webHidden/>
              </w:rPr>
              <w:fldChar w:fldCharType="separate"/>
            </w:r>
            <w:r w:rsidR="00C9149F">
              <w:rPr>
                <w:noProof/>
                <w:webHidden/>
              </w:rPr>
              <w:t>5</w:t>
            </w:r>
            <w:r w:rsidR="002A7B67">
              <w:rPr>
                <w:noProof/>
                <w:webHidden/>
              </w:rPr>
              <w:fldChar w:fldCharType="end"/>
            </w:r>
          </w:hyperlink>
        </w:p>
        <w:p w14:paraId="39849522" w14:textId="3172BFB7"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584" w:history="1">
            <w:r w:rsidR="002A7B67" w:rsidRPr="00BA6ED6">
              <w:rPr>
                <w:rStyle w:val="Hyperlink"/>
                <w:noProof/>
              </w:rPr>
              <w:t>4</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Begriffsbestimmungen</w:t>
            </w:r>
            <w:r w:rsidR="002A7B67">
              <w:rPr>
                <w:noProof/>
                <w:webHidden/>
              </w:rPr>
              <w:tab/>
            </w:r>
            <w:r w:rsidR="002A7B67">
              <w:rPr>
                <w:noProof/>
                <w:webHidden/>
              </w:rPr>
              <w:fldChar w:fldCharType="begin"/>
            </w:r>
            <w:r w:rsidR="002A7B67">
              <w:rPr>
                <w:noProof/>
                <w:webHidden/>
              </w:rPr>
              <w:instrText xml:space="preserve"> PAGEREF _Toc154652584 \h </w:instrText>
            </w:r>
            <w:r w:rsidR="002A7B67">
              <w:rPr>
                <w:noProof/>
                <w:webHidden/>
              </w:rPr>
            </w:r>
            <w:r w:rsidR="002A7B67">
              <w:rPr>
                <w:noProof/>
                <w:webHidden/>
              </w:rPr>
              <w:fldChar w:fldCharType="separate"/>
            </w:r>
            <w:r w:rsidR="00C9149F">
              <w:rPr>
                <w:noProof/>
                <w:webHidden/>
              </w:rPr>
              <w:t>6</w:t>
            </w:r>
            <w:r w:rsidR="002A7B67">
              <w:rPr>
                <w:noProof/>
                <w:webHidden/>
              </w:rPr>
              <w:fldChar w:fldCharType="end"/>
            </w:r>
          </w:hyperlink>
        </w:p>
        <w:p w14:paraId="2E5A03D5" w14:textId="4B03FF61" w:rsidR="002A7B67" w:rsidRDefault="00000000" w:rsidP="00A824A4">
          <w:pPr>
            <w:pStyle w:val="Verzeichnis2"/>
            <w:rPr>
              <w:rFonts w:eastAsiaTheme="minorEastAsia" w:cstheme="minorBidi"/>
              <w:noProof/>
              <w:kern w:val="2"/>
              <w:lang w:eastAsia="de-DE"/>
              <w14:ligatures w14:val="standardContextual"/>
            </w:rPr>
          </w:pPr>
          <w:hyperlink w:anchor="_Toc154652585" w:history="1">
            <w:r w:rsidR="002A7B67" w:rsidRPr="00BA6ED6">
              <w:rPr>
                <w:rStyle w:val="Hyperlink"/>
                <w:noProof/>
              </w:rPr>
              <w:t>4.1</w:t>
            </w:r>
            <w:r w:rsidR="002A7B67">
              <w:rPr>
                <w:rFonts w:eastAsiaTheme="minorEastAsia" w:cstheme="minorBidi"/>
                <w:noProof/>
                <w:kern w:val="2"/>
                <w:lang w:eastAsia="de-DE"/>
                <w14:ligatures w14:val="standardContextual"/>
              </w:rPr>
              <w:tab/>
            </w:r>
            <w:r w:rsidR="002A7B67" w:rsidRPr="00BA6ED6">
              <w:rPr>
                <w:rStyle w:val="Hyperlink"/>
                <w:noProof/>
              </w:rPr>
              <w:t>Personenbezogene Daten</w:t>
            </w:r>
            <w:r w:rsidR="002A7B67">
              <w:rPr>
                <w:noProof/>
                <w:webHidden/>
              </w:rPr>
              <w:tab/>
            </w:r>
            <w:r w:rsidR="002A7B67">
              <w:rPr>
                <w:noProof/>
                <w:webHidden/>
              </w:rPr>
              <w:fldChar w:fldCharType="begin"/>
            </w:r>
            <w:r w:rsidR="002A7B67">
              <w:rPr>
                <w:noProof/>
                <w:webHidden/>
              </w:rPr>
              <w:instrText xml:space="preserve"> PAGEREF _Toc154652585 \h </w:instrText>
            </w:r>
            <w:r w:rsidR="002A7B67">
              <w:rPr>
                <w:noProof/>
                <w:webHidden/>
              </w:rPr>
            </w:r>
            <w:r w:rsidR="002A7B67">
              <w:rPr>
                <w:noProof/>
                <w:webHidden/>
              </w:rPr>
              <w:fldChar w:fldCharType="separate"/>
            </w:r>
            <w:r w:rsidR="00C9149F">
              <w:rPr>
                <w:noProof/>
                <w:webHidden/>
              </w:rPr>
              <w:t>7</w:t>
            </w:r>
            <w:r w:rsidR="002A7B67">
              <w:rPr>
                <w:noProof/>
                <w:webHidden/>
              </w:rPr>
              <w:fldChar w:fldCharType="end"/>
            </w:r>
          </w:hyperlink>
        </w:p>
        <w:p w14:paraId="4E51CAFC" w14:textId="6CADFE60" w:rsidR="002A7B67" w:rsidRDefault="00000000" w:rsidP="00A824A4">
          <w:pPr>
            <w:pStyle w:val="Verzeichnis2"/>
            <w:rPr>
              <w:rFonts w:eastAsiaTheme="minorEastAsia" w:cstheme="minorBidi"/>
              <w:noProof/>
              <w:kern w:val="2"/>
              <w:lang w:eastAsia="de-DE"/>
              <w14:ligatures w14:val="standardContextual"/>
            </w:rPr>
          </w:pPr>
          <w:hyperlink w:anchor="_Toc154652586" w:history="1">
            <w:r w:rsidR="002A7B67" w:rsidRPr="00BA6ED6">
              <w:rPr>
                <w:rStyle w:val="Hyperlink"/>
                <w:noProof/>
              </w:rPr>
              <w:t>4.2</w:t>
            </w:r>
            <w:r w:rsidR="002A7B67">
              <w:rPr>
                <w:rFonts w:eastAsiaTheme="minorEastAsia" w:cstheme="minorBidi"/>
                <w:noProof/>
                <w:kern w:val="2"/>
                <w:lang w:eastAsia="de-DE"/>
                <w14:ligatures w14:val="standardContextual"/>
              </w:rPr>
              <w:tab/>
            </w:r>
            <w:r w:rsidR="002A7B67" w:rsidRPr="00BA6ED6">
              <w:rPr>
                <w:rStyle w:val="Hyperlink"/>
                <w:noProof/>
              </w:rPr>
              <w:t>Pseudonymisierung</w:t>
            </w:r>
            <w:r w:rsidR="002A7B67">
              <w:rPr>
                <w:noProof/>
                <w:webHidden/>
              </w:rPr>
              <w:tab/>
            </w:r>
            <w:r w:rsidR="002A7B67">
              <w:rPr>
                <w:noProof/>
                <w:webHidden/>
              </w:rPr>
              <w:fldChar w:fldCharType="begin"/>
            </w:r>
            <w:r w:rsidR="002A7B67">
              <w:rPr>
                <w:noProof/>
                <w:webHidden/>
              </w:rPr>
              <w:instrText xml:space="preserve"> PAGEREF _Toc154652586 \h </w:instrText>
            </w:r>
            <w:r w:rsidR="002A7B67">
              <w:rPr>
                <w:noProof/>
                <w:webHidden/>
              </w:rPr>
            </w:r>
            <w:r w:rsidR="002A7B67">
              <w:rPr>
                <w:noProof/>
                <w:webHidden/>
              </w:rPr>
              <w:fldChar w:fldCharType="separate"/>
            </w:r>
            <w:r w:rsidR="00C9149F">
              <w:rPr>
                <w:noProof/>
                <w:webHidden/>
              </w:rPr>
              <w:t>8</w:t>
            </w:r>
            <w:r w:rsidR="002A7B67">
              <w:rPr>
                <w:noProof/>
                <w:webHidden/>
              </w:rPr>
              <w:fldChar w:fldCharType="end"/>
            </w:r>
          </w:hyperlink>
        </w:p>
        <w:p w14:paraId="32E4FFC3" w14:textId="1FF678EE" w:rsidR="002A7B67" w:rsidRDefault="00000000" w:rsidP="00A824A4">
          <w:pPr>
            <w:pStyle w:val="Verzeichnis2"/>
            <w:rPr>
              <w:rFonts w:eastAsiaTheme="minorEastAsia" w:cstheme="minorBidi"/>
              <w:noProof/>
              <w:kern w:val="2"/>
              <w:lang w:eastAsia="de-DE"/>
              <w14:ligatures w14:val="standardContextual"/>
            </w:rPr>
          </w:pPr>
          <w:hyperlink w:anchor="_Toc154652587" w:history="1">
            <w:r w:rsidR="002A7B67" w:rsidRPr="00BA6ED6">
              <w:rPr>
                <w:rStyle w:val="Hyperlink"/>
                <w:noProof/>
              </w:rPr>
              <w:t>4.3</w:t>
            </w:r>
            <w:r w:rsidR="002A7B67">
              <w:rPr>
                <w:rFonts w:eastAsiaTheme="minorEastAsia" w:cstheme="minorBidi"/>
                <w:noProof/>
                <w:kern w:val="2"/>
                <w:lang w:eastAsia="de-DE"/>
                <w14:ligatures w14:val="standardContextual"/>
              </w:rPr>
              <w:tab/>
            </w:r>
            <w:r w:rsidR="002A7B67" w:rsidRPr="00BA6ED6">
              <w:rPr>
                <w:rStyle w:val="Hyperlink"/>
                <w:noProof/>
              </w:rPr>
              <w:t>Pseudonyme Daten</w:t>
            </w:r>
            <w:r w:rsidR="002A7B67">
              <w:rPr>
                <w:noProof/>
                <w:webHidden/>
              </w:rPr>
              <w:tab/>
            </w:r>
            <w:r w:rsidR="002A7B67">
              <w:rPr>
                <w:noProof/>
                <w:webHidden/>
              </w:rPr>
              <w:fldChar w:fldCharType="begin"/>
            </w:r>
            <w:r w:rsidR="002A7B67">
              <w:rPr>
                <w:noProof/>
                <w:webHidden/>
              </w:rPr>
              <w:instrText xml:space="preserve"> PAGEREF _Toc154652587 \h </w:instrText>
            </w:r>
            <w:r w:rsidR="002A7B67">
              <w:rPr>
                <w:noProof/>
                <w:webHidden/>
              </w:rPr>
            </w:r>
            <w:r w:rsidR="002A7B67">
              <w:rPr>
                <w:noProof/>
                <w:webHidden/>
              </w:rPr>
              <w:fldChar w:fldCharType="separate"/>
            </w:r>
            <w:r w:rsidR="00C9149F">
              <w:rPr>
                <w:noProof/>
                <w:webHidden/>
              </w:rPr>
              <w:t>9</w:t>
            </w:r>
            <w:r w:rsidR="002A7B67">
              <w:rPr>
                <w:noProof/>
                <w:webHidden/>
              </w:rPr>
              <w:fldChar w:fldCharType="end"/>
            </w:r>
          </w:hyperlink>
        </w:p>
        <w:p w14:paraId="1634A9FE" w14:textId="3109D23F" w:rsidR="002A7B67" w:rsidRDefault="00000000" w:rsidP="00A824A4">
          <w:pPr>
            <w:pStyle w:val="Verzeichnis2"/>
            <w:rPr>
              <w:rFonts w:eastAsiaTheme="minorEastAsia" w:cstheme="minorBidi"/>
              <w:noProof/>
              <w:kern w:val="2"/>
              <w:lang w:eastAsia="de-DE"/>
              <w14:ligatures w14:val="standardContextual"/>
            </w:rPr>
          </w:pPr>
          <w:hyperlink w:anchor="_Toc154652588" w:history="1">
            <w:r w:rsidR="002A7B67" w:rsidRPr="00BA6ED6">
              <w:rPr>
                <w:rStyle w:val="Hyperlink"/>
                <w:noProof/>
              </w:rPr>
              <w:t>4.4</w:t>
            </w:r>
            <w:r w:rsidR="002A7B67">
              <w:rPr>
                <w:rFonts w:eastAsiaTheme="minorEastAsia" w:cstheme="minorBidi"/>
                <w:noProof/>
                <w:kern w:val="2"/>
                <w:lang w:eastAsia="de-DE"/>
                <w14:ligatures w14:val="standardContextual"/>
              </w:rPr>
              <w:tab/>
            </w:r>
            <w:r w:rsidR="002A7B67" w:rsidRPr="00BA6ED6">
              <w:rPr>
                <w:rStyle w:val="Hyperlink"/>
                <w:noProof/>
              </w:rPr>
              <w:t>Anonymisierung</w:t>
            </w:r>
            <w:r w:rsidR="002A7B67">
              <w:rPr>
                <w:noProof/>
                <w:webHidden/>
              </w:rPr>
              <w:tab/>
            </w:r>
            <w:r w:rsidR="002A7B67">
              <w:rPr>
                <w:noProof/>
                <w:webHidden/>
              </w:rPr>
              <w:fldChar w:fldCharType="begin"/>
            </w:r>
            <w:r w:rsidR="002A7B67">
              <w:rPr>
                <w:noProof/>
                <w:webHidden/>
              </w:rPr>
              <w:instrText xml:space="preserve"> PAGEREF _Toc154652588 \h </w:instrText>
            </w:r>
            <w:r w:rsidR="002A7B67">
              <w:rPr>
                <w:noProof/>
                <w:webHidden/>
              </w:rPr>
            </w:r>
            <w:r w:rsidR="002A7B67">
              <w:rPr>
                <w:noProof/>
                <w:webHidden/>
              </w:rPr>
              <w:fldChar w:fldCharType="separate"/>
            </w:r>
            <w:r w:rsidR="00C9149F">
              <w:rPr>
                <w:noProof/>
                <w:webHidden/>
              </w:rPr>
              <w:t>9</w:t>
            </w:r>
            <w:r w:rsidR="002A7B67">
              <w:rPr>
                <w:noProof/>
                <w:webHidden/>
              </w:rPr>
              <w:fldChar w:fldCharType="end"/>
            </w:r>
          </w:hyperlink>
        </w:p>
        <w:p w14:paraId="7D6A3A0E" w14:textId="6B84DC8F" w:rsidR="002A7B67" w:rsidRDefault="00000000">
          <w:pPr>
            <w:pStyle w:val="Verzeichnis3"/>
            <w:rPr>
              <w:rFonts w:eastAsiaTheme="minorEastAsia" w:cstheme="minorBidi"/>
              <w:noProof/>
              <w:kern w:val="2"/>
              <w:sz w:val="22"/>
              <w:szCs w:val="22"/>
              <w:lang w:eastAsia="de-DE"/>
              <w14:ligatures w14:val="standardContextual"/>
            </w:rPr>
          </w:pPr>
          <w:hyperlink w:anchor="_Toc154652589" w:history="1">
            <w:r w:rsidR="002A7B67" w:rsidRPr="00BA6ED6">
              <w:rPr>
                <w:rStyle w:val="Hyperlink"/>
                <w:noProof/>
              </w:rPr>
              <w:t>4.4.1</w:t>
            </w:r>
            <w:r w:rsidR="002A7B67">
              <w:rPr>
                <w:rFonts w:eastAsiaTheme="minorEastAsia" w:cstheme="minorBidi"/>
                <w:noProof/>
                <w:kern w:val="2"/>
                <w:sz w:val="22"/>
                <w:szCs w:val="22"/>
                <w:lang w:eastAsia="de-DE"/>
                <w14:ligatures w14:val="standardContextual"/>
              </w:rPr>
              <w:tab/>
            </w:r>
            <w:r w:rsidR="002A7B67" w:rsidRPr="00BA6ED6">
              <w:rPr>
                <w:rStyle w:val="Hyperlink"/>
                <w:noProof/>
              </w:rPr>
              <w:t>Deutsche vs. EU-Regelung</w:t>
            </w:r>
            <w:r w:rsidR="002A7B67">
              <w:rPr>
                <w:noProof/>
                <w:webHidden/>
              </w:rPr>
              <w:tab/>
            </w:r>
            <w:r w:rsidR="002A7B67">
              <w:rPr>
                <w:noProof/>
                <w:webHidden/>
              </w:rPr>
              <w:fldChar w:fldCharType="begin"/>
            </w:r>
            <w:r w:rsidR="002A7B67">
              <w:rPr>
                <w:noProof/>
                <w:webHidden/>
              </w:rPr>
              <w:instrText xml:space="preserve"> PAGEREF _Toc154652589 \h </w:instrText>
            </w:r>
            <w:r w:rsidR="002A7B67">
              <w:rPr>
                <w:noProof/>
                <w:webHidden/>
              </w:rPr>
            </w:r>
            <w:r w:rsidR="002A7B67">
              <w:rPr>
                <w:noProof/>
                <w:webHidden/>
              </w:rPr>
              <w:fldChar w:fldCharType="separate"/>
            </w:r>
            <w:r w:rsidR="00C9149F">
              <w:rPr>
                <w:noProof/>
                <w:webHidden/>
              </w:rPr>
              <w:t>10</w:t>
            </w:r>
            <w:r w:rsidR="002A7B67">
              <w:rPr>
                <w:noProof/>
                <w:webHidden/>
              </w:rPr>
              <w:fldChar w:fldCharType="end"/>
            </w:r>
          </w:hyperlink>
        </w:p>
        <w:p w14:paraId="6F42218C" w14:textId="2EE0E36D" w:rsidR="002A7B67" w:rsidRDefault="00000000">
          <w:pPr>
            <w:pStyle w:val="Verzeichnis3"/>
            <w:rPr>
              <w:rFonts w:eastAsiaTheme="minorEastAsia" w:cstheme="minorBidi"/>
              <w:noProof/>
              <w:kern w:val="2"/>
              <w:sz w:val="22"/>
              <w:szCs w:val="22"/>
              <w:lang w:eastAsia="de-DE"/>
              <w14:ligatures w14:val="standardContextual"/>
            </w:rPr>
          </w:pPr>
          <w:hyperlink w:anchor="_Toc154652590" w:history="1">
            <w:r w:rsidR="002A7B67" w:rsidRPr="00BA6ED6">
              <w:rPr>
                <w:rStyle w:val="Hyperlink"/>
                <w:noProof/>
              </w:rPr>
              <w:t>4.4.2</w:t>
            </w:r>
            <w:r w:rsidR="002A7B67">
              <w:rPr>
                <w:rFonts w:eastAsiaTheme="minorEastAsia" w:cstheme="minorBidi"/>
                <w:noProof/>
                <w:kern w:val="2"/>
                <w:sz w:val="22"/>
                <w:szCs w:val="22"/>
                <w:lang w:eastAsia="de-DE"/>
                <w14:ligatures w14:val="standardContextual"/>
              </w:rPr>
              <w:tab/>
            </w:r>
            <w:r w:rsidR="002A7B67" w:rsidRPr="004832F9">
              <w:rPr>
                <w:rStyle w:val="Hyperlink"/>
                <w:noProof/>
              </w:rPr>
              <w:t>Von</w:t>
            </w:r>
            <w:r w:rsidR="002A7B67" w:rsidRPr="00BA6ED6">
              <w:rPr>
                <w:rStyle w:val="Hyperlink"/>
                <w:noProof/>
              </w:rPr>
              <w:t xml:space="preserve"> der EU-Vorgabe abweichende Regelungen</w:t>
            </w:r>
            <w:r w:rsidR="002A7B67">
              <w:rPr>
                <w:noProof/>
                <w:webHidden/>
              </w:rPr>
              <w:tab/>
            </w:r>
            <w:r w:rsidR="002A7B67" w:rsidRPr="004832F9">
              <w:rPr>
                <w:noProof/>
                <w:webHidden/>
              </w:rPr>
              <w:fldChar w:fldCharType="begin"/>
            </w:r>
            <w:r w:rsidR="002A7B67" w:rsidRPr="004832F9">
              <w:rPr>
                <w:noProof/>
                <w:webHidden/>
              </w:rPr>
              <w:instrText xml:space="preserve"> PAGEREF _Toc154652590 \h </w:instrText>
            </w:r>
            <w:r w:rsidR="002A7B67" w:rsidRPr="004832F9">
              <w:rPr>
                <w:noProof/>
                <w:webHidden/>
              </w:rPr>
            </w:r>
            <w:r w:rsidR="002A7B67" w:rsidRPr="004832F9">
              <w:rPr>
                <w:noProof/>
                <w:webHidden/>
              </w:rPr>
              <w:fldChar w:fldCharType="separate"/>
            </w:r>
            <w:r w:rsidR="00C9149F">
              <w:rPr>
                <w:noProof/>
                <w:webHidden/>
              </w:rPr>
              <w:t>11</w:t>
            </w:r>
            <w:r w:rsidR="002A7B67" w:rsidRPr="004832F9">
              <w:rPr>
                <w:noProof/>
                <w:webHidden/>
              </w:rPr>
              <w:fldChar w:fldCharType="end"/>
            </w:r>
          </w:hyperlink>
        </w:p>
        <w:p w14:paraId="570DD871" w14:textId="73F521FC" w:rsidR="002A7B67" w:rsidRDefault="00000000" w:rsidP="00A824A4">
          <w:pPr>
            <w:pStyle w:val="Verzeichnis2"/>
            <w:rPr>
              <w:rFonts w:eastAsiaTheme="minorEastAsia" w:cstheme="minorBidi"/>
              <w:noProof/>
              <w:kern w:val="2"/>
              <w:lang w:eastAsia="de-DE"/>
              <w14:ligatures w14:val="standardContextual"/>
            </w:rPr>
          </w:pPr>
          <w:hyperlink w:anchor="_Toc154652591" w:history="1">
            <w:r w:rsidR="002A7B67" w:rsidRPr="00BA6ED6">
              <w:rPr>
                <w:rStyle w:val="Hyperlink"/>
                <w:noProof/>
              </w:rPr>
              <w:t>4.5</w:t>
            </w:r>
            <w:r w:rsidR="002A7B67">
              <w:rPr>
                <w:rFonts w:eastAsiaTheme="minorEastAsia" w:cstheme="minorBidi"/>
                <w:noProof/>
                <w:kern w:val="2"/>
                <w:lang w:eastAsia="de-DE"/>
                <w14:ligatures w14:val="standardContextual"/>
              </w:rPr>
              <w:tab/>
            </w:r>
            <w:r w:rsidR="002A7B67" w:rsidRPr="00BA6ED6">
              <w:rPr>
                <w:rStyle w:val="Hyperlink"/>
                <w:noProof/>
              </w:rPr>
              <w:t>Anonyme Daten</w:t>
            </w:r>
            <w:r w:rsidR="002A7B67">
              <w:rPr>
                <w:noProof/>
                <w:webHidden/>
              </w:rPr>
              <w:tab/>
            </w:r>
            <w:r w:rsidR="002A7B67">
              <w:rPr>
                <w:noProof/>
                <w:webHidden/>
              </w:rPr>
              <w:fldChar w:fldCharType="begin"/>
            </w:r>
            <w:r w:rsidR="002A7B67">
              <w:rPr>
                <w:noProof/>
                <w:webHidden/>
              </w:rPr>
              <w:instrText xml:space="preserve"> PAGEREF _Toc154652591 \h </w:instrText>
            </w:r>
            <w:r w:rsidR="002A7B67">
              <w:rPr>
                <w:noProof/>
                <w:webHidden/>
              </w:rPr>
            </w:r>
            <w:r w:rsidR="002A7B67">
              <w:rPr>
                <w:noProof/>
                <w:webHidden/>
              </w:rPr>
              <w:fldChar w:fldCharType="separate"/>
            </w:r>
            <w:r w:rsidR="00C9149F">
              <w:rPr>
                <w:noProof/>
                <w:webHidden/>
              </w:rPr>
              <w:t>12</w:t>
            </w:r>
            <w:r w:rsidR="002A7B67">
              <w:rPr>
                <w:noProof/>
                <w:webHidden/>
              </w:rPr>
              <w:fldChar w:fldCharType="end"/>
            </w:r>
          </w:hyperlink>
        </w:p>
        <w:p w14:paraId="49354622" w14:textId="56ABE44D" w:rsidR="002A7B67" w:rsidRDefault="00000000" w:rsidP="00A824A4">
          <w:pPr>
            <w:pStyle w:val="Verzeichnis2"/>
            <w:rPr>
              <w:rFonts w:eastAsiaTheme="minorEastAsia" w:cstheme="minorBidi"/>
              <w:noProof/>
              <w:kern w:val="2"/>
              <w:lang w:eastAsia="de-DE"/>
              <w14:ligatures w14:val="standardContextual"/>
            </w:rPr>
          </w:pPr>
          <w:hyperlink w:anchor="_Toc154652592" w:history="1">
            <w:r w:rsidR="002A7B67" w:rsidRPr="00BA6ED6">
              <w:rPr>
                <w:rStyle w:val="Hyperlink"/>
                <w:noProof/>
              </w:rPr>
              <w:t>4.6</w:t>
            </w:r>
            <w:r w:rsidR="002A7B67">
              <w:rPr>
                <w:rFonts w:eastAsiaTheme="minorEastAsia" w:cstheme="minorBidi"/>
                <w:noProof/>
                <w:kern w:val="2"/>
                <w:lang w:eastAsia="de-DE"/>
                <w14:ligatures w14:val="standardContextual"/>
              </w:rPr>
              <w:tab/>
            </w:r>
            <w:r w:rsidR="002A7B67" w:rsidRPr="00BA6ED6">
              <w:rPr>
                <w:rStyle w:val="Hyperlink"/>
                <w:noProof/>
              </w:rPr>
              <w:t>Pseudonyme vs. anonyme Daten: Kurzdarstellung der Unterschiede</w:t>
            </w:r>
            <w:r w:rsidR="002A7B67">
              <w:rPr>
                <w:noProof/>
                <w:webHidden/>
              </w:rPr>
              <w:tab/>
            </w:r>
            <w:r w:rsidR="002A7B67">
              <w:rPr>
                <w:noProof/>
                <w:webHidden/>
              </w:rPr>
              <w:fldChar w:fldCharType="begin"/>
            </w:r>
            <w:r w:rsidR="002A7B67">
              <w:rPr>
                <w:noProof/>
                <w:webHidden/>
              </w:rPr>
              <w:instrText xml:space="preserve"> PAGEREF _Toc154652592 \h </w:instrText>
            </w:r>
            <w:r w:rsidR="002A7B67">
              <w:rPr>
                <w:noProof/>
                <w:webHidden/>
              </w:rPr>
            </w:r>
            <w:r w:rsidR="002A7B67">
              <w:rPr>
                <w:noProof/>
                <w:webHidden/>
              </w:rPr>
              <w:fldChar w:fldCharType="separate"/>
            </w:r>
            <w:r w:rsidR="00C9149F">
              <w:rPr>
                <w:noProof/>
                <w:webHidden/>
              </w:rPr>
              <w:t>13</w:t>
            </w:r>
            <w:r w:rsidR="002A7B67">
              <w:rPr>
                <w:noProof/>
                <w:webHidden/>
              </w:rPr>
              <w:fldChar w:fldCharType="end"/>
            </w:r>
          </w:hyperlink>
        </w:p>
        <w:p w14:paraId="1BD07373" w14:textId="6713A3A8"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593" w:history="1">
            <w:r w:rsidR="002A7B67" w:rsidRPr="00BA6ED6">
              <w:rPr>
                <w:rStyle w:val="Hyperlink"/>
                <w:noProof/>
              </w:rPr>
              <w:t>5</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Rechtliche Rahmenbedingungen</w:t>
            </w:r>
            <w:r w:rsidR="002A7B67">
              <w:rPr>
                <w:noProof/>
                <w:webHidden/>
              </w:rPr>
              <w:tab/>
            </w:r>
            <w:r w:rsidR="002A7B67">
              <w:rPr>
                <w:noProof/>
                <w:webHidden/>
              </w:rPr>
              <w:fldChar w:fldCharType="begin"/>
            </w:r>
            <w:r w:rsidR="002A7B67">
              <w:rPr>
                <w:noProof/>
                <w:webHidden/>
              </w:rPr>
              <w:instrText xml:space="preserve"> PAGEREF _Toc154652593 \h </w:instrText>
            </w:r>
            <w:r w:rsidR="002A7B67">
              <w:rPr>
                <w:noProof/>
                <w:webHidden/>
              </w:rPr>
            </w:r>
            <w:r w:rsidR="002A7B67">
              <w:rPr>
                <w:noProof/>
                <w:webHidden/>
              </w:rPr>
              <w:fldChar w:fldCharType="separate"/>
            </w:r>
            <w:r w:rsidR="00C9149F">
              <w:rPr>
                <w:noProof/>
                <w:webHidden/>
              </w:rPr>
              <w:t>14</w:t>
            </w:r>
            <w:r w:rsidR="002A7B67">
              <w:rPr>
                <w:noProof/>
                <w:webHidden/>
              </w:rPr>
              <w:fldChar w:fldCharType="end"/>
            </w:r>
          </w:hyperlink>
        </w:p>
        <w:p w14:paraId="26E9C83D" w14:textId="6DAFF528" w:rsidR="002A7B67" w:rsidRDefault="00000000" w:rsidP="00A824A4">
          <w:pPr>
            <w:pStyle w:val="Verzeichnis2"/>
            <w:rPr>
              <w:rFonts w:eastAsiaTheme="minorEastAsia" w:cstheme="minorBidi"/>
              <w:noProof/>
              <w:kern w:val="2"/>
              <w:lang w:eastAsia="de-DE"/>
              <w14:ligatures w14:val="standardContextual"/>
            </w:rPr>
          </w:pPr>
          <w:hyperlink w:anchor="_Toc154652594" w:history="1">
            <w:r w:rsidR="002A7B67" w:rsidRPr="00BA6ED6">
              <w:rPr>
                <w:rStyle w:val="Hyperlink"/>
                <w:noProof/>
              </w:rPr>
              <w:t>5.1</w:t>
            </w:r>
            <w:r w:rsidR="002A7B67">
              <w:rPr>
                <w:rFonts w:eastAsiaTheme="minorEastAsia" w:cstheme="minorBidi"/>
                <w:noProof/>
                <w:kern w:val="2"/>
                <w:lang w:eastAsia="de-DE"/>
                <w14:ligatures w14:val="standardContextual"/>
              </w:rPr>
              <w:tab/>
            </w:r>
            <w:r w:rsidR="002A7B67" w:rsidRPr="00BA6ED6">
              <w:rPr>
                <w:rStyle w:val="Hyperlink"/>
                <w:noProof/>
              </w:rPr>
              <w:t>Erlaubnistatbestand Pseudonymisierung/Anonymisierung</w:t>
            </w:r>
            <w:r w:rsidR="002A7B67">
              <w:rPr>
                <w:noProof/>
                <w:webHidden/>
              </w:rPr>
              <w:tab/>
            </w:r>
            <w:r w:rsidR="002A7B67">
              <w:rPr>
                <w:noProof/>
                <w:webHidden/>
              </w:rPr>
              <w:fldChar w:fldCharType="begin"/>
            </w:r>
            <w:r w:rsidR="002A7B67">
              <w:rPr>
                <w:noProof/>
                <w:webHidden/>
              </w:rPr>
              <w:instrText xml:space="preserve"> PAGEREF _Toc154652594 \h </w:instrText>
            </w:r>
            <w:r w:rsidR="002A7B67">
              <w:rPr>
                <w:noProof/>
                <w:webHidden/>
              </w:rPr>
            </w:r>
            <w:r w:rsidR="002A7B67">
              <w:rPr>
                <w:noProof/>
                <w:webHidden/>
              </w:rPr>
              <w:fldChar w:fldCharType="separate"/>
            </w:r>
            <w:r w:rsidR="00C9149F">
              <w:rPr>
                <w:noProof/>
                <w:webHidden/>
              </w:rPr>
              <w:t>14</w:t>
            </w:r>
            <w:r w:rsidR="002A7B67">
              <w:rPr>
                <w:noProof/>
                <w:webHidden/>
              </w:rPr>
              <w:fldChar w:fldCharType="end"/>
            </w:r>
          </w:hyperlink>
        </w:p>
        <w:p w14:paraId="71B38E3F" w14:textId="602EBCD3" w:rsidR="002A7B67" w:rsidRDefault="00000000">
          <w:pPr>
            <w:pStyle w:val="Verzeichnis3"/>
            <w:rPr>
              <w:rFonts w:eastAsiaTheme="minorEastAsia" w:cstheme="minorBidi"/>
              <w:noProof/>
              <w:kern w:val="2"/>
              <w:sz w:val="22"/>
              <w:szCs w:val="22"/>
              <w:lang w:eastAsia="de-DE"/>
              <w14:ligatures w14:val="standardContextual"/>
            </w:rPr>
          </w:pPr>
          <w:hyperlink w:anchor="_Toc154652595" w:history="1">
            <w:r w:rsidR="002A7B67" w:rsidRPr="00BA6ED6">
              <w:rPr>
                <w:rStyle w:val="Hyperlink"/>
                <w:noProof/>
              </w:rPr>
              <w:t>5.1.1</w:t>
            </w:r>
            <w:r w:rsidR="002A7B67">
              <w:rPr>
                <w:rFonts w:eastAsiaTheme="minorEastAsia" w:cstheme="minorBidi"/>
                <w:noProof/>
                <w:kern w:val="2"/>
                <w:sz w:val="22"/>
                <w:szCs w:val="22"/>
                <w:lang w:eastAsia="de-DE"/>
                <w14:ligatures w14:val="standardContextual"/>
              </w:rPr>
              <w:tab/>
            </w:r>
            <w:r w:rsidR="002A7B67" w:rsidRPr="00BA6ED6">
              <w:rPr>
                <w:rStyle w:val="Hyperlink"/>
                <w:noProof/>
              </w:rPr>
              <w:t>Einwilligung</w:t>
            </w:r>
            <w:r w:rsidR="002A7B67">
              <w:rPr>
                <w:noProof/>
                <w:webHidden/>
              </w:rPr>
              <w:tab/>
            </w:r>
            <w:r w:rsidR="002A7B67">
              <w:rPr>
                <w:noProof/>
                <w:webHidden/>
              </w:rPr>
              <w:fldChar w:fldCharType="begin"/>
            </w:r>
            <w:r w:rsidR="002A7B67">
              <w:rPr>
                <w:noProof/>
                <w:webHidden/>
              </w:rPr>
              <w:instrText xml:space="preserve"> PAGEREF _Toc154652595 \h </w:instrText>
            </w:r>
            <w:r w:rsidR="002A7B67">
              <w:rPr>
                <w:noProof/>
                <w:webHidden/>
              </w:rPr>
            </w:r>
            <w:r w:rsidR="002A7B67">
              <w:rPr>
                <w:noProof/>
                <w:webHidden/>
              </w:rPr>
              <w:fldChar w:fldCharType="separate"/>
            </w:r>
            <w:r w:rsidR="00C9149F">
              <w:rPr>
                <w:noProof/>
                <w:webHidden/>
              </w:rPr>
              <w:t>14</w:t>
            </w:r>
            <w:r w:rsidR="002A7B67">
              <w:rPr>
                <w:noProof/>
                <w:webHidden/>
              </w:rPr>
              <w:fldChar w:fldCharType="end"/>
            </w:r>
          </w:hyperlink>
        </w:p>
        <w:p w14:paraId="1064E8AC" w14:textId="21B2C0C6" w:rsidR="002A7B67" w:rsidRDefault="00000000">
          <w:pPr>
            <w:pStyle w:val="Verzeichnis3"/>
            <w:rPr>
              <w:rFonts w:eastAsiaTheme="minorEastAsia" w:cstheme="minorBidi"/>
              <w:noProof/>
              <w:kern w:val="2"/>
              <w:sz w:val="22"/>
              <w:szCs w:val="22"/>
              <w:lang w:eastAsia="de-DE"/>
              <w14:ligatures w14:val="standardContextual"/>
            </w:rPr>
          </w:pPr>
          <w:hyperlink w:anchor="_Toc154652596" w:history="1">
            <w:r w:rsidR="002A7B67" w:rsidRPr="00BA6ED6">
              <w:rPr>
                <w:rStyle w:val="Hyperlink"/>
                <w:noProof/>
              </w:rPr>
              <w:t>5.1.2</w:t>
            </w:r>
            <w:r w:rsidR="002A7B67">
              <w:rPr>
                <w:rFonts w:eastAsiaTheme="minorEastAsia" w:cstheme="minorBidi"/>
                <w:noProof/>
                <w:kern w:val="2"/>
                <w:sz w:val="22"/>
                <w:szCs w:val="22"/>
                <w:lang w:eastAsia="de-DE"/>
                <w14:ligatures w14:val="standardContextual"/>
              </w:rPr>
              <w:tab/>
            </w:r>
            <w:r w:rsidR="002A7B67" w:rsidRPr="00BA6ED6">
              <w:rPr>
                <w:rStyle w:val="Hyperlink"/>
                <w:noProof/>
              </w:rPr>
              <w:t>Sonderfall „Zweckvereinbarkeit“</w:t>
            </w:r>
            <w:r w:rsidR="002A7B67">
              <w:rPr>
                <w:noProof/>
                <w:webHidden/>
              </w:rPr>
              <w:tab/>
            </w:r>
            <w:r w:rsidR="002A7B67">
              <w:rPr>
                <w:noProof/>
                <w:webHidden/>
              </w:rPr>
              <w:fldChar w:fldCharType="begin"/>
            </w:r>
            <w:r w:rsidR="002A7B67">
              <w:rPr>
                <w:noProof/>
                <w:webHidden/>
              </w:rPr>
              <w:instrText xml:space="preserve"> PAGEREF _Toc154652596 \h </w:instrText>
            </w:r>
            <w:r w:rsidR="002A7B67">
              <w:rPr>
                <w:noProof/>
                <w:webHidden/>
              </w:rPr>
            </w:r>
            <w:r w:rsidR="002A7B67">
              <w:rPr>
                <w:noProof/>
                <w:webHidden/>
              </w:rPr>
              <w:fldChar w:fldCharType="separate"/>
            </w:r>
            <w:r w:rsidR="00C9149F">
              <w:rPr>
                <w:noProof/>
                <w:webHidden/>
              </w:rPr>
              <w:t>14</w:t>
            </w:r>
            <w:r w:rsidR="002A7B67">
              <w:rPr>
                <w:noProof/>
                <w:webHidden/>
              </w:rPr>
              <w:fldChar w:fldCharType="end"/>
            </w:r>
          </w:hyperlink>
        </w:p>
        <w:p w14:paraId="0A3EC39D" w14:textId="065479F7" w:rsidR="002A7B67" w:rsidRDefault="00000000">
          <w:pPr>
            <w:pStyle w:val="Verzeichnis3"/>
            <w:rPr>
              <w:rFonts w:eastAsiaTheme="minorEastAsia" w:cstheme="minorBidi"/>
              <w:noProof/>
              <w:kern w:val="2"/>
              <w:sz w:val="22"/>
              <w:szCs w:val="22"/>
              <w:lang w:eastAsia="de-DE"/>
              <w14:ligatures w14:val="standardContextual"/>
            </w:rPr>
          </w:pPr>
          <w:hyperlink w:anchor="_Toc154652597" w:history="1">
            <w:r w:rsidR="002A7B67" w:rsidRPr="00BA6ED6">
              <w:rPr>
                <w:rStyle w:val="Hyperlink"/>
                <w:noProof/>
              </w:rPr>
              <w:t>5.1.3</w:t>
            </w:r>
            <w:r w:rsidR="002A7B67">
              <w:rPr>
                <w:rFonts w:eastAsiaTheme="minorEastAsia" w:cstheme="minorBidi"/>
                <w:noProof/>
                <w:kern w:val="2"/>
                <w:sz w:val="22"/>
                <w:szCs w:val="22"/>
                <w:lang w:eastAsia="de-DE"/>
                <w14:ligatures w14:val="standardContextual"/>
              </w:rPr>
              <w:tab/>
            </w:r>
            <w:r w:rsidR="002A7B67" w:rsidRPr="00BA6ED6">
              <w:rPr>
                <w:rStyle w:val="Hyperlink"/>
                <w:noProof/>
              </w:rPr>
              <w:t>Sonderfall Forschung</w:t>
            </w:r>
            <w:r w:rsidR="002A7B67">
              <w:rPr>
                <w:noProof/>
                <w:webHidden/>
              </w:rPr>
              <w:tab/>
            </w:r>
            <w:r w:rsidR="002A7B67">
              <w:rPr>
                <w:noProof/>
                <w:webHidden/>
              </w:rPr>
              <w:fldChar w:fldCharType="begin"/>
            </w:r>
            <w:r w:rsidR="002A7B67">
              <w:rPr>
                <w:noProof/>
                <w:webHidden/>
              </w:rPr>
              <w:instrText xml:space="preserve"> PAGEREF _Toc154652597 \h </w:instrText>
            </w:r>
            <w:r w:rsidR="002A7B67">
              <w:rPr>
                <w:noProof/>
                <w:webHidden/>
              </w:rPr>
            </w:r>
            <w:r w:rsidR="002A7B67">
              <w:rPr>
                <w:noProof/>
                <w:webHidden/>
              </w:rPr>
              <w:fldChar w:fldCharType="separate"/>
            </w:r>
            <w:r w:rsidR="00C9149F">
              <w:rPr>
                <w:noProof/>
                <w:webHidden/>
              </w:rPr>
              <w:t>16</w:t>
            </w:r>
            <w:r w:rsidR="002A7B67">
              <w:rPr>
                <w:noProof/>
                <w:webHidden/>
              </w:rPr>
              <w:fldChar w:fldCharType="end"/>
            </w:r>
          </w:hyperlink>
        </w:p>
        <w:p w14:paraId="24E30932" w14:textId="63F457A4" w:rsidR="002A7B67" w:rsidRDefault="00000000">
          <w:pPr>
            <w:pStyle w:val="Verzeichnis4"/>
            <w:rPr>
              <w:rFonts w:eastAsiaTheme="minorEastAsia" w:cstheme="minorBidi"/>
              <w:noProof/>
              <w:kern w:val="2"/>
              <w:sz w:val="22"/>
              <w:szCs w:val="22"/>
              <w:lang w:eastAsia="de-DE"/>
              <w14:ligatures w14:val="standardContextual"/>
            </w:rPr>
          </w:pPr>
          <w:hyperlink w:anchor="_Toc154652598" w:history="1">
            <w:r w:rsidR="002A7B67" w:rsidRPr="00BA6ED6">
              <w:rPr>
                <w:rStyle w:val="Hyperlink"/>
                <w:noProof/>
              </w:rPr>
              <w:t>5.1.3.1</w:t>
            </w:r>
            <w:r w:rsidR="002A7B67">
              <w:rPr>
                <w:rFonts w:eastAsiaTheme="minorEastAsia" w:cstheme="minorBidi"/>
                <w:noProof/>
                <w:kern w:val="2"/>
                <w:sz w:val="22"/>
                <w:szCs w:val="22"/>
                <w:lang w:eastAsia="de-DE"/>
                <w14:ligatures w14:val="standardContextual"/>
              </w:rPr>
              <w:tab/>
            </w:r>
            <w:r w:rsidR="002A7B67" w:rsidRPr="00BA6ED6">
              <w:rPr>
                <w:rStyle w:val="Hyperlink"/>
                <w:noProof/>
              </w:rPr>
              <w:t>Forschung ohne Einwilligung nach § 27 BDSG</w:t>
            </w:r>
            <w:r w:rsidR="002A7B67">
              <w:rPr>
                <w:noProof/>
                <w:webHidden/>
              </w:rPr>
              <w:tab/>
            </w:r>
            <w:r w:rsidR="002A7B67">
              <w:rPr>
                <w:noProof/>
                <w:webHidden/>
              </w:rPr>
              <w:fldChar w:fldCharType="begin"/>
            </w:r>
            <w:r w:rsidR="002A7B67">
              <w:rPr>
                <w:noProof/>
                <w:webHidden/>
              </w:rPr>
              <w:instrText xml:space="preserve"> PAGEREF _Toc154652598 \h </w:instrText>
            </w:r>
            <w:r w:rsidR="002A7B67">
              <w:rPr>
                <w:noProof/>
                <w:webHidden/>
              </w:rPr>
            </w:r>
            <w:r w:rsidR="002A7B67">
              <w:rPr>
                <w:noProof/>
                <w:webHidden/>
              </w:rPr>
              <w:fldChar w:fldCharType="separate"/>
            </w:r>
            <w:r w:rsidR="00C9149F">
              <w:rPr>
                <w:noProof/>
                <w:webHidden/>
              </w:rPr>
              <w:t>16</w:t>
            </w:r>
            <w:r w:rsidR="002A7B67">
              <w:rPr>
                <w:noProof/>
                <w:webHidden/>
              </w:rPr>
              <w:fldChar w:fldCharType="end"/>
            </w:r>
          </w:hyperlink>
        </w:p>
        <w:p w14:paraId="34E48E9E" w14:textId="1810FDB1" w:rsidR="002A7B67" w:rsidRDefault="00000000" w:rsidP="00A824A4">
          <w:pPr>
            <w:pStyle w:val="Verzeichnis2"/>
            <w:rPr>
              <w:rFonts w:eastAsiaTheme="minorEastAsia" w:cstheme="minorBidi"/>
              <w:noProof/>
              <w:kern w:val="2"/>
              <w:lang w:eastAsia="de-DE"/>
              <w14:ligatures w14:val="standardContextual"/>
            </w:rPr>
          </w:pPr>
          <w:hyperlink w:anchor="_Toc154652599" w:history="1">
            <w:r w:rsidR="002A7B67" w:rsidRPr="00BA6ED6">
              <w:rPr>
                <w:rStyle w:val="Hyperlink"/>
                <w:noProof/>
              </w:rPr>
              <w:t>5.2</w:t>
            </w:r>
            <w:r w:rsidR="002A7B67">
              <w:rPr>
                <w:rFonts w:eastAsiaTheme="minorEastAsia" w:cstheme="minorBidi"/>
                <w:noProof/>
                <w:kern w:val="2"/>
                <w:lang w:eastAsia="de-DE"/>
                <w14:ligatures w14:val="standardContextual"/>
              </w:rPr>
              <w:tab/>
            </w:r>
            <w:r w:rsidR="002A7B67" w:rsidRPr="00BA6ED6">
              <w:rPr>
                <w:rStyle w:val="Hyperlink"/>
                <w:noProof/>
              </w:rPr>
              <w:t>Nachweispflichten</w:t>
            </w:r>
            <w:r w:rsidR="002A7B67">
              <w:rPr>
                <w:noProof/>
                <w:webHidden/>
              </w:rPr>
              <w:tab/>
            </w:r>
            <w:r w:rsidR="002A7B67">
              <w:rPr>
                <w:noProof/>
                <w:webHidden/>
              </w:rPr>
              <w:fldChar w:fldCharType="begin"/>
            </w:r>
            <w:r w:rsidR="002A7B67">
              <w:rPr>
                <w:noProof/>
                <w:webHidden/>
              </w:rPr>
              <w:instrText xml:space="preserve"> PAGEREF _Toc154652599 \h </w:instrText>
            </w:r>
            <w:r w:rsidR="002A7B67">
              <w:rPr>
                <w:noProof/>
                <w:webHidden/>
              </w:rPr>
            </w:r>
            <w:r w:rsidR="002A7B67">
              <w:rPr>
                <w:noProof/>
                <w:webHidden/>
              </w:rPr>
              <w:fldChar w:fldCharType="separate"/>
            </w:r>
            <w:r w:rsidR="00C9149F">
              <w:rPr>
                <w:noProof/>
                <w:webHidden/>
              </w:rPr>
              <w:t>18</w:t>
            </w:r>
            <w:r w:rsidR="002A7B67">
              <w:rPr>
                <w:noProof/>
                <w:webHidden/>
              </w:rPr>
              <w:fldChar w:fldCharType="end"/>
            </w:r>
          </w:hyperlink>
        </w:p>
        <w:p w14:paraId="3F4019DE" w14:textId="3E58E32F" w:rsidR="002A7B67" w:rsidRDefault="00000000" w:rsidP="00A824A4">
          <w:pPr>
            <w:pStyle w:val="Verzeichnis2"/>
            <w:rPr>
              <w:rFonts w:eastAsiaTheme="minorEastAsia" w:cstheme="minorBidi"/>
              <w:noProof/>
              <w:kern w:val="2"/>
              <w:lang w:eastAsia="de-DE"/>
              <w14:ligatures w14:val="standardContextual"/>
            </w:rPr>
          </w:pPr>
          <w:hyperlink w:anchor="_Toc154652600" w:history="1">
            <w:r w:rsidR="002A7B67" w:rsidRPr="00BA6ED6">
              <w:rPr>
                <w:rStyle w:val="Hyperlink"/>
                <w:noProof/>
              </w:rPr>
              <w:t>5.3</w:t>
            </w:r>
            <w:r w:rsidR="002A7B67">
              <w:rPr>
                <w:rFonts w:eastAsiaTheme="minorEastAsia" w:cstheme="minorBidi"/>
                <w:noProof/>
                <w:kern w:val="2"/>
                <w:lang w:eastAsia="de-DE"/>
                <w14:ligatures w14:val="standardContextual"/>
              </w:rPr>
              <w:tab/>
            </w:r>
            <w:r w:rsidR="002A7B67" w:rsidRPr="00BA6ED6">
              <w:rPr>
                <w:rStyle w:val="Hyperlink"/>
                <w:noProof/>
              </w:rPr>
              <w:t>Betroffenenrechte</w:t>
            </w:r>
            <w:r w:rsidR="002A7B67">
              <w:rPr>
                <w:noProof/>
                <w:webHidden/>
              </w:rPr>
              <w:tab/>
            </w:r>
            <w:r w:rsidR="002A7B67">
              <w:rPr>
                <w:noProof/>
                <w:webHidden/>
              </w:rPr>
              <w:fldChar w:fldCharType="begin"/>
            </w:r>
            <w:r w:rsidR="002A7B67">
              <w:rPr>
                <w:noProof/>
                <w:webHidden/>
              </w:rPr>
              <w:instrText xml:space="preserve"> PAGEREF _Toc154652600 \h </w:instrText>
            </w:r>
            <w:r w:rsidR="002A7B67">
              <w:rPr>
                <w:noProof/>
                <w:webHidden/>
              </w:rPr>
            </w:r>
            <w:r w:rsidR="002A7B67">
              <w:rPr>
                <w:noProof/>
                <w:webHidden/>
              </w:rPr>
              <w:fldChar w:fldCharType="separate"/>
            </w:r>
            <w:r w:rsidR="00C9149F">
              <w:rPr>
                <w:noProof/>
                <w:webHidden/>
              </w:rPr>
              <w:t>21</w:t>
            </w:r>
            <w:r w:rsidR="002A7B67">
              <w:rPr>
                <w:noProof/>
                <w:webHidden/>
              </w:rPr>
              <w:fldChar w:fldCharType="end"/>
            </w:r>
          </w:hyperlink>
        </w:p>
        <w:p w14:paraId="192D24A8" w14:textId="5A628B0A" w:rsidR="002A7B67" w:rsidRDefault="00000000">
          <w:pPr>
            <w:pStyle w:val="Verzeichnis3"/>
            <w:rPr>
              <w:rFonts w:eastAsiaTheme="minorEastAsia" w:cstheme="minorBidi"/>
              <w:noProof/>
              <w:kern w:val="2"/>
              <w:sz w:val="22"/>
              <w:szCs w:val="22"/>
              <w:lang w:eastAsia="de-DE"/>
              <w14:ligatures w14:val="standardContextual"/>
            </w:rPr>
          </w:pPr>
          <w:hyperlink w:anchor="_Toc154652601" w:history="1">
            <w:r w:rsidR="002A7B67" w:rsidRPr="00BA6ED6">
              <w:rPr>
                <w:rStyle w:val="Hyperlink"/>
                <w:noProof/>
              </w:rPr>
              <w:t>5.3.1</w:t>
            </w:r>
            <w:r w:rsidR="002A7B67">
              <w:rPr>
                <w:rFonts w:eastAsiaTheme="minorEastAsia" w:cstheme="minorBidi"/>
                <w:noProof/>
                <w:kern w:val="2"/>
                <w:sz w:val="22"/>
                <w:szCs w:val="22"/>
                <w:lang w:eastAsia="de-DE"/>
                <w14:ligatures w14:val="standardContextual"/>
              </w:rPr>
              <w:tab/>
            </w:r>
            <w:r w:rsidR="002A7B67" w:rsidRPr="004832F9">
              <w:rPr>
                <w:rStyle w:val="Hyperlink"/>
                <w:noProof/>
              </w:rPr>
              <w:t>Anonyme</w:t>
            </w:r>
            <w:r w:rsidR="002A7B67" w:rsidRPr="00BA6ED6">
              <w:rPr>
                <w:rStyle w:val="Hyperlink"/>
                <w:noProof/>
              </w:rPr>
              <w:t xml:space="preserve"> Daten und Betroffenenrechte</w:t>
            </w:r>
            <w:r w:rsidR="002A7B67">
              <w:rPr>
                <w:noProof/>
                <w:webHidden/>
              </w:rPr>
              <w:tab/>
            </w:r>
            <w:r w:rsidR="002A7B67">
              <w:rPr>
                <w:noProof/>
                <w:webHidden/>
              </w:rPr>
              <w:fldChar w:fldCharType="begin"/>
            </w:r>
            <w:r w:rsidR="002A7B67">
              <w:rPr>
                <w:noProof/>
                <w:webHidden/>
              </w:rPr>
              <w:instrText xml:space="preserve"> PAGEREF _Toc154652601 \h </w:instrText>
            </w:r>
            <w:r w:rsidR="002A7B67">
              <w:rPr>
                <w:noProof/>
                <w:webHidden/>
              </w:rPr>
            </w:r>
            <w:r w:rsidR="002A7B67">
              <w:rPr>
                <w:noProof/>
                <w:webHidden/>
              </w:rPr>
              <w:fldChar w:fldCharType="separate"/>
            </w:r>
            <w:r w:rsidR="00C9149F">
              <w:rPr>
                <w:noProof/>
                <w:webHidden/>
              </w:rPr>
              <w:t>21</w:t>
            </w:r>
            <w:r w:rsidR="002A7B67">
              <w:rPr>
                <w:noProof/>
                <w:webHidden/>
              </w:rPr>
              <w:fldChar w:fldCharType="end"/>
            </w:r>
          </w:hyperlink>
        </w:p>
        <w:p w14:paraId="73E3EDB0" w14:textId="01A52012" w:rsidR="002A7B67" w:rsidRDefault="00000000">
          <w:pPr>
            <w:pStyle w:val="Verzeichnis3"/>
            <w:rPr>
              <w:rFonts w:eastAsiaTheme="minorEastAsia" w:cstheme="minorBidi"/>
              <w:noProof/>
              <w:kern w:val="2"/>
              <w:sz w:val="22"/>
              <w:szCs w:val="22"/>
              <w:lang w:eastAsia="de-DE"/>
              <w14:ligatures w14:val="standardContextual"/>
            </w:rPr>
          </w:pPr>
          <w:hyperlink w:anchor="_Toc154652602" w:history="1">
            <w:r w:rsidR="002A7B67" w:rsidRPr="00BA6ED6">
              <w:rPr>
                <w:rStyle w:val="Hyperlink"/>
                <w:noProof/>
              </w:rPr>
              <w:t>5.3.2</w:t>
            </w:r>
            <w:r w:rsidR="002A7B67">
              <w:rPr>
                <w:rFonts w:eastAsiaTheme="minorEastAsia" w:cstheme="minorBidi"/>
                <w:noProof/>
                <w:kern w:val="2"/>
                <w:sz w:val="22"/>
                <w:szCs w:val="22"/>
                <w:lang w:eastAsia="de-DE"/>
                <w14:ligatures w14:val="standardContextual"/>
              </w:rPr>
              <w:tab/>
            </w:r>
            <w:r w:rsidR="002A7B67" w:rsidRPr="004832F9">
              <w:rPr>
                <w:rStyle w:val="Hyperlink"/>
                <w:noProof/>
              </w:rPr>
              <w:t>Pseudonyme</w:t>
            </w:r>
            <w:r w:rsidR="002A7B67" w:rsidRPr="00BA6ED6">
              <w:rPr>
                <w:rStyle w:val="Hyperlink"/>
                <w:noProof/>
              </w:rPr>
              <w:t xml:space="preserve"> Daten und Betroffenenrechte</w:t>
            </w:r>
            <w:r w:rsidR="002A7B67">
              <w:rPr>
                <w:noProof/>
                <w:webHidden/>
              </w:rPr>
              <w:tab/>
            </w:r>
            <w:r w:rsidR="002A7B67">
              <w:rPr>
                <w:noProof/>
                <w:webHidden/>
              </w:rPr>
              <w:fldChar w:fldCharType="begin"/>
            </w:r>
            <w:r w:rsidR="002A7B67">
              <w:rPr>
                <w:noProof/>
                <w:webHidden/>
              </w:rPr>
              <w:instrText xml:space="preserve"> PAGEREF _Toc154652602 \h </w:instrText>
            </w:r>
            <w:r w:rsidR="002A7B67">
              <w:rPr>
                <w:noProof/>
                <w:webHidden/>
              </w:rPr>
            </w:r>
            <w:r w:rsidR="002A7B67">
              <w:rPr>
                <w:noProof/>
                <w:webHidden/>
              </w:rPr>
              <w:fldChar w:fldCharType="separate"/>
            </w:r>
            <w:r w:rsidR="00C9149F">
              <w:rPr>
                <w:noProof/>
                <w:webHidden/>
              </w:rPr>
              <w:t>21</w:t>
            </w:r>
            <w:r w:rsidR="002A7B67">
              <w:rPr>
                <w:noProof/>
                <w:webHidden/>
              </w:rPr>
              <w:fldChar w:fldCharType="end"/>
            </w:r>
          </w:hyperlink>
        </w:p>
        <w:p w14:paraId="0A225CAC" w14:textId="3F6CCE89" w:rsidR="002A7B67" w:rsidRDefault="00000000">
          <w:pPr>
            <w:pStyle w:val="Verzeichnis3"/>
            <w:rPr>
              <w:rFonts w:eastAsiaTheme="minorEastAsia" w:cstheme="minorBidi"/>
              <w:noProof/>
              <w:kern w:val="2"/>
              <w:sz w:val="22"/>
              <w:szCs w:val="22"/>
              <w:lang w:eastAsia="de-DE"/>
              <w14:ligatures w14:val="standardContextual"/>
            </w:rPr>
          </w:pPr>
          <w:hyperlink w:anchor="_Toc154652603" w:history="1">
            <w:r w:rsidR="002A7B67" w:rsidRPr="00BA6ED6">
              <w:rPr>
                <w:rStyle w:val="Hyperlink"/>
                <w:noProof/>
              </w:rPr>
              <w:t>5.3.3</w:t>
            </w:r>
            <w:r w:rsidR="002A7B67">
              <w:rPr>
                <w:rFonts w:eastAsiaTheme="minorEastAsia" w:cstheme="minorBidi"/>
                <w:noProof/>
                <w:kern w:val="2"/>
                <w:sz w:val="22"/>
                <w:szCs w:val="22"/>
                <w:lang w:eastAsia="de-DE"/>
                <w14:ligatures w14:val="standardContextual"/>
              </w:rPr>
              <w:tab/>
            </w:r>
            <w:r w:rsidR="002A7B67" w:rsidRPr="00BA6ED6">
              <w:rPr>
                <w:rStyle w:val="Hyperlink"/>
                <w:noProof/>
              </w:rPr>
              <w:t>Information bei Zweckänderung</w:t>
            </w:r>
            <w:r w:rsidR="002A7B67">
              <w:rPr>
                <w:noProof/>
                <w:webHidden/>
              </w:rPr>
              <w:tab/>
            </w:r>
            <w:r w:rsidR="002A7B67">
              <w:rPr>
                <w:noProof/>
                <w:webHidden/>
              </w:rPr>
              <w:fldChar w:fldCharType="begin"/>
            </w:r>
            <w:r w:rsidR="002A7B67">
              <w:rPr>
                <w:noProof/>
                <w:webHidden/>
              </w:rPr>
              <w:instrText xml:space="preserve"> PAGEREF _Toc154652603 \h </w:instrText>
            </w:r>
            <w:r w:rsidR="002A7B67">
              <w:rPr>
                <w:noProof/>
                <w:webHidden/>
              </w:rPr>
            </w:r>
            <w:r w:rsidR="002A7B67">
              <w:rPr>
                <w:noProof/>
                <w:webHidden/>
              </w:rPr>
              <w:fldChar w:fldCharType="separate"/>
            </w:r>
            <w:r w:rsidR="00C9149F">
              <w:rPr>
                <w:noProof/>
                <w:webHidden/>
              </w:rPr>
              <w:t>21</w:t>
            </w:r>
            <w:r w:rsidR="002A7B67">
              <w:rPr>
                <w:noProof/>
                <w:webHidden/>
              </w:rPr>
              <w:fldChar w:fldCharType="end"/>
            </w:r>
          </w:hyperlink>
        </w:p>
        <w:p w14:paraId="6349DCF8" w14:textId="248FE31B" w:rsidR="002A7B67" w:rsidRDefault="00000000" w:rsidP="00A824A4">
          <w:pPr>
            <w:pStyle w:val="Verzeichnis2"/>
            <w:rPr>
              <w:rFonts w:eastAsiaTheme="minorEastAsia" w:cstheme="minorBidi"/>
              <w:noProof/>
              <w:kern w:val="2"/>
              <w:lang w:eastAsia="de-DE"/>
              <w14:ligatures w14:val="standardContextual"/>
            </w:rPr>
          </w:pPr>
          <w:hyperlink w:anchor="_Toc154652604" w:history="1">
            <w:r w:rsidR="002A7B67" w:rsidRPr="00BA6ED6">
              <w:rPr>
                <w:rStyle w:val="Hyperlink"/>
                <w:noProof/>
              </w:rPr>
              <w:t>5.4</w:t>
            </w:r>
            <w:r w:rsidR="002A7B67">
              <w:rPr>
                <w:rFonts w:eastAsiaTheme="minorEastAsia" w:cstheme="minorBidi"/>
                <w:noProof/>
                <w:kern w:val="2"/>
                <w:lang w:eastAsia="de-DE"/>
                <w14:ligatures w14:val="standardContextual"/>
              </w:rPr>
              <w:tab/>
            </w:r>
            <w:r w:rsidR="002A7B67" w:rsidRPr="004832F9">
              <w:rPr>
                <w:rStyle w:val="Hyperlink"/>
                <w:noProof/>
              </w:rPr>
              <w:t>Privacy</w:t>
            </w:r>
            <w:r w:rsidR="002A7B67" w:rsidRPr="00BA6ED6">
              <w:rPr>
                <w:rStyle w:val="Hyperlink"/>
                <w:noProof/>
              </w:rPr>
              <w:t xml:space="preserve"> </w:t>
            </w:r>
            <w:r w:rsidR="002A7B67" w:rsidRPr="004832F9">
              <w:rPr>
                <w:rStyle w:val="Hyperlink"/>
                <w:noProof/>
              </w:rPr>
              <w:t>by</w:t>
            </w:r>
            <w:r w:rsidR="002A7B67" w:rsidRPr="00BA6ED6">
              <w:rPr>
                <w:rStyle w:val="Hyperlink"/>
                <w:noProof/>
              </w:rPr>
              <w:t xml:space="preserve"> Design/Default</w:t>
            </w:r>
            <w:r w:rsidR="002A7B67">
              <w:rPr>
                <w:noProof/>
                <w:webHidden/>
              </w:rPr>
              <w:tab/>
            </w:r>
            <w:r w:rsidR="002A7B67">
              <w:rPr>
                <w:noProof/>
                <w:webHidden/>
              </w:rPr>
              <w:fldChar w:fldCharType="begin"/>
            </w:r>
            <w:r w:rsidR="002A7B67">
              <w:rPr>
                <w:noProof/>
                <w:webHidden/>
              </w:rPr>
              <w:instrText xml:space="preserve"> PAGEREF _Toc154652604 \h </w:instrText>
            </w:r>
            <w:r w:rsidR="002A7B67">
              <w:rPr>
                <w:noProof/>
                <w:webHidden/>
              </w:rPr>
            </w:r>
            <w:r w:rsidR="002A7B67">
              <w:rPr>
                <w:noProof/>
                <w:webHidden/>
              </w:rPr>
              <w:fldChar w:fldCharType="separate"/>
            </w:r>
            <w:r w:rsidR="00C9149F">
              <w:rPr>
                <w:noProof/>
                <w:webHidden/>
              </w:rPr>
              <w:t>21</w:t>
            </w:r>
            <w:r w:rsidR="002A7B67">
              <w:rPr>
                <w:noProof/>
                <w:webHidden/>
              </w:rPr>
              <w:fldChar w:fldCharType="end"/>
            </w:r>
          </w:hyperlink>
        </w:p>
        <w:p w14:paraId="23AEEF8F" w14:textId="5B245583" w:rsidR="002A7B67" w:rsidRDefault="00000000" w:rsidP="00A824A4">
          <w:pPr>
            <w:pStyle w:val="Verzeichnis2"/>
            <w:rPr>
              <w:rFonts w:eastAsiaTheme="minorEastAsia" w:cstheme="minorBidi"/>
              <w:noProof/>
              <w:kern w:val="2"/>
              <w:lang w:eastAsia="de-DE"/>
              <w14:ligatures w14:val="standardContextual"/>
            </w:rPr>
          </w:pPr>
          <w:hyperlink w:anchor="_Toc154652605" w:history="1">
            <w:r w:rsidR="002A7B67" w:rsidRPr="00BA6ED6">
              <w:rPr>
                <w:rStyle w:val="Hyperlink"/>
                <w:noProof/>
              </w:rPr>
              <w:t>5.5</w:t>
            </w:r>
            <w:r w:rsidR="002A7B67">
              <w:rPr>
                <w:rFonts w:eastAsiaTheme="minorEastAsia" w:cstheme="minorBidi"/>
                <w:noProof/>
                <w:kern w:val="2"/>
                <w:lang w:eastAsia="de-DE"/>
                <w14:ligatures w14:val="standardContextual"/>
              </w:rPr>
              <w:tab/>
            </w:r>
            <w:r w:rsidR="002A7B67" w:rsidRPr="00BA6ED6">
              <w:rPr>
                <w:rStyle w:val="Hyperlink"/>
                <w:noProof/>
              </w:rPr>
              <w:t>Datenschutz-Folgenabschätzung</w:t>
            </w:r>
            <w:r w:rsidR="002A7B67">
              <w:rPr>
                <w:noProof/>
                <w:webHidden/>
              </w:rPr>
              <w:tab/>
            </w:r>
            <w:r w:rsidR="002A7B67">
              <w:rPr>
                <w:noProof/>
                <w:webHidden/>
              </w:rPr>
              <w:fldChar w:fldCharType="begin"/>
            </w:r>
            <w:r w:rsidR="002A7B67">
              <w:rPr>
                <w:noProof/>
                <w:webHidden/>
              </w:rPr>
              <w:instrText xml:space="preserve"> PAGEREF _Toc154652605 \h </w:instrText>
            </w:r>
            <w:r w:rsidR="002A7B67">
              <w:rPr>
                <w:noProof/>
                <w:webHidden/>
              </w:rPr>
            </w:r>
            <w:r w:rsidR="002A7B67">
              <w:rPr>
                <w:noProof/>
                <w:webHidden/>
              </w:rPr>
              <w:fldChar w:fldCharType="separate"/>
            </w:r>
            <w:r w:rsidR="00C9149F">
              <w:rPr>
                <w:noProof/>
                <w:webHidden/>
              </w:rPr>
              <w:t>22</w:t>
            </w:r>
            <w:r w:rsidR="002A7B67">
              <w:rPr>
                <w:noProof/>
                <w:webHidden/>
              </w:rPr>
              <w:fldChar w:fldCharType="end"/>
            </w:r>
          </w:hyperlink>
        </w:p>
        <w:p w14:paraId="09291625" w14:textId="661C5A3F"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606" w:history="1">
            <w:r w:rsidR="002A7B67" w:rsidRPr="00BA6ED6">
              <w:rPr>
                <w:rStyle w:val="Hyperlink"/>
                <w:noProof/>
              </w:rPr>
              <w:t>6</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 xml:space="preserve">Sonderfall: </w:t>
            </w:r>
            <w:r w:rsidR="002A7B67" w:rsidRPr="004832F9">
              <w:rPr>
                <w:rStyle w:val="Hyperlink"/>
                <w:noProof/>
              </w:rPr>
              <w:t>Genetische</w:t>
            </w:r>
            <w:r w:rsidR="002A7B67" w:rsidRPr="00BA6ED6">
              <w:rPr>
                <w:rStyle w:val="Hyperlink"/>
                <w:noProof/>
              </w:rPr>
              <w:t xml:space="preserve"> Daten/Biomaterial</w:t>
            </w:r>
            <w:r w:rsidR="002A7B67">
              <w:rPr>
                <w:noProof/>
                <w:webHidden/>
              </w:rPr>
              <w:tab/>
            </w:r>
            <w:r w:rsidR="002A7B67">
              <w:rPr>
                <w:noProof/>
                <w:webHidden/>
              </w:rPr>
              <w:fldChar w:fldCharType="begin"/>
            </w:r>
            <w:r w:rsidR="002A7B67">
              <w:rPr>
                <w:noProof/>
                <w:webHidden/>
              </w:rPr>
              <w:instrText xml:space="preserve"> PAGEREF _Toc154652606 \h </w:instrText>
            </w:r>
            <w:r w:rsidR="002A7B67">
              <w:rPr>
                <w:noProof/>
                <w:webHidden/>
              </w:rPr>
            </w:r>
            <w:r w:rsidR="002A7B67">
              <w:rPr>
                <w:noProof/>
                <w:webHidden/>
              </w:rPr>
              <w:fldChar w:fldCharType="separate"/>
            </w:r>
            <w:r w:rsidR="00C9149F">
              <w:rPr>
                <w:noProof/>
                <w:webHidden/>
              </w:rPr>
              <w:t>25</w:t>
            </w:r>
            <w:r w:rsidR="002A7B67">
              <w:rPr>
                <w:noProof/>
                <w:webHidden/>
              </w:rPr>
              <w:fldChar w:fldCharType="end"/>
            </w:r>
          </w:hyperlink>
        </w:p>
        <w:p w14:paraId="08435114" w14:textId="5C91DEE7" w:rsidR="002A7B67" w:rsidRDefault="00000000" w:rsidP="00A824A4">
          <w:pPr>
            <w:pStyle w:val="Verzeichnis2"/>
            <w:rPr>
              <w:rFonts w:eastAsiaTheme="minorEastAsia" w:cstheme="minorBidi"/>
              <w:noProof/>
              <w:kern w:val="2"/>
              <w:lang w:eastAsia="de-DE"/>
              <w14:ligatures w14:val="standardContextual"/>
            </w:rPr>
          </w:pPr>
          <w:hyperlink w:anchor="_Toc154652607" w:history="1">
            <w:r w:rsidR="002A7B67" w:rsidRPr="00BA6ED6">
              <w:rPr>
                <w:rStyle w:val="Hyperlink"/>
                <w:noProof/>
              </w:rPr>
              <w:t>6.1</w:t>
            </w:r>
            <w:r w:rsidR="002A7B67">
              <w:rPr>
                <w:rFonts w:eastAsiaTheme="minorEastAsia" w:cstheme="minorBidi"/>
                <w:noProof/>
                <w:kern w:val="2"/>
                <w:lang w:eastAsia="de-DE"/>
                <w14:ligatures w14:val="standardContextual"/>
              </w:rPr>
              <w:tab/>
            </w:r>
            <w:r w:rsidR="002A7B67" w:rsidRPr="00BA6ED6">
              <w:rPr>
                <w:rStyle w:val="Hyperlink"/>
                <w:noProof/>
              </w:rPr>
              <w:t>Biomaterial und Einwilligung</w:t>
            </w:r>
            <w:r w:rsidR="002A7B67">
              <w:rPr>
                <w:noProof/>
                <w:webHidden/>
              </w:rPr>
              <w:tab/>
            </w:r>
            <w:r w:rsidR="002A7B67">
              <w:rPr>
                <w:noProof/>
                <w:webHidden/>
              </w:rPr>
              <w:fldChar w:fldCharType="begin"/>
            </w:r>
            <w:r w:rsidR="002A7B67">
              <w:rPr>
                <w:noProof/>
                <w:webHidden/>
              </w:rPr>
              <w:instrText xml:space="preserve"> PAGEREF _Toc154652607 \h </w:instrText>
            </w:r>
            <w:r w:rsidR="002A7B67">
              <w:rPr>
                <w:noProof/>
                <w:webHidden/>
              </w:rPr>
            </w:r>
            <w:r w:rsidR="002A7B67">
              <w:rPr>
                <w:noProof/>
                <w:webHidden/>
              </w:rPr>
              <w:fldChar w:fldCharType="separate"/>
            </w:r>
            <w:r w:rsidR="00C9149F">
              <w:rPr>
                <w:noProof/>
                <w:webHidden/>
              </w:rPr>
              <w:t>26</w:t>
            </w:r>
            <w:r w:rsidR="002A7B67">
              <w:rPr>
                <w:noProof/>
                <w:webHidden/>
              </w:rPr>
              <w:fldChar w:fldCharType="end"/>
            </w:r>
          </w:hyperlink>
        </w:p>
        <w:p w14:paraId="198A1242" w14:textId="6E0D0274"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608" w:history="1">
            <w:r w:rsidR="002A7B67" w:rsidRPr="00BA6ED6">
              <w:rPr>
                <w:rStyle w:val="Hyperlink"/>
                <w:noProof/>
              </w:rPr>
              <w:t>7</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 xml:space="preserve">Exkurs: </w:t>
            </w:r>
            <w:r w:rsidR="002A7B67" w:rsidRPr="004832F9">
              <w:rPr>
                <w:rStyle w:val="Hyperlink"/>
                <w:noProof/>
              </w:rPr>
              <w:t>HIPAA</w:t>
            </w:r>
            <w:r w:rsidR="002A7B67" w:rsidRPr="00BA6ED6">
              <w:rPr>
                <w:rStyle w:val="Hyperlink"/>
                <w:noProof/>
              </w:rPr>
              <w:t xml:space="preserve"> und </w:t>
            </w:r>
            <w:r w:rsidR="002A7B67" w:rsidRPr="004832F9">
              <w:rPr>
                <w:rStyle w:val="Hyperlink"/>
                <w:noProof/>
              </w:rPr>
              <w:t>De-Identification</w:t>
            </w:r>
            <w:r w:rsidR="002A7B67" w:rsidRPr="00BA6ED6">
              <w:rPr>
                <w:rStyle w:val="Hyperlink"/>
                <w:noProof/>
              </w:rPr>
              <w:t xml:space="preserve"> – der amerikanische Weg</w:t>
            </w:r>
            <w:r w:rsidR="002A7B67">
              <w:rPr>
                <w:noProof/>
                <w:webHidden/>
              </w:rPr>
              <w:tab/>
            </w:r>
            <w:r w:rsidR="002A7B67">
              <w:rPr>
                <w:noProof/>
                <w:webHidden/>
              </w:rPr>
              <w:fldChar w:fldCharType="begin"/>
            </w:r>
            <w:r w:rsidR="002A7B67">
              <w:rPr>
                <w:noProof/>
                <w:webHidden/>
              </w:rPr>
              <w:instrText xml:space="preserve"> PAGEREF _Toc154652608 \h </w:instrText>
            </w:r>
            <w:r w:rsidR="002A7B67">
              <w:rPr>
                <w:noProof/>
                <w:webHidden/>
              </w:rPr>
            </w:r>
            <w:r w:rsidR="002A7B67">
              <w:rPr>
                <w:noProof/>
                <w:webHidden/>
              </w:rPr>
              <w:fldChar w:fldCharType="separate"/>
            </w:r>
            <w:r w:rsidR="00C9149F">
              <w:rPr>
                <w:noProof/>
                <w:webHidden/>
              </w:rPr>
              <w:t>27</w:t>
            </w:r>
            <w:r w:rsidR="002A7B67">
              <w:rPr>
                <w:noProof/>
                <w:webHidden/>
              </w:rPr>
              <w:fldChar w:fldCharType="end"/>
            </w:r>
          </w:hyperlink>
        </w:p>
        <w:p w14:paraId="60EB24F9" w14:textId="57666171" w:rsidR="002A7B67" w:rsidRDefault="00000000" w:rsidP="00A824A4">
          <w:pPr>
            <w:pStyle w:val="Verzeichnis2"/>
            <w:rPr>
              <w:rFonts w:eastAsiaTheme="minorEastAsia" w:cstheme="minorBidi"/>
              <w:noProof/>
              <w:kern w:val="2"/>
              <w:lang w:eastAsia="de-DE"/>
              <w14:ligatures w14:val="standardContextual"/>
            </w:rPr>
          </w:pPr>
          <w:hyperlink w:anchor="_Toc154652609" w:history="1">
            <w:r w:rsidR="002A7B67" w:rsidRPr="00BA6ED6">
              <w:rPr>
                <w:rStyle w:val="Hyperlink"/>
                <w:noProof/>
              </w:rPr>
              <w:t>7.1</w:t>
            </w:r>
            <w:r w:rsidR="002A7B67">
              <w:rPr>
                <w:rFonts w:eastAsiaTheme="minorEastAsia" w:cstheme="minorBidi"/>
                <w:noProof/>
                <w:kern w:val="2"/>
                <w:lang w:eastAsia="de-DE"/>
                <w14:ligatures w14:val="standardContextual"/>
              </w:rPr>
              <w:tab/>
            </w:r>
            <w:r w:rsidR="002A7B67" w:rsidRPr="004832F9">
              <w:rPr>
                <w:rStyle w:val="Hyperlink"/>
                <w:noProof/>
              </w:rPr>
              <w:t>Health</w:t>
            </w:r>
            <w:r w:rsidR="002A7B67" w:rsidRPr="00BA6ED6">
              <w:rPr>
                <w:rStyle w:val="Hyperlink"/>
                <w:noProof/>
              </w:rPr>
              <w:t xml:space="preserve"> </w:t>
            </w:r>
            <w:r w:rsidR="002A7B67" w:rsidRPr="004832F9">
              <w:rPr>
                <w:rStyle w:val="Hyperlink"/>
                <w:noProof/>
              </w:rPr>
              <w:t>Insurance</w:t>
            </w:r>
            <w:r w:rsidR="002A7B67" w:rsidRPr="00BA6ED6">
              <w:rPr>
                <w:rStyle w:val="Hyperlink"/>
                <w:noProof/>
              </w:rPr>
              <w:t xml:space="preserve"> Portability </w:t>
            </w:r>
            <w:r w:rsidR="002A7B67" w:rsidRPr="004832F9">
              <w:rPr>
                <w:rStyle w:val="Hyperlink"/>
                <w:noProof/>
              </w:rPr>
              <w:t>and</w:t>
            </w:r>
            <w:r w:rsidR="002A7B67" w:rsidRPr="00BA6ED6">
              <w:rPr>
                <w:rStyle w:val="Hyperlink"/>
                <w:noProof/>
              </w:rPr>
              <w:t xml:space="preserve"> Accountability Act</w:t>
            </w:r>
            <w:r w:rsidR="002A7B67">
              <w:rPr>
                <w:noProof/>
                <w:webHidden/>
              </w:rPr>
              <w:tab/>
            </w:r>
            <w:r w:rsidR="002A7B67">
              <w:rPr>
                <w:noProof/>
                <w:webHidden/>
              </w:rPr>
              <w:fldChar w:fldCharType="begin"/>
            </w:r>
            <w:r w:rsidR="002A7B67">
              <w:rPr>
                <w:noProof/>
                <w:webHidden/>
              </w:rPr>
              <w:instrText xml:space="preserve"> PAGEREF _Toc154652609 \h </w:instrText>
            </w:r>
            <w:r w:rsidR="002A7B67">
              <w:rPr>
                <w:noProof/>
                <w:webHidden/>
              </w:rPr>
            </w:r>
            <w:r w:rsidR="002A7B67">
              <w:rPr>
                <w:noProof/>
                <w:webHidden/>
              </w:rPr>
              <w:fldChar w:fldCharType="separate"/>
            </w:r>
            <w:r w:rsidR="00C9149F">
              <w:rPr>
                <w:noProof/>
                <w:webHidden/>
              </w:rPr>
              <w:t>28</w:t>
            </w:r>
            <w:r w:rsidR="002A7B67">
              <w:rPr>
                <w:noProof/>
                <w:webHidden/>
              </w:rPr>
              <w:fldChar w:fldCharType="end"/>
            </w:r>
          </w:hyperlink>
        </w:p>
        <w:p w14:paraId="06A93119" w14:textId="77777777" w:rsidR="002A7B67" w:rsidRDefault="002A7B67">
          <w:pPr>
            <w:spacing w:after="0" w:line="240" w:lineRule="auto"/>
            <w:jc w:val="left"/>
            <w:rPr>
              <w:rStyle w:val="Hyperlink"/>
              <w:rFonts w:cstheme="minorHAnsi"/>
              <w:b/>
              <w:bCs/>
              <w:iCs/>
              <w:noProof/>
              <w:sz w:val="24"/>
              <w:szCs w:val="24"/>
            </w:rPr>
          </w:pPr>
          <w:r>
            <w:rPr>
              <w:rStyle w:val="Hyperlink"/>
              <w:noProof/>
            </w:rPr>
            <w:br w:type="page"/>
          </w:r>
        </w:p>
        <w:p w14:paraId="37F64ABC" w14:textId="2D3F3296"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610" w:history="1">
            <w:r w:rsidR="002A7B67" w:rsidRPr="00BA6ED6">
              <w:rPr>
                <w:rStyle w:val="Hyperlink"/>
                <w:noProof/>
              </w:rPr>
              <w:t>8</w:t>
            </w:r>
            <w:r w:rsidR="002A7B67">
              <w:rPr>
                <w:rFonts w:eastAsiaTheme="minorEastAsia" w:cstheme="minorBidi"/>
                <w:b w:val="0"/>
                <w:bCs w:val="0"/>
                <w:iCs w:val="0"/>
                <w:noProof/>
                <w:kern w:val="2"/>
                <w:sz w:val="22"/>
                <w:szCs w:val="22"/>
                <w:lang w:eastAsia="de-DE"/>
                <w14:ligatures w14:val="standardContextual"/>
              </w:rPr>
              <w:tab/>
            </w:r>
            <w:r w:rsidR="002A7B67" w:rsidRPr="004832F9">
              <w:rPr>
                <w:rStyle w:val="Hyperlink"/>
                <w:noProof/>
              </w:rPr>
              <w:t>Hands</w:t>
            </w:r>
            <w:r w:rsidR="002A7B67" w:rsidRPr="00BA6ED6">
              <w:rPr>
                <w:rStyle w:val="Hyperlink"/>
                <w:noProof/>
              </w:rPr>
              <w:t xml:space="preserve"> on: Wie geht man vor?</w:t>
            </w:r>
            <w:r w:rsidR="002A7B67">
              <w:rPr>
                <w:noProof/>
                <w:webHidden/>
              </w:rPr>
              <w:tab/>
            </w:r>
            <w:r w:rsidR="002A7B67" w:rsidRPr="004832F9">
              <w:rPr>
                <w:noProof/>
                <w:webHidden/>
              </w:rPr>
              <w:fldChar w:fldCharType="begin"/>
            </w:r>
            <w:r w:rsidR="002A7B67" w:rsidRPr="004832F9">
              <w:rPr>
                <w:noProof/>
                <w:webHidden/>
              </w:rPr>
              <w:instrText xml:space="preserve"> PAGEREF _Toc154652610 \h </w:instrText>
            </w:r>
            <w:r w:rsidR="002A7B67" w:rsidRPr="004832F9">
              <w:rPr>
                <w:noProof/>
                <w:webHidden/>
              </w:rPr>
            </w:r>
            <w:r w:rsidR="002A7B67" w:rsidRPr="004832F9">
              <w:rPr>
                <w:noProof/>
                <w:webHidden/>
              </w:rPr>
              <w:fldChar w:fldCharType="separate"/>
            </w:r>
            <w:r w:rsidR="00C9149F">
              <w:rPr>
                <w:noProof/>
                <w:webHidden/>
              </w:rPr>
              <w:t>30</w:t>
            </w:r>
            <w:r w:rsidR="002A7B67" w:rsidRPr="004832F9">
              <w:rPr>
                <w:noProof/>
                <w:webHidden/>
              </w:rPr>
              <w:fldChar w:fldCharType="end"/>
            </w:r>
          </w:hyperlink>
        </w:p>
        <w:p w14:paraId="7E9DE5CF" w14:textId="147EA45E" w:rsidR="002A7B67" w:rsidRDefault="00000000" w:rsidP="00A824A4">
          <w:pPr>
            <w:pStyle w:val="Verzeichnis2"/>
            <w:rPr>
              <w:rFonts w:eastAsiaTheme="minorEastAsia" w:cstheme="minorBidi"/>
              <w:noProof/>
              <w:kern w:val="2"/>
              <w:lang w:eastAsia="de-DE"/>
              <w14:ligatures w14:val="standardContextual"/>
            </w:rPr>
          </w:pPr>
          <w:hyperlink w:anchor="_Toc154652611" w:history="1">
            <w:r w:rsidR="002A7B67" w:rsidRPr="00BA6ED6">
              <w:rPr>
                <w:rStyle w:val="Hyperlink"/>
                <w:noProof/>
              </w:rPr>
              <w:t>8.1</w:t>
            </w:r>
            <w:r w:rsidR="002A7B67">
              <w:rPr>
                <w:rFonts w:eastAsiaTheme="minorEastAsia" w:cstheme="minorBidi"/>
                <w:noProof/>
                <w:kern w:val="2"/>
                <w:lang w:eastAsia="de-DE"/>
                <w14:ligatures w14:val="standardContextual"/>
              </w:rPr>
              <w:tab/>
            </w:r>
            <w:r w:rsidR="002A7B67" w:rsidRPr="00BA6ED6">
              <w:rPr>
                <w:rStyle w:val="Hyperlink"/>
                <w:noProof/>
              </w:rPr>
              <w:t>Vorüberlegungen</w:t>
            </w:r>
            <w:r w:rsidR="002A7B67">
              <w:rPr>
                <w:noProof/>
                <w:webHidden/>
              </w:rPr>
              <w:tab/>
            </w:r>
            <w:r w:rsidR="002A7B67">
              <w:rPr>
                <w:noProof/>
                <w:webHidden/>
              </w:rPr>
              <w:fldChar w:fldCharType="begin"/>
            </w:r>
            <w:r w:rsidR="002A7B67">
              <w:rPr>
                <w:noProof/>
                <w:webHidden/>
              </w:rPr>
              <w:instrText xml:space="preserve"> PAGEREF _Toc154652611 \h </w:instrText>
            </w:r>
            <w:r w:rsidR="002A7B67">
              <w:rPr>
                <w:noProof/>
                <w:webHidden/>
              </w:rPr>
            </w:r>
            <w:r w:rsidR="002A7B67">
              <w:rPr>
                <w:noProof/>
                <w:webHidden/>
              </w:rPr>
              <w:fldChar w:fldCharType="separate"/>
            </w:r>
            <w:r w:rsidR="00C9149F">
              <w:rPr>
                <w:noProof/>
                <w:webHidden/>
              </w:rPr>
              <w:t>30</w:t>
            </w:r>
            <w:r w:rsidR="002A7B67">
              <w:rPr>
                <w:noProof/>
                <w:webHidden/>
              </w:rPr>
              <w:fldChar w:fldCharType="end"/>
            </w:r>
          </w:hyperlink>
        </w:p>
        <w:p w14:paraId="0A863C66" w14:textId="5F524A1F" w:rsidR="002A7B67" w:rsidRDefault="00000000">
          <w:pPr>
            <w:pStyle w:val="Verzeichnis3"/>
            <w:rPr>
              <w:rFonts w:eastAsiaTheme="minorEastAsia" w:cstheme="minorBidi"/>
              <w:noProof/>
              <w:kern w:val="2"/>
              <w:sz w:val="22"/>
              <w:szCs w:val="22"/>
              <w:lang w:eastAsia="de-DE"/>
              <w14:ligatures w14:val="standardContextual"/>
            </w:rPr>
          </w:pPr>
          <w:hyperlink w:anchor="_Toc154652612" w:history="1">
            <w:r w:rsidR="002A7B67" w:rsidRPr="00BA6ED6">
              <w:rPr>
                <w:rStyle w:val="Hyperlink"/>
                <w:noProof/>
              </w:rPr>
              <w:t>8.1.1</w:t>
            </w:r>
            <w:r w:rsidR="002A7B67">
              <w:rPr>
                <w:rFonts w:eastAsiaTheme="minorEastAsia" w:cstheme="minorBidi"/>
                <w:noProof/>
                <w:kern w:val="2"/>
                <w:sz w:val="22"/>
                <w:szCs w:val="22"/>
                <w:lang w:eastAsia="de-DE"/>
                <w14:ligatures w14:val="standardContextual"/>
              </w:rPr>
              <w:tab/>
            </w:r>
            <w:r w:rsidR="002A7B67" w:rsidRPr="00BA6ED6">
              <w:rPr>
                <w:rStyle w:val="Hyperlink"/>
                <w:noProof/>
              </w:rPr>
              <w:t>Festlegung: Pseudonymisierung oder Anonymisierung?</w:t>
            </w:r>
            <w:r w:rsidR="002A7B67">
              <w:rPr>
                <w:noProof/>
                <w:webHidden/>
              </w:rPr>
              <w:tab/>
            </w:r>
            <w:r w:rsidR="002A7B67">
              <w:rPr>
                <w:noProof/>
                <w:webHidden/>
              </w:rPr>
              <w:fldChar w:fldCharType="begin"/>
            </w:r>
            <w:r w:rsidR="002A7B67">
              <w:rPr>
                <w:noProof/>
                <w:webHidden/>
              </w:rPr>
              <w:instrText xml:space="preserve"> PAGEREF _Toc154652612 \h </w:instrText>
            </w:r>
            <w:r w:rsidR="002A7B67">
              <w:rPr>
                <w:noProof/>
                <w:webHidden/>
              </w:rPr>
            </w:r>
            <w:r w:rsidR="002A7B67">
              <w:rPr>
                <w:noProof/>
                <w:webHidden/>
              </w:rPr>
              <w:fldChar w:fldCharType="separate"/>
            </w:r>
            <w:r w:rsidR="00C9149F">
              <w:rPr>
                <w:noProof/>
                <w:webHidden/>
              </w:rPr>
              <w:t>30</w:t>
            </w:r>
            <w:r w:rsidR="002A7B67">
              <w:rPr>
                <w:noProof/>
                <w:webHidden/>
              </w:rPr>
              <w:fldChar w:fldCharType="end"/>
            </w:r>
          </w:hyperlink>
        </w:p>
        <w:p w14:paraId="5AC7D4D1" w14:textId="7B08851F" w:rsidR="002A7B67" w:rsidRDefault="00000000">
          <w:pPr>
            <w:pStyle w:val="Verzeichnis3"/>
            <w:rPr>
              <w:rFonts w:eastAsiaTheme="minorEastAsia" w:cstheme="minorBidi"/>
              <w:noProof/>
              <w:kern w:val="2"/>
              <w:sz w:val="22"/>
              <w:szCs w:val="22"/>
              <w:lang w:eastAsia="de-DE"/>
              <w14:ligatures w14:val="standardContextual"/>
            </w:rPr>
          </w:pPr>
          <w:hyperlink w:anchor="_Toc154652613" w:history="1">
            <w:r w:rsidR="002A7B67" w:rsidRPr="00BA6ED6">
              <w:rPr>
                <w:rStyle w:val="Hyperlink"/>
                <w:noProof/>
              </w:rPr>
              <w:t>8.1.2</w:t>
            </w:r>
            <w:r w:rsidR="002A7B67">
              <w:rPr>
                <w:rFonts w:eastAsiaTheme="minorEastAsia" w:cstheme="minorBidi"/>
                <w:noProof/>
                <w:kern w:val="2"/>
                <w:sz w:val="22"/>
                <w:szCs w:val="22"/>
                <w:lang w:eastAsia="de-DE"/>
                <w14:ligatures w14:val="standardContextual"/>
              </w:rPr>
              <w:tab/>
            </w:r>
            <w:r w:rsidR="002A7B67" w:rsidRPr="00BA6ED6">
              <w:rPr>
                <w:rStyle w:val="Hyperlink"/>
                <w:noProof/>
              </w:rPr>
              <w:t>Pseudonymisierung durch denselben Verantwortlichen</w:t>
            </w:r>
            <w:r w:rsidR="002A7B67">
              <w:rPr>
                <w:noProof/>
                <w:webHidden/>
              </w:rPr>
              <w:tab/>
            </w:r>
            <w:r w:rsidR="002A7B67">
              <w:rPr>
                <w:noProof/>
                <w:webHidden/>
              </w:rPr>
              <w:fldChar w:fldCharType="begin"/>
            </w:r>
            <w:r w:rsidR="002A7B67">
              <w:rPr>
                <w:noProof/>
                <w:webHidden/>
              </w:rPr>
              <w:instrText xml:space="preserve"> PAGEREF _Toc154652613 \h </w:instrText>
            </w:r>
            <w:r w:rsidR="002A7B67">
              <w:rPr>
                <w:noProof/>
                <w:webHidden/>
              </w:rPr>
            </w:r>
            <w:r w:rsidR="002A7B67">
              <w:rPr>
                <w:noProof/>
                <w:webHidden/>
              </w:rPr>
              <w:fldChar w:fldCharType="separate"/>
            </w:r>
            <w:r w:rsidR="00C9149F">
              <w:rPr>
                <w:noProof/>
                <w:webHidden/>
              </w:rPr>
              <w:t>31</w:t>
            </w:r>
            <w:r w:rsidR="002A7B67">
              <w:rPr>
                <w:noProof/>
                <w:webHidden/>
              </w:rPr>
              <w:fldChar w:fldCharType="end"/>
            </w:r>
          </w:hyperlink>
        </w:p>
        <w:p w14:paraId="3F3C45DE" w14:textId="1BFBA68E" w:rsidR="002A7B67" w:rsidRDefault="00000000">
          <w:pPr>
            <w:pStyle w:val="Verzeichnis3"/>
            <w:rPr>
              <w:rFonts w:eastAsiaTheme="minorEastAsia" w:cstheme="minorBidi"/>
              <w:noProof/>
              <w:kern w:val="2"/>
              <w:sz w:val="22"/>
              <w:szCs w:val="22"/>
              <w:lang w:eastAsia="de-DE"/>
              <w14:ligatures w14:val="standardContextual"/>
            </w:rPr>
          </w:pPr>
          <w:hyperlink w:anchor="_Toc154652614" w:history="1">
            <w:r w:rsidR="002A7B67" w:rsidRPr="00BA6ED6">
              <w:rPr>
                <w:rStyle w:val="Hyperlink"/>
                <w:noProof/>
              </w:rPr>
              <w:t>8.1.3</w:t>
            </w:r>
            <w:r w:rsidR="002A7B67">
              <w:rPr>
                <w:rFonts w:eastAsiaTheme="minorEastAsia" w:cstheme="minorBidi"/>
                <w:noProof/>
                <w:kern w:val="2"/>
                <w:sz w:val="22"/>
                <w:szCs w:val="22"/>
                <w:lang w:eastAsia="de-DE"/>
                <w14:ligatures w14:val="standardContextual"/>
              </w:rPr>
              <w:tab/>
            </w:r>
            <w:r w:rsidR="002A7B67" w:rsidRPr="00BA6ED6">
              <w:rPr>
                <w:rStyle w:val="Hyperlink"/>
                <w:noProof/>
              </w:rPr>
              <w:t>Datentreuhänder: Rahmenbedingungen</w:t>
            </w:r>
            <w:r w:rsidR="002A7B67">
              <w:rPr>
                <w:noProof/>
                <w:webHidden/>
              </w:rPr>
              <w:tab/>
            </w:r>
            <w:r w:rsidR="002A7B67">
              <w:rPr>
                <w:noProof/>
                <w:webHidden/>
              </w:rPr>
              <w:fldChar w:fldCharType="begin"/>
            </w:r>
            <w:r w:rsidR="002A7B67">
              <w:rPr>
                <w:noProof/>
                <w:webHidden/>
              </w:rPr>
              <w:instrText xml:space="preserve"> PAGEREF _Toc154652614 \h </w:instrText>
            </w:r>
            <w:r w:rsidR="002A7B67">
              <w:rPr>
                <w:noProof/>
                <w:webHidden/>
              </w:rPr>
            </w:r>
            <w:r w:rsidR="002A7B67">
              <w:rPr>
                <w:noProof/>
                <w:webHidden/>
              </w:rPr>
              <w:fldChar w:fldCharType="separate"/>
            </w:r>
            <w:r w:rsidR="00C9149F">
              <w:rPr>
                <w:noProof/>
                <w:webHidden/>
              </w:rPr>
              <w:t>32</w:t>
            </w:r>
            <w:r w:rsidR="002A7B67">
              <w:rPr>
                <w:noProof/>
                <w:webHidden/>
              </w:rPr>
              <w:fldChar w:fldCharType="end"/>
            </w:r>
          </w:hyperlink>
        </w:p>
        <w:p w14:paraId="06513DBA" w14:textId="5D1346F0" w:rsidR="002A7B67" w:rsidRDefault="00000000">
          <w:pPr>
            <w:pStyle w:val="Verzeichnis3"/>
            <w:rPr>
              <w:rFonts w:eastAsiaTheme="minorEastAsia" w:cstheme="minorBidi"/>
              <w:noProof/>
              <w:kern w:val="2"/>
              <w:sz w:val="22"/>
              <w:szCs w:val="22"/>
              <w:lang w:eastAsia="de-DE"/>
              <w14:ligatures w14:val="standardContextual"/>
            </w:rPr>
          </w:pPr>
          <w:hyperlink w:anchor="_Toc154652615" w:history="1">
            <w:r w:rsidR="002A7B67" w:rsidRPr="00BA6ED6">
              <w:rPr>
                <w:rStyle w:val="Hyperlink"/>
                <w:noProof/>
              </w:rPr>
              <w:t>8.1.4</w:t>
            </w:r>
            <w:r w:rsidR="002A7B67">
              <w:rPr>
                <w:rFonts w:eastAsiaTheme="minorEastAsia" w:cstheme="minorBidi"/>
                <w:noProof/>
                <w:kern w:val="2"/>
                <w:sz w:val="22"/>
                <w:szCs w:val="22"/>
                <w:lang w:eastAsia="de-DE"/>
                <w14:ligatures w14:val="standardContextual"/>
              </w:rPr>
              <w:tab/>
            </w:r>
            <w:r w:rsidR="002A7B67" w:rsidRPr="00BA6ED6">
              <w:rPr>
                <w:rStyle w:val="Hyperlink"/>
                <w:noProof/>
              </w:rPr>
              <w:t>Anonymisierung durch denselben Verantwortlichen</w:t>
            </w:r>
            <w:r w:rsidR="002A7B67">
              <w:rPr>
                <w:noProof/>
                <w:webHidden/>
              </w:rPr>
              <w:tab/>
            </w:r>
            <w:r w:rsidR="002A7B67">
              <w:rPr>
                <w:noProof/>
                <w:webHidden/>
              </w:rPr>
              <w:fldChar w:fldCharType="begin"/>
            </w:r>
            <w:r w:rsidR="002A7B67">
              <w:rPr>
                <w:noProof/>
                <w:webHidden/>
              </w:rPr>
              <w:instrText xml:space="preserve"> PAGEREF _Toc154652615 \h </w:instrText>
            </w:r>
            <w:r w:rsidR="002A7B67">
              <w:rPr>
                <w:noProof/>
                <w:webHidden/>
              </w:rPr>
            </w:r>
            <w:r w:rsidR="002A7B67">
              <w:rPr>
                <w:noProof/>
                <w:webHidden/>
              </w:rPr>
              <w:fldChar w:fldCharType="separate"/>
            </w:r>
            <w:r w:rsidR="00C9149F">
              <w:rPr>
                <w:noProof/>
                <w:webHidden/>
              </w:rPr>
              <w:t>33</w:t>
            </w:r>
            <w:r w:rsidR="002A7B67">
              <w:rPr>
                <w:noProof/>
                <w:webHidden/>
              </w:rPr>
              <w:fldChar w:fldCharType="end"/>
            </w:r>
          </w:hyperlink>
        </w:p>
        <w:p w14:paraId="75B9C782" w14:textId="5A6D7143" w:rsidR="002A7B67" w:rsidRDefault="00000000">
          <w:pPr>
            <w:pStyle w:val="Verzeichnis3"/>
            <w:rPr>
              <w:rFonts w:eastAsiaTheme="minorEastAsia" w:cstheme="minorBidi"/>
              <w:noProof/>
              <w:kern w:val="2"/>
              <w:sz w:val="22"/>
              <w:szCs w:val="22"/>
              <w:lang w:eastAsia="de-DE"/>
              <w14:ligatures w14:val="standardContextual"/>
            </w:rPr>
          </w:pPr>
          <w:hyperlink w:anchor="_Toc154652616" w:history="1">
            <w:r w:rsidR="002A7B67" w:rsidRPr="00BA6ED6">
              <w:rPr>
                <w:rStyle w:val="Hyperlink"/>
                <w:noProof/>
              </w:rPr>
              <w:t>8.1.5</w:t>
            </w:r>
            <w:r w:rsidR="002A7B67">
              <w:rPr>
                <w:rFonts w:eastAsiaTheme="minorEastAsia" w:cstheme="minorBidi"/>
                <w:noProof/>
                <w:kern w:val="2"/>
                <w:sz w:val="22"/>
                <w:szCs w:val="22"/>
                <w:lang w:eastAsia="de-DE"/>
                <w14:ligatures w14:val="standardContextual"/>
              </w:rPr>
              <w:tab/>
            </w:r>
            <w:r w:rsidR="002A7B67" w:rsidRPr="00BA6ED6">
              <w:rPr>
                <w:rStyle w:val="Hyperlink"/>
                <w:noProof/>
              </w:rPr>
              <w:t>Zu beachtende Einflussfaktoren</w:t>
            </w:r>
            <w:r w:rsidR="002A7B67">
              <w:rPr>
                <w:noProof/>
                <w:webHidden/>
              </w:rPr>
              <w:tab/>
            </w:r>
            <w:r w:rsidR="002A7B67" w:rsidRPr="004832F9">
              <w:rPr>
                <w:noProof/>
                <w:webHidden/>
              </w:rPr>
              <w:fldChar w:fldCharType="begin"/>
            </w:r>
            <w:r w:rsidR="002A7B67" w:rsidRPr="004832F9">
              <w:rPr>
                <w:noProof/>
                <w:webHidden/>
              </w:rPr>
              <w:instrText xml:space="preserve"> PAGEREF _Toc154652616 \h </w:instrText>
            </w:r>
            <w:r w:rsidR="002A7B67" w:rsidRPr="004832F9">
              <w:rPr>
                <w:noProof/>
                <w:webHidden/>
              </w:rPr>
            </w:r>
            <w:r w:rsidR="002A7B67" w:rsidRPr="004832F9">
              <w:rPr>
                <w:noProof/>
                <w:webHidden/>
              </w:rPr>
              <w:fldChar w:fldCharType="separate"/>
            </w:r>
            <w:r w:rsidR="00C9149F">
              <w:rPr>
                <w:noProof/>
                <w:webHidden/>
              </w:rPr>
              <w:t>33</w:t>
            </w:r>
            <w:r w:rsidR="002A7B67" w:rsidRPr="004832F9">
              <w:rPr>
                <w:noProof/>
                <w:webHidden/>
              </w:rPr>
              <w:fldChar w:fldCharType="end"/>
            </w:r>
          </w:hyperlink>
        </w:p>
        <w:p w14:paraId="7327B63E" w14:textId="400D6DAF" w:rsidR="002A7B67" w:rsidRDefault="00000000">
          <w:pPr>
            <w:pStyle w:val="Verzeichnis4"/>
            <w:rPr>
              <w:rFonts w:eastAsiaTheme="minorEastAsia" w:cstheme="minorBidi"/>
              <w:noProof/>
              <w:kern w:val="2"/>
              <w:sz w:val="22"/>
              <w:szCs w:val="22"/>
              <w:lang w:eastAsia="de-DE"/>
              <w14:ligatures w14:val="standardContextual"/>
            </w:rPr>
          </w:pPr>
          <w:hyperlink w:anchor="_Toc154652617" w:history="1">
            <w:r w:rsidR="002A7B67" w:rsidRPr="00BA6ED6">
              <w:rPr>
                <w:rStyle w:val="Hyperlink"/>
                <w:noProof/>
              </w:rPr>
              <w:t>8.1.5.1</w:t>
            </w:r>
            <w:r w:rsidR="002A7B67">
              <w:rPr>
                <w:rFonts w:eastAsiaTheme="minorEastAsia" w:cstheme="minorBidi"/>
                <w:noProof/>
                <w:kern w:val="2"/>
                <w:sz w:val="22"/>
                <w:szCs w:val="22"/>
                <w:lang w:eastAsia="de-DE"/>
                <w14:ligatures w14:val="standardContextual"/>
              </w:rPr>
              <w:tab/>
            </w:r>
            <w:r w:rsidR="002A7B67" w:rsidRPr="004832F9">
              <w:rPr>
                <w:rStyle w:val="Hyperlink"/>
                <w:noProof/>
              </w:rPr>
              <w:t>Rechtliche</w:t>
            </w:r>
            <w:r w:rsidR="002A7B67" w:rsidRPr="00BA6ED6">
              <w:rPr>
                <w:rStyle w:val="Hyperlink"/>
                <w:noProof/>
              </w:rPr>
              <w:t xml:space="preserve"> Vorgaben</w:t>
            </w:r>
            <w:r w:rsidR="002A7B67">
              <w:rPr>
                <w:noProof/>
                <w:webHidden/>
              </w:rPr>
              <w:tab/>
            </w:r>
            <w:r w:rsidR="002A7B67">
              <w:rPr>
                <w:noProof/>
                <w:webHidden/>
              </w:rPr>
              <w:fldChar w:fldCharType="begin"/>
            </w:r>
            <w:r w:rsidR="002A7B67">
              <w:rPr>
                <w:noProof/>
                <w:webHidden/>
              </w:rPr>
              <w:instrText xml:space="preserve"> PAGEREF _Toc154652617 \h </w:instrText>
            </w:r>
            <w:r w:rsidR="002A7B67">
              <w:rPr>
                <w:noProof/>
                <w:webHidden/>
              </w:rPr>
            </w:r>
            <w:r w:rsidR="002A7B67">
              <w:rPr>
                <w:noProof/>
                <w:webHidden/>
              </w:rPr>
              <w:fldChar w:fldCharType="separate"/>
            </w:r>
            <w:r w:rsidR="00C9149F">
              <w:rPr>
                <w:noProof/>
                <w:webHidden/>
              </w:rPr>
              <w:t>33</w:t>
            </w:r>
            <w:r w:rsidR="002A7B67">
              <w:rPr>
                <w:noProof/>
                <w:webHidden/>
              </w:rPr>
              <w:fldChar w:fldCharType="end"/>
            </w:r>
          </w:hyperlink>
        </w:p>
        <w:p w14:paraId="558757A4" w14:textId="5C365CB1" w:rsidR="002A7B67" w:rsidRDefault="00000000">
          <w:pPr>
            <w:pStyle w:val="Verzeichnis4"/>
            <w:rPr>
              <w:rFonts w:eastAsiaTheme="minorEastAsia" w:cstheme="minorBidi"/>
              <w:noProof/>
              <w:kern w:val="2"/>
              <w:sz w:val="22"/>
              <w:szCs w:val="22"/>
              <w:lang w:eastAsia="de-DE"/>
              <w14:ligatures w14:val="standardContextual"/>
            </w:rPr>
          </w:pPr>
          <w:hyperlink w:anchor="_Toc154652618" w:history="1">
            <w:r w:rsidR="002A7B67" w:rsidRPr="00BA6ED6">
              <w:rPr>
                <w:rStyle w:val="Hyperlink"/>
                <w:noProof/>
              </w:rPr>
              <w:t>8.1.5.2</w:t>
            </w:r>
            <w:r w:rsidR="002A7B67">
              <w:rPr>
                <w:rFonts w:eastAsiaTheme="minorEastAsia" w:cstheme="minorBidi"/>
                <w:noProof/>
                <w:kern w:val="2"/>
                <w:sz w:val="22"/>
                <w:szCs w:val="22"/>
                <w:lang w:eastAsia="de-DE"/>
                <w14:ligatures w14:val="standardContextual"/>
              </w:rPr>
              <w:tab/>
            </w:r>
            <w:r w:rsidR="002A7B67" w:rsidRPr="00BA6ED6">
              <w:rPr>
                <w:rStyle w:val="Hyperlink"/>
                <w:noProof/>
              </w:rPr>
              <w:t>Zeitpunkt der Pseudonymisierung/Anonymisierung</w:t>
            </w:r>
            <w:r w:rsidR="002A7B67">
              <w:rPr>
                <w:noProof/>
                <w:webHidden/>
              </w:rPr>
              <w:tab/>
            </w:r>
            <w:r w:rsidR="002A7B67">
              <w:rPr>
                <w:noProof/>
                <w:webHidden/>
              </w:rPr>
              <w:fldChar w:fldCharType="begin"/>
            </w:r>
            <w:r w:rsidR="002A7B67">
              <w:rPr>
                <w:noProof/>
                <w:webHidden/>
              </w:rPr>
              <w:instrText xml:space="preserve"> PAGEREF _Toc154652618 \h </w:instrText>
            </w:r>
            <w:r w:rsidR="002A7B67">
              <w:rPr>
                <w:noProof/>
                <w:webHidden/>
              </w:rPr>
            </w:r>
            <w:r w:rsidR="002A7B67">
              <w:rPr>
                <w:noProof/>
                <w:webHidden/>
              </w:rPr>
              <w:fldChar w:fldCharType="separate"/>
            </w:r>
            <w:r w:rsidR="00C9149F">
              <w:rPr>
                <w:noProof/>
                <w:webHidden/>
              </w:rPr>
              <w:t>34</w:t>
            </w:r>
            <w:r w:rsidR="002A7B67">
              <w:rPr>
                <w:noProof/>
                <w:webHidden/>
              </w:rPr>
              <w:fldChar w:fldCharType="end"/>
            </w:r>
          </w:hyperlink>
        </w:p>
        <w:p w14:paraId="443A16CE" w14:textId="0FA0CD07" w:rsidR="002A7B67" w:rsidRDefault="00000000">
          <w:pPr>
            <w:pStyle w:val="Verzeichnis4"/>
            <w:rPr>
              <w:rFonts w:eastAsiaTheme="minorEastAsia" w:cstheme="minorBidi"/>
              <w:noProof/>
              <w:kern w:val="2"/>
              <w:sz w:val="22"/>
              <w:szCs w:val="22"/>
              <w:lang w:eastAsia="de-DE"/>
              <w14:ligatures w14:val="standardContextual"/>
            </w:rPr>
          </w:pPr>
          <w:hyperlink w:anchor="_Toc154652619" w:history="1">
            <w:r w:rsidR="002A7B67" w:rsidRPr="00BA6ED6">
              <w:rPr>
                <w:rStyle w:val="Hyperlink"/>
                <w:noProof/>
              </w:rPr>
              <w:t>8.1.5.3</w:t>
            </w:r>
            <w:r w:rsidR="002A7B67">
              <w:rPr>
                <w:rFonts w:eastAsiaTheme="minorEastAsia" w:cstheme="minorBidi"/>
                <w:noProof/>
                <w:kern w:val="2"/>
                <w:sz w:val="22"/>
                <w:szCs w:val="22"/>
                <w:lang w:eastAsia="de-DE"/>
                <w14:ligatures w14:val="standardContextual"/>
              </w:rPr>
              <w:tab/>
            </w:r>
            <w:r w:rsidR="002A7B67" w:rsidRPr="00BA6ED6">
              <w:rPr>
                <w:rStyle w:val="Hyperlink"/>
                <w:noProof/>
              </w:rPr>
              <w:t>Rücknahmefestigkeit</w:t>
            </w:r>
            <w:r w:rsidR="002A7B67">
              <w:rPr>
                <w:noProof/>
                <w:webHidden/>
              </w:rPr>
              <w:tab/>
            </w:r>
            <w:r w:rsidR="002A7B67">
              <w:rPr>
                <w:noProof/>
                <w:webHidden/>
              </w:rPr>
              <w:fldChar w:fldCharType="begin"/>
            </w:r>
            <w:r w:rsidR="002A7B67">
              <w:rPr>
                <w:noProof/>
                <w:webHidden/>
              </w:rPr>
              <w:instrText xml:space="preserve"> PAGEREF _Toc154652619 \h </w:instrText>
            </w:r>
            <w:r w:rsidR="002A7B67">
              <w:rPr>
                <w:noProof/>
                <w:webHidden/>
              </w:rPr>
            </w:r>
            <w:r w:rsidR="002A7B67">
              <w:rPr>
                <w:noProof/>
                <w:webHidden/>
              </w:rPr>
              <w:fldChar w:fldCharType="separate"/>
            </w:r>
            <w:r w:rsidR="00C9149F">
              <w:rPr>
                <w:noProof/>
                <w:webHidden/>
              </w:rPr>
              <w:t>35</w:t>
            </w:r>
            <w:r w:rsidR="002A7B67">
              <w:rPr>
                <w:noProof/>
                <w:webHidden/>
              </w:rPr>
              <w:fldChar w:fldCharType="end"/>
            </w:r>
          </w:hyperlink>
        </w:p>
        <w:p w14:paraId="0389A9B7" w14:textId="1DCDCF4D" w:rsidR="002A7B67" w:rsidRDefault="00000000">
          <w:pPr>
            <w:pStyle w:val="Verzeichnis4"/>
            <w:rPr>
              <w:rFonts w:eastAsiaTheme="minorEastAsia" w:cstheme="minorBidi"/>
              <w:noProof/>
              <w:kern w:val="2"/>
              <w:sz w:val="22"/>
              <w:szCs w:val="22"/>
              <w:lang w:eastAsia="de-DE"/>
              <w14:ligatures w14:val="standardContextual"/>
            </w:rPr>
          </w:pPr>
          <w:hyperlink w:anchor="_Toc154652620" w:history="1">
            <w:r w:rsidR="002A7B67" w:rsidRPr="00BA6ED6">
              <w:rPr>
                <w:rStyle w:val="Hyperlink"/>
                <w:noProof/>
              </w:rPr>
              <w:t>8.1.5.4</w:t>
            </w:r>
            <w:r w:rsidR="002A7B67">
              <w:rPr>
                <w:rFonts w:eastAsiaTheme="minorEastAsia" w:cstheme="minorBidi"/>
                <w:noProof/>
                <w:kern w:val="2"/>
                <w:sz w:val="22"/>
                <w:szCs w:val="22"/>
                <w:lang w:eastAsia="de-DE"/>
                <w14:ligatures w14:val="standardContextual"/>
              </w:rPr>
              <w:tab/>
            </w:r>
            <w:r w:rsidR="002A7B67" w:rsidRPr="00BA6ED6">
              <w:rPr>
                <w:rStyle w:val="Hyperlink"/>
                <w:noProof/>
              </w:rPr>
              <w:t>Anzahl der Personen im Datensatz</w:t>
            </w:r>
            <w:r w:rsidR="002A7B67">
              <w:rPr>
                <w:noProof/>
                <w:webHidden/>
              </w:rPr>
              <w:tab/>
            </w:r>
            <w:r w:rsidR="002A7B67">
              <w:rPr>
                <w:noProof/>
                <w:webHidden/>
              </w:rPr>
              <w:fldChar w:fldCharType="begin"/>
            </w:r>
            <w:r w:rsidR="002A7B67">
              <w:rPr>
                <w:noProof/>
                <w:webHidden/>
              </w:rPr>
              <w:instrText xml:space="preserve"> PAGEREF _Toc154652620 \h </w:instrText>
            </w:r>
            <w:r w:rsidR="002A7B67">
              <w:rPr>
                <w:noProof/>
                <w:webHidden/>
              </w:rPr>
            </w:r>
            <w:r w:rsidR="002A7B67">
              <w:rPr>
                <w:noProof/>
                <w:webHidden/>
              </w:rPr>
              <w:fldChar w:fldCharType="separate"/>
            </w:r>
            <w:r w:rsidR="00C9149F">
              <w:rPr>
                <w:noProof/>
                <w:webHidden/>
              </w:rPr>
              <w:t>35</w:t>
            </w:r>
            <w:r w:rsidR="002A7B67">
              <w:rPr>
                <w:noProof/>
                <w:webHidden/>
              </w:rPr>
              <w:fldChar w:fldCharType="end"/>
            </w:r>
          </w:hyperlink>
        </w:p>
        <w:p w14:paraId="534092E4" w14:textId="37293307" w:rsidR="002A7B67" w:rsidRDefault="00000000">
          <w:pPr>
            <w:pStyle w:val="Verzeichnis4"/>
            <w:rPr>
              <w:rFonts w:eastAsiaTheme="minorEastAsia" w:cstheme="minorBidi"/>
              <w:noProof/>
              <w:kern w:val="2"/>
              <w:sz w:val="22"/>
              <w:szCs w:val="22"/>
              <w:lang w:eastAsia="de-DE"/>
              <w14:ligatures w14:val="standardContextual"/>
            </w:rPr>
          </w:pPr>
          <w:hyperlink w:anchor="_Toc154652621" w:history="1">
            <w:r w:rsidR="002A7B67" w:rsidRPr="00BA6ED6">
              <w:rPr>
                <w:rStyle w:val="Hyperlink"/>
                <w:noProof/>
              </w:rPr>
              <w:t>8.1.5.5</w:t>
            </w:r>
            <w:r w:rsidR="002A7B67">
              <w:rPr>
                <w:rFonts w:eastAsiaTheme="minorEastAsia" w:cstheme="minorBidi"/>
                <w:noProof/>
                <w:kern w:val="2"/>
                <w:sz w:val="22"/>
                <w:szCs w:val="22"/>
                <w:lang w:eastAsia="de-DE"/>
                <w14:ligatures w14:val="standardContextual"/>
              </w:rPr>
              <w:tab/>
            </w:r>
            <w:r w:rsidR="002A7B67" w:rsidRPr="00BA6ED6">
              <w:rPr>
                <w:rStyle w:val="Hyperlink"/>
                <w:noProof/>
              </w:rPr>
              <w:t>Verkettungsmöglichkeit</w:t>
            </w:r>
            <w:r w:rsidR="002A7B67">
              <w:rPr>
                <w:noProof/>
                <w:webHidden/>
              </w:rPr>
              <w:tab/>
            </w:r>
            <w:r w:rsidR="002A7B67">
              <w:rPr>
                <w:noProof/>
                <w:webHidden/>
              </w:rPr>
              <w:fldChar w:fldCharType="begin"/>
            </w:r>
            <w:r w:rsidR="002A7B67">
              <w:rPr>
                <w:noProof/>
                <w:webHidden/>
              </w:rPr>
              <w:instrText xml:space="preserve"> PAGEREF _Toc154652621 \h </w:instrText>
            </w:r>
            <w:r w:rsidR="002A7B67">
              <w:rPr>
                <w:noProof/>
                <w:webHidden/>
              </w:rPr>
            </w:r>
            <w:r w:rsidR="002A7B67">
              <w:rPr>
                <w:noProof/>
                <w:webHidden/>
              </w:rPr>
              <w:fldChar w:fldCharType="separate"/>
            </w:r>
            <w:r w:rsidR="00C9149F">
              <w:rPr>
                <w:noProof/>
                <w:webHidden/>
              </w:rPr>
              <w:t>36</w:t>
            </w:r>
            <w:r w:rsidR="002A7B67">
              <w:rPr>
                <w:noProof/>
                <w:webHidden/>
              </w:rPr>
              <w:fldChar w:fldCharType="end"/>
            </w:r>
          </w:hyperlink>
        </w:p>
        <w:p w14:paraId="6F50249E" w14:textId="7393A262" w:rsidR="002A7B67" w:rsidRDefault="00000000">
          <w:pPr>
            <w:pStyle w:val="Verzeichnis4"/>
            <w:rPr>
              <w:rFonts w:eastAsiaTheme="minorEastAsia" w:cstheme="minorBidi"/>
              <w:noProof/>
              <w:kern w:val="2"/>
              <w:sz w:val="22"/>
              <w:szCs w:val="22"/>
              <w:lang w:eastAsia="de-DE"/>
              <w14:ligatures w14:val="standardContextual"/>
            </w:rPr>
          </w:pPr>
          <w:hyperlink w:anchor="_Toc154652622" w:history="1">
            <w:r w:rsidR="002A7B67" w:rsidRPr="00BA6ED6">
              <w:rPr>
                <w:rStyle w:val="Hyperlink"/>
                <w:noProof/>
              </w:rPr>
              <w:t>8.1.5.6</w:t>
            </w:r>
            <w:r w:rsidR="002A7B67">
              <w:rPr>
                <w:rFonts w:eastAsiaTheme="minorEastAsia" w:cstheme="minorBidi"/>
                <w:noProof/>
                <w:kern w:val="2"/>
                <w:sz w:val="22"/>
                <w:szCs w:val="22"/>
                <w:lang w:eastAsia="de-DE"/>
                <w14:ligatures w14:val="standardContextual"/>
              </w:rPr>
              <w:tab/>
            </w:r>
            <w:r w:rsidR="002A7B67" w:rsidRPr="004832F9">
              <w:rPr>
                <w:rStyle w:val="Hyperlink"/>
                <w:noProof/>
              </w:rPr>
              <w:t>Konkrete</w:t>
            </w:r>
            <w:r w:rsidR="002A7B67" w:rsidRPr="00BA6ED6">
              <w:rPr>
                <w:rStyle w:val="Hyperlink"/>
                <w:noProof/>
              </w:rPr>
              <w:t xml:space="preserve"> Einzelangaben: </w:t>
            </w:r>
            <w:r w:rsidR="002A7B67" w:rsidRPr="004832F9">
              <w:rPr>
                <w:rStyle w:val="Hyperlink"/>
                <w:noProof/>
              </w:rPr>
              <w:t>Indirekt</w:t>
            </w:r>
            <w:r w:rsidR="002A7B67" w:rsidRPr="00BA6ED6">
              <w:rPr>
                <w:rStyle w:val="Hyperlink"/>
                <w:noProof/>
              </w:rPr>
              <w:t xml:space="preserve"> identifizierende Daten</w:t>
            </w:r>
            <w:r w:rsidR="002A7B67">
              <w:rPr>
                <w:noProof/>
                <w:webHidden/>
              </w:rPr>
              <w:tab/>
            </w:r>
            <w:r w:rsidR="002A7B67" w:rsidRPr="004832F9">
              <w:rPr>
                <w:noProof/>
                <w:webHidden/>
              </w:rPr>
              <w:fldChar w:fldCharType="begin"/>
            </w:r>
            <w:r w:rsidR="002A7B67" w:rsidRPr="004832F9">
              <w:rPr>
                <w:noProof/>
                <w:webHidden/>
              </w:rPr>
              <w:instrText xml:space="preserve"> PAGEREF _Toc154652622 \h </w:instrText>
            </w:r>
            <w:r w:rsidR="002A7B67" w:rsidRPr="004832F9">
              <w:rPr>
                <w:noProof/>
                <w:webHidden/>
              </w:rPr>
            </w:r>
            <w:r w:rsidR="002A7B67" w:rsidRPr="004832F9">
              <w:rPr>
                <w:noProof/>
                <w:webHidden/>
              </w:rPr>
              <w:fldChar w:fldCharType="separate"/>
            </w:r>
            <w:r w:rsidR="00C9149F">
              <w:rPr>
                <w:noProof/>
                <w:webHidden/>
              </w:rPr>
              <w:t>36</w:t>
            </w:r>
            <w:r w:rsidR="002A7B67" w:rsidRPr="004832F9">
              <w:rPr>
                <w:noProof/>
                <w:webHidden/>
              </w:rPr>
              <w:fldChar w:fldCharType="end"/>
            </w:r>
          </w:hyperlink>
        </w:p>
        <w:p w14:paraId="7099C1E6" w14:textId="186417CE" w:rsidR="002A7B67" w:rsidRDefault="00000000">
          <w:pPr>
            <w:pStyle w:val="Verzeichnis4"/>
            <w:rPr>
              <w:rFonts w:eastAsiaTheme="minorEastAsia" w:cstheme="minorBidi"/>
              <w:noProof/>
              <w:kern w:val="2"/>
              <w:sz w:val="22"/>
              <w:szCs w:val="22"/>
              <w:lang w:eastAsia="de-DE"/>
              <w14:ligatures w14:val="standardContextual"/>
            </w:rPr>
          </w:pPr>
          <w:hyperlink w:anchor="_Toc154652623" w:history="1">
            <w:r w:rsidR="002A7B67" w:rsidRPr="00BA6ED6">
              <w:rPr>
                <w:rStyle w:val="Hyperlink"/>
                <w:noProof/>
              </w:rPr>
              <w:t>8.1.5.7</w:t>
            </w:r>
            <w:r w:rsidR="002A7B67">
              <w:rPr>
                <w:rFonts w:eastAsiaTheme="minorEastAsia" w:cstheme="minorBidi"/>
                <w:noProof/>
                <w:kern w:val="2"/>
                <w:sz w:val="22"/>
                <w:szCs w:val="22"/>
                <w:lang w:eastAsia="de-DE"/>
                <w14:ligatures w14:val="standardContextual"/>
              </w:rPr>
              <w:tab/>
            </w:r>
            <w:r w:rsidR="002A7B67" w:rsidRPr="00BA6ED6">
              <w:rPr>
                <w:rStyle w:val="Hyperlink"/>
                <w:noProof/>
              </w:rPr>
              <w:t>Verfügbarkeitsoptionen</w:t>
            </w:r>
            <w:r w:rsidR="002A7B67">
              <w:rPr>
                <w:noProof/>
                <w:webHidden/>
              </w:rPr>
              <w:tab/>
            </w:r>
            <w:r w:rsidR="002A7B67">
              <w:rPr>
                <w:noProof/>
                <w:webHidden/>
              </w:rPr>
              <w:fldChar w:fldCharType="begin"/>
            </w:r>
            <w:r w:rsidR="002A7B67">
              <w:rPr>
                <w:noProof/>
                <w:webHidden/>
              </w:rPr>
              <w:instrText xml:space="preserve"> PAGEREF _Toc154652623 \h </w:instrText>
            </w:r>
            <w:r w:rsidR="002A7B67">
              <w:rPr>
                <w:noProof/>
                <w:webHidden/>
              </w:rPr>
            </w:r>
            <w:r w:rsidR="002A7B67">
              <w:rPr>
                <w:noProof/>
                <w:webHidden/>
              </w:rPr>
              <w:fldChar w:fldCharType="separate"/>
            </w:r>
            <w:r w:rsidR="00C9149F">
              <w:rPr>
                <w:noProof/>
                <w:webHidden/>
              </w:rPr>
              <w:t>36</w:t>
            </w:r>
            <w:r w:rsidR="002A7B67">
              <w:rPr>
                <w:noProof/>
                <w:webHidden/>
              </w:rPr>
              <w:fldChar w:fldCharType="end"/>
            </w:r>
          </w:hyperlink>
        </w:p>
        <w:p w14:paraId="55B0822C" w14:textId="7A92700A" w:rsidR="002A7B67" w:rsidRDefault="00000000" w:rsidP="00A824A4">
          <w:pPr>
            <w:pStyle w:val="Verzeichnis2"/>
            <w:rPr>
              <w:rFonts w:eastAsiaTheme="minorEastAsia" w:cstheme="minorBidi"/>
              <w:noProof/>
              <w:kern w:val="2"/>
              <w:lang w:eastAsia="de-DE"/>
              <w14:ligatures w14:val="standardContextual"/>
            </w:rPr>
          </w:pPr>
          <w:hyperlink w:anchor="_Toc154652624" w:history="1">
            <w:r w:rsidR="002A7B67" w:rsidRPr="00BA6ED6">
              <w:rPr>
                <w:rStyle w:val="Hyperlink"/>
                <w:noProof/>
              </w:rPr>
              <w:t>8.2</w:t>
            </w:r>
            <w:r w:rsidR="002A7B67">
              <w:rPr>
                <w:rFonts w:eastAsiaTheme="minorEastAsia" w:cstheme="minorBidi"/>
                <w:noProof/>
                <w:kern w:val="2"/>
                <w:lang w:eastAsia="de-DE"/>
                <w14:ligatures w14:val="standardContextual"/>
              </w:rPr>
              <w:tab/>
            </w:r>
            <w:r w:rsidR="002A7B67" w:rsidRPr="00BA6ED6">
              <w:rPr>
                <w:rStyle w:val="Hyperlink"/>
                <w:noProof/>
              </w:rPr>
              <w:t>Identifizierung von direkten und indirekten identifizierenden Daten</w:t>
            </w:r>
            <w:r w:rsidR="002A7B67">
              <w:rPr>
                <w:noProof/>
                <w:webHidden/>
              </w:rPr>
              <w:tab/>
            </w:r>
            <w:r w:rsidR="002A7B67" w:rsidRPr="004832F9">
              <w:rPr>
                <w:noProof/>
                <w:webHidden/>
              </w:rPr>
              <w:fldChar w:fldCharType="begin"/>
            </w:r>
            <w:r w:rsidR="002A7B67" w:rsidRPr="004832F9">
              <w:rPr>
                <w:noProof/>
                <w:webHidden/>
              </w:rPr>
              <w:instrText xml:space="preserve"> PAGEREF _Toc154652624 \h </w:instrText>
            </w:r>
            <w:r w:rsidR="002A7B67" w:rsidRPr="004832F9">
              <w:rPr>
                <w:noProof/>
                <w:webHidden/>
              </w:rPr>
            </w:r>
            <w:r w:rsidR="002A7B67" w:rsidRPr="004832F9">
              <w:rPr>
                <w:noProof/>
                <w:webHidden/>
              </w:rPr>
              <w:fldChar w:fldCharType="separate"/>
            </w:r>
            <w:r w:rsidR="00C9149F">
              <w:rPr>
                <w:noProof/>
                <w:webHidden/>
              </w:rPr>
              <w:t>37</w:t>
            </w:r>
            <w:r w:rsidR="002A7B67" w:rsidRPr="004832F9">
              <w:rPr>
                <w:noProof/>
                <w:webHidden/>
              </w:rPr>
              <w:fldChar w:fldCharType="end"/>
            </w:r>
          </w:hyperlink>
        </w:p>
        <w:p w14:paraId="6F7EC84B" w14:textId="575AE9F1" w:rsidR="002A7B67" w:rsidRDefault="00000000" w:rsidP="00A824A4">
          <w:pPr>
            <w:pStyle w:val="Verzeichnis2"/>
            <w:rPr>
              <w:rFonts w:eastAsiaTheme="minorEastAsia" w:cstheme="minorBidi"/>
              <w:noProof/>
              <w:kern w:val="2"/>
              <w:lang w:eastAsia="de-DE"/>
              <w14:ligatures w14:val="standardContextual"/>
            </w:rPr>
          </w:pPr>
          <w:hyperlink w:anchor="_Toc154652625" w:history="1">
            <w:r w:rsidR="002A7B67" w:rsidRPr="00BA6ED6">
              <w:rPr>
                <w:rStyle w:val="Hyperlink"/>
                <w:noProof/>
              </w:rPr>
              <w:t>8.3</w:t>
            </w:r>
            <w:r w:rsidR="002A7B67">
              <w:rPr>
                <w:rFonts w:eastAsiaTheme="minorEastAsia" w:cstheme="minorBidi"/>
                <w:noProof/>
                <w:kern w:val="2"/>
                <w:lang w:eastAsia="de-DE"/>
                <w14:ligatures w14:val="standardContextual"/>
              </w:rPr>
              <w:tab/>
            </w:r>
            <w:r w:rsidR="002A7B67" w:rsidRPr="00BA6ED6">
              <w:rPr>
                <w:rStyle w:val="Hyperlink"/>
                <w:noProof/>
              </w:rPr>
              <w:t>Arten von Pseudonymen und ihre Unterscheidungsmöglichkeiten</w:t>
            </w:r>
            <w:r w:rsidR="002A7B67">
              <w:rPr>
                <w:noProof/>
                <w:webHidden/>
              </w:rPr>
              <w:tab/>
            </w:r>
            <w:r w:rsidR="002A7B67">
              <w:rPr>
                <w:noProof/>
                <w:webHidden/>
              </w:rPr>
              <w:fldChar w:fldCharType="begin"/>
            </w:r>
            <w:r w:rsidR="002A7B67">
              <w:rPr>
                <w:noProof/>
                <w:webHidden/>
              </w:rPr>
              <w:instrText xml:space="preserve"> PAGEREF _Toc154652625 \h </w:instrText>
            </w:r>
            <w:r w:rsidR="002A7B67">
              <w:rPr>
                <w:noProof/>
                <w:webHidden/>
              </w:rPr>
            </w:r>
            <w:r w:rsidR="002A7B67">
              <w:rPr>
                <w:noProof/>
                <w:webHidden/>
              </w:rPr>
              <w:fldChar w:fldCharType="separate"/>
            </w:r>
            <w:r w:rsidR="00C9149F">
              <w:rPr>
                <w:noProof/>
                <w:webHidden/>
              </w:rPr>
              <w:t>38</w:t>
            </w:r>
            <w:r w:rsidR="002A7B67">
              <w:rPr>
                <w:noProof/>
                <w:webHidden/>
              </w:rPr>
              <w:fldChar w:fldCharType="end"/>
            </w:r>
          </w:hyperlink>
        </w:p>
        <w:p w14:paraId="6DD6DE2E" w14:textId="65149B0B" w:rsidR="002A7B67" w:rsidRDefault="00000000" w:rsidP="00A824A4">
          <w:pPr>
            <w:pStyle w:val="Verzeichnis2"/>
            <w:rPr>
              <w:rFonts w:eastAsiaTheme="minorEastAsia" w:cstheme="minorBidi"/>
              <w:noProof/>
              <w:kern w:val="2"/>
              <w:lang w:eastAsia="de-DE"/>
              <w14:ligatures w14:val="standardContextual"/>
            </w:rPr>
          </w:pPr>
          <w:hyperlink w:anchor="_Toc154652626" w:history="1">
            <w:r w:rsidR="002A7B67" w:rsidRPr="00BA6ED6">
              <w:rPr>
                <w:rStyle w:val="Hyperlink"/>
                <w:noProof/>
              </w:rPr>
              <w:t>8.4</w:t>
            </w:r>
            <w:r w:rsidR="002A7B67">
              <w:rPr>
                <w:rFonts w:eastAsiaTheme="minorEastAsia" w:cstheme="minorBidi"/>
                <w:noProof/>
                <w:kern w:val="2"/>
                <w:lang w:eastAsia="de-DE"/>
                <w14:ligatures w14:val="standardContextual"/>
              </w:rPr>
              <w:tab/>
            </w:r>
            <w:r w:rsidR="002A7B67" w:rsidRPr="00BA6ED6">
              <w:rPr>
                <w:rStyle w:val="Hyperlink"/>
                <w:noProof/>
              </w:rPr>
              <w:t>Methoden zur Pseudonymisierung/Anonymisierung</w:t>
            </w:r>
            <w:r w:rsidR="002A7B67">
              <w:rPr>
                <w:noProof/>
                <w:webHidden/>
              </w:rPr>
              <w:tab/>
            </w:r>
            <w:r w:rsidR="002A7B67">
              <w:rPr>
                <w:noProof/>
                <w:webHidden/>
              </w:rPr>
              <w:fldChar w:fldCharType="begin"/>
            </w:r>
            <w:r w:rsidR="002A7B67">
              <w:rPr>
                <w:noProof/>
                <w:webHidden/>
              </w:rPr>
              <w:instrText xml:space="preserve"> PAGEREF _Toc154652626 \h </w:instrText>
            </w:r>
            <w:r w:rsidR="002A7B67">
              <w:rPr>
                <w:noProof/>
                <w:webHidden/>
              </w:rPr>
            </w:r>
            <w:r w:rsidR="002A7B67">
              <w:rPr>
                <w:noProof/>
                <w:webHidden/>
              </w:rPr>
              <w:fldChar w:fldCharType="separate"/>
            </w:r>
            <w:r w:rsidR="00C9149F">
              <w:rPr>
                <w:noProof/>
                <w:webHidden/>
              </w:rPr>
              <w:t>39</w:t>
            </w:r>
            <w:r w:rsidR="002A7B67">
              <w:rPr>
                <w:noProof/>
                <w:webHidden/>
              </w:rPr>
              <w:fldChar w:fldCharType="end"/>
            </w:r>
          </w:hyperlink>
        </w:p>
        <w:p w14:paraId="67166B24" w14:textId="41D80BC6" w:rsidR="002A7B67" w:rsidRDefault="00000000">
          <w:pPr>
            <w:pStyle w:val="Verzeichnis3"/>
            <w:rPr>
              <w:rFonts w:eastAsiaTheme="minorEastAsia" w:cstheme="minorBidi"/>
              <w:noProof/>
              <w:kern w:val="2"/>
              <w:sz w:val="22"/>
              <w:szCs w:val="22"/>
              <w:lang w:eastAsia="de-DE"/>
              <w14:ligatures w14:val="standardContextual"/>
            </w:rPr>
          </w:pPr>
          <w:hyperlink w:anchor="_Toc154652627" w:history="1">
            <w:r w:rsidR="002A7B67" w:rsidRPr="00BA6ED6">
              <w:rPr>
                <w:rStyle w:val="Hyperlink"/>
                <w:noProof/>
              </w:rPr>
              <w:t>8.4.1</w:t>
            </w:r>
            <w:r w:rsidR="002A7B67">
              <w:rPr>
                <w:rFonts w:eastAsiaTheme="minorEastAsia" w:cstheme="minorBidi"/>
                <w:noProof/>
                <w:kern w:val="2"/>
                <w:sz w:val="22"/>
                <w:szCs w:val="22"/>
                <w:lang w:eastAsia="de-DE"/>
                <w14:ligatures w14:val="standardContextual"/>
              </w:rPr>
              <w:tab/>
            </w:r>
            <w:r w:rsidR="002A7B67" w:rsidRPr="00BA6ED6">
              <w:rPr>
                <w:rStyle w:val="Hyperlink"/>
                <w:noProof/>
              </w:rPr>
              <w:t>Nichtangabe</w:t>
            </w:r>
            <w:r w:rsidR="002A7B67">
              <w:rPr>
                <w:noProof/>
                <w:webHidden/>
              </w:rPr>
              <w:tab/>
            </w:r>
            <w:r w:rsidR="002A7B67">
              <w:rPr>
                <w:noProof/>
                <w:webHidden/>
              </w:rPr>
              <w:fldChar w:fldCharType="begin"/>
            </w:r>
            <w:r w:rsidR="002A7B67">
              <w:rPr>
                <w:noProof/>
                <w:webHidden/>
              </w:rPr>
              <w:instrText xml:space="preserve"> PAGEREF _Toc154652627 \h </w:instrText>
            </w:r>
            <w:r w:rsidR="002A7B67">
              <w:rPr>
                <w:noProof/>
                <w:webHidden/>
              </w:rPr>
            </w:r>
            <w:r w:rsidR="002A7B67">
              <w:rPr>
                <w:noProof/>
                <w:webHidden/>
              </w:rPr>
              <w:fldChar w:fldCharType="separate"/>
            </w:r>
            <w:r w:rsidR="00C9149F">
              <w:rPr>
                <w:noProof/>
                <w:webHidden/>
              </w:rPr>
              <w:t>39</w:t>
            </w:r>
            <w:r w:rsidR="002A7B67">
              <w:rPr>
                <w:noProof/>
                <w:webHidden/>
              </w:rPr>
              <w:fldChar w:fldCharType="end"/>
            </w:r>
          </w:hyperlink>
        </w:p>
        <w:p w14:paraId="62193B96" w14:textId="101DF349" w:rsidR="002A7B67" w:rsidRDefault="00000000">
          <w:pPr>
            <w:pStyle w:val="Verzeichnis3"/>
            <w:rPr>
              <w:rFonts w:eastAsiaTheme="minorEastAsia" w:cstheme="minorBidi"/>
              <w:noProof/>
              <w:kern w:val="2"/>
              <w:sz w:val="22"/>
              <w:szCs w:val="22"/>
              <w:lang w:eastAsia="de-DE"/>
              <w14:ligatures w14:val="standardContextual"/>
            </w:rPr>
          </w:pPr>
          <w:hyperlink w:anchor="_Toc154652628" w:history="1">
            <w:r w:rsidR="002A7B67" w:rsidRPr="00BA6ED6">
              <w:rPr>
                <w:rStyle w:val="Hyperlink"/>
                <w:noProof/>
              </w:rPr>
              <w:t>8.4.2</w:t>
            </w:r>
            <w:r w:rsidR="002A7B67">
              <w:rPr>
                <w:rFonts w:eastAsiaTheme="minorEastAsia" w:cstheme="minorBidi"/>
                <w:noProof/>
                <w:kern w:val="2"/>
                <w:sz w:val="22"/>
                <w:szCs w:val="22"/>
                <w:lang w:eastAsia="de-DE"/>
                <w14:ligatures w14:val="standardContextual"/>
              </w:rPr>
              <w:tab/>
            </w:r>
            <w:r w:rsidR="002A7B67" w:rsidRPr="00BA6ED6">
              <w:rPr>
                <w:rStyle w:val="Hyperlink"/>
                <w:noProof/>
              </w:rPr>
              <w:t>Maskierung/Ersetzung</w:t>
            </w:r>
            <w:r w:rsidR="002A7B67">
              <w:rPr>
                <w:noProof/>
                <w:webHidden/>
              </w:rPr>
              <w:tab/>
            </w:r>
            <w:r w:rsidR="002A7B67">
              <w:rPr>
                <w:noProof/>
                <w:webHidden/>
              </w:rPr>
              <w:fldChar w:fldCharType="begin"/>
            </w:r>
            <w:r w:rsidR="002A7B67">
              <w:rPr>
                <w:noProof/>
                <w:webHidden/>
              </w:rPr>
              <w:instrText xml:space="preserve"> PAGEREF _Toc154652628 \h </w:instrText>
            </w:r>
            <w:r w:rsidR="002A7B67">
              <w:rPr>
                <w:noProof/>
                <w:webHidden/>
              </w:rPr>
            </w:r>
            <w:r w:rsidR="002A7B67">
              <w:rPr>
                <w:noProof/>
                <w:webHidden/>
              </w:rPr>
              <w:fldChar w:fldCharType="separate"/>
            </w:r>
            <w:r w:rsidR="00C9149F">
              <w:rPr>
                <w:noProof/>
                <w:webHidden/>
              </w:rPr>
              <w:t>40</w:t>
            </w:r>
            <w:r w:rsidR="002A7B67">
              <w:rPr>
                <w:noProof/>
                <w:webHidden/>
              </w:rPr>
              <w:fldChar w:fldCharType="end"/>
            </w:r>
          </w:hyperlink>
        </w:p>
        <w:p w14:paraId="7D0FDED4" w14:textId="7065C0DD" w:rsidR="002A7B67" w:rsidRDefault="00000000">
          <w:pPr>
            <w:pStyle w:val="Verzeichnis3"/>
            <w:rPr>
              <w:rFonts w:eastAsiaTheme="minorEastAsia" w:cstheme="minorBidi"/>
              <w:noProof/>
              <w:kern w:val="2"/>
              <w:sz w:val="22"/>
              <w:szCs w:val="22"/>
              <w:lang w:eastAsia="de-DE"/>
              <w14:ligatures w14:val="standardContextual"/>
            </w:rPr>
          </w:pPr>
          <w:hyperlink w:anchor="_Toc154652629" w:history="1">
            <w:r w:rsidR="002A7B67" w:rsidRPr="00BA6ED6">
              <w:rPr>
                <w:rStyle w:val="Hyperlink"/>
                <w:noProof/>
              </w:rPr>
              <w:t>8.4.3</w:t>
            </w:r>
            <w:r w:rsidR="002A7B67">
              <w:rPr>
                <w:rFonts w:eastAsiaTheme="minorEastAsia" w:cstheme="minorBidi"/>
                <w:noProof/>
                <w:kern w:val="2"/>
                <w:sz w:val="22"/>
                <w:szCs w:val="22"/>
                <w:lang w:eastAsia="de-DE"/>
                <w14:ligatures w14:val="standardContextual"/>
              </w:rPr>
              <w:tab/>
            </w:r>
            <w:r w:rsidR="002A7B67" w:rsidRPr="00BA6ED6">
              <w:rPr>
                <w:rStyle w:val="Hyperlink"/>
                <w:noProof/>
              </w:rPr>
              <w:t>Mischung/</w:t>
            </w:r>
            <w:r w:rsidR="002A7B67" w:rsidRPr="004832F9">
              <w:rPr>
                <w:rStyle w:val="Hyperlink"/>
                <w:noProof/>
              </w:rPr>
              <w:t>Shuffeling</w:t>
            </w:r>
            <w:r w:rsidR="002A7B67">
              <w:rPr>
                <w:noProof/>
                <w:webHidden/>
              </w:rPr>
              <w:tab/>
            </w:r>
            <w:r w:rsidR="002A7B67">
              <w:rPr>
                <w:noProof/>
                <w:webHidden/>
              </w:rPr>
              <w:fldChar w:fldCharType="begin"/>
            </w:r>
            <w:r w:rsidR="002A7B67">
              <w:rPr>
                <w:noProof/>
                <w:webHidden/>
              </w:rPr>
              <w:instrText xml:space="preserve"> PAGEREF _Toc154652629 \h </w:instrText>
            </w:r>
            <w:r w:rsidR="002A7B67">
              <w:rPr>
                <w:noProof/>
                <w:webHidden/>
              </w:rPr>
            </w:r>
            <w:r w:rsidR="002A7B67">
              <w:rPr>
                <w:noProof/>
                <w:webHidden/>
              </w:rPr>
              <w:fldChar w:fldCharType="separate"/>
            </w:r>
            <w:r w:rsidR="00C9149F">
              <w:rPr>
                <w:noProof/>
                <w:webHidden/>
              </w:rPr>
              <w:t>41</w:t>
            </w:r>
            <w:r w:rsidR="002A7B67">
              <w:rPr>
                <w:noProof/>
                <w:webHidden/>
              </w:rPr>
              <w:fldChar w:fldCharType="end"/>
            </w:r>
          </w:hyperlink>
        </w:p>
        <w:p w14:paraId="64E45616" w14:textId="0B4CE9E0" w:rsidR="002A7B67" w:rsidRDefault="00000000">
          <w:pPr>
            <w:pStyle w:val="Verzeichnis3"/>
            <w:rPr>
              <w:rFonts w:eastAsiaTheme="minorEastAsia" w:cstheme="minorBidi"/>
              <w:noProof/>
              <w:kern w:val="2"/>
              <w:sz w:val="22"/>
              <w:szCs w:val="22"/>
              <w:lang w:eastAsia="de-DE"/>
              <w14:ligatures w14:val="standardContextual"/>
            </w:rPr>
          </w:pPr>
          <w:hyperlink w:anchor="_Toc154652630" w:history="1">
            <w:r w:rsidR="002A7B67" w:rsidRPr="00BA6ED6">
              <w:rPr>
                <w:rStyle w:val="Hyperlink"/>
                <w:noProof/>
              </w:rPr>
              <w:t>8.4.4</w:t>
            </w:r>
            <w:r w:rsidR="002A7B67">
              <w:rPr>
                <w:rFonts w:eastAsiaTheme="minorEastAsia" w:cstheme="minorBidi"/>
                <w:noProof/>
                <w:kern w:val="2"/>
                <w:sz w:val="22"/>
                <w:szCs w:val="22"/>
                <w:lang w:eastAsia="de-DE"/>
                <w14:ligatures w14:val="standardContextual"/>
              </w:rPr>
              <w:tab/>
            </w:r>
            <w:r w:rsidR="002A7B67" w:rsidRPr="00BA6ED6">
              <w:rPr>
                <w:rStyle w:val="Hyperlink"/>
                <w:noProof/>
              </w:rPr>
              <w:t>Varianzmethode</w:t>
            </w:r>
            <w:r w:rsidR="002A7B67">
              <w:rPr>
                <w:noProof/>
                <w:webHidden/>
              </w:rPr>
              <w:tab/>
            </w:r>
            <w:r w:rsidR="002A7B67">
              <w:rPr>
                <w:noProof/>
                <w:webHidden/>
              </w:rPr>
              <w:fldChar w:fldCharType="begin"/>
            </w:r>
            <w:r w:rsidR="002A7B67">
              <w:rPr>
                <w:noProof/>
                <w:webHidden/>
              </w:rPr>
              <w:instrText xml:space="preserve"> PAGEREF _Toc154652630 \h </w:instrText>
            </w:r>
            <w:r w:rsidR="002A7B67">
              <w:rPr>
                <w:noProof/>
                <w:webHidden/>
              </w:rPr>
            </w:r>
            <w:r w:rsidR="002A7B67">
              <w:rPr>
                <w:noProof/>
                <w:webHidden/>
              </w:rPr>
              <w:fldChar w:fldCharType="separate"/>
            </w:r>
            <w:r w:rsidR="00C9149F">
              <w:rPr>
                <w:noProof/>
                <w:webHidden/>
              </w:rPr>
              <w:t>42</w:t>
            </w:r>
            <w:r w:rsidR="002A7B67">
              <w:rPr>
                <w:noProof/>
                <w:webHidden/>
              </w:rPr>
              <w:fldChar w:fldCharType="end"/>
            </w:r>
          </w:hyperlink>
        </w:p>
        <w:p w14:paraId="26C77990" w14:textId="6B5D8F16" w:rsidR="002A7B67" w:rsidRDefault="00000000">
          <w:pPr>
            <w:pStyle w:val="Verzeichnis3"/>
            <w:rPr>
              <w:rFonts w:eastAsiaTheme="minorEastAsia" w:cstheme="minorBidi"/>
              <w:noProof/>
              <w:kern w:val="2"/>
              <w:sz w:val="22"/>
              <w:szCs w:val="22"/>
              <w:lang w:eastAsia="de-DE"/>
              <w14:ligatures w14:val="standardContextual"/>
            </w:rPr>
          </w:pPr>
          <w:hyperlink w:anchor="_Toc154652631" w:history="1">
            <w:r w:rsidR="002A7B67" w:rsidRPr="00BA6ED6">
              <w:rPr>
                <w:rStyle w:val="Hyperlink"/>
                <w:noProof/>
              </w:rPr>
              <w:t>8.4.5</w:t>
            </w:r>
            <w:r w:rsidR="002A7B67">
              <w:rPr>
                <w:rFonts w:eastAsiaTheme="minorEastAsia" w:cstheme="minorBidi"/>
                <w:noProof/>
                <w:kern w:val="2"/>
                <w:sz w:val="22"/>
                <w:szCs w:val="22"/>
                <w:lang w:eastAsia="de-DE"/>
                <w14:ligatures w14:val="standardContextual"/>
              </w:rPr>
              <w:tab/>
            </w:r>
            <w:r w:rsidR="002A7B67" w:rsidRPr="004832F9">
              <w:rPr>
                <w:rStyle w:val="Hyperlink"/>
                <w:noProof/>
              </w:rPr>
              <w:t>Kryptografische</w:t>
            </w:r>
            <w:r w:rsidR="002A7B67" w:rsidRPr="00BA6ED6">
              <w:rPr>
                <w:rStyle w:val="Hyperlink"/>
                <w:noProof/>
              </w:rPr>
              <w:t xml:space="preserve"> Methoden</w:t>
            </w:r>
            <w:r w:rsidR="002A7B67">
              <w:rPr>
                <w:noProof/>
                <w:webHidden/>
              </w:rPr>
              <w:tab/>
            </w:r>
            <w:r w:rsidR="002A7B67">
              <w:rPr>
                <w:noProof/>
                <w:webHidden/>
              </w:rPr>
              <w:fldChar w:fldCharType="begin"/>
            </w:r>
            <w:r w:rsidR="002A7B67">
              <w:rPr>
                <w:noProof/>
                <w:webHidden/>
              </w:rPr>
              <w:instrText xml:space="preserve"> PAGEREF _Toc154652631 \h </w:instrText>
            </w:r>
            <w:r w:rsidR="002A7B67">
              <w:rPr>
                <w:noProof/>
                <w:webHidden/>
              </w:rPr>
            </w:r>
            <w:r w:rsidR="002A7B67">
              <w:rPr>
                <w:noProof/>
                <w:webHidden/>
              </w:rPr>
              <w:fldChar w:fldCharType="separate"/>
            </w:r>
            <w:r w:rsidR="00C9149F">
              <w:rPr>
                <w:noProof/>
                <w:webHidden/>
              </w:rPr>
              <w:t>42</w:t>
            </w:r>
            <w:r w:rsidR="002A7B67">
              <w:rPr>
                <w:noProof/>
                <w:webHidden/>
              </w:rPr>
              <w:fldChar w:fldCharType="end"/>
            </w:r>
          </w:hyperlink>
        </w:p>
        <w:p w14:paraId="4D8F4E8C" w14:textId="4A2DC418" w:rsidR="002A7B67" w:rsidRDefault="00000000">
          <w:pPr>
            <w:pStyle w:val="Verzeichnis4"/>
            <w:rPr>
              <w:rFonts w:eastAsiaTheme="minorEastAsia" w:cstheme="minorBidi"/>
              <w:noProof/>
              <w:kern w:val="2"/>
              <w:sz w:val="22"/>
              <w:szCs w:val="22"/>
              <w:lang w:eastAsia="de-DE"/>
              <w14:ligatures w14:val="standardContextual"/>
            </w:rPr>
          </w:pPr>
          <w:hyperlink w:anchor="_Toc154652632" w:history="1">
            <w:r w:rsidR="002A7B67" w:rsidRPr="00BA6ED6">
              <w:rPr>
                <w:rStyle w:val="Hyperlink"/>
                <w:noProof/>
              </w:rPr>
              <w:t>8.4.5.1</w:t>
            </w:r>
            <w:r w:rsidR="002A7B67">
              <w:rPr>
                <w:rFonts w:eastAsiaTheme="minorEastAsia" w:cstheme="minorBidi"/>
                <w:noProof/>
                <w:kern w:val="2"/>
                <w:sz w:val="22"/>
                <w:szCs w:val="22"/>
                <w:lang w:eastAsia="de-DE"/>
                <w14:ligatures w14:val="standardContextual"/>
              </w:rPr>
              <w:tab/>
            </w:r>
            <w:r w:rsidR="002A7B67" w:rsidRPr="00BA6ED6">
              <w:rPr>
                <w:rStyle w:val="Hyperlink"/>
                <w:noProof/>
              </w:rPr>
              <w:t>Rahmenbedingungen abklären</w:t>
            </w:r>
            <w:r w:rsidR="002A7B67">
              <w:rPr>
                <w:noProof/>
                <w:webHidden/>
              </w:rPr>
              <w:tab/>
            </w:r>
            <w:r w:rsidR="002A7B67" w:rsidRPr="004832F9">
              <w:rPr>
                <w:noProof/>
                <w:webHidden/>
              </w:rPr>
              <w:fldChar w:fldCharType="begin"/>
            </w:r>
            <w:r w:rsidR="002A7B67" w:rsidRPr="004832F9">
              <w:rPr>
                <w:noProof/>
                <w:webHidden/>
              </w:rPr>
              <w:instrText xml:space="preserve"> PAGEREF _Toc154652632 \h </w:instrText>
            </w:r>
            <w:r w:rsidR="002A7B67" w:rsidRPr="004832F9">
              <w:rPr>
                <w:noProof/>
                <w:webHidden/>
              </w:rPr>
            </w:r>
            <w:r w:rsidR="002A7B67" w:rsidRPr="004832F9">
              <w:rPr>
                <w:noProof/>
                <w:webHidden/>
              </w:rPr>
              <w:fldChar w:fldCharType="separate"/>
            </w:r>
            <w:r w:rsidR="00C9149F">
              <w:rPr>
                <w:noProof/>
                <w:webHidden/>
              </w:rPr>
              <w:t>42</w:t>
            </w:r>
            <w:r w:rsidR="002A7B67" w:rsidRPr="004832F9">
              <w:rPr>
                <w:noProof/>
                <w:webHidden/>
              </w:rPr>
              <w:fldChar w:fldCharType="end"/>
            </w:r>
          </w:hyperlink>
        </w:p>
        <w:p w14:paraId="0DC52468" w14:textId="0A072F91" w:rsidR="002A7B67" w:rsidRDefault="00000000">
          <w:pPr>
            <w:pStyle w:val="Verzeichnis4"/>
            <w:rPr>
              <w:rFonts w:eastAsiaTheme="minorEastAsia" w:cstheme="minorBidi"/>
              <w:noProof/>
              <w:kern w:val="2"/>
              <w:sz w:val="22"/>
              <w:szCs w:val="22"/>
              <w:lang w:eastAsia="de-DE"/>
              <w14:ligatures w14:val="standardContextual"/>
            </w:rPr>
          </w:pPr>
          <w:hyperlink w:anchor="_Toc154652633" w:history="1">
            <w:r w:rsidR="002A7B67" w:rsidRPr="00BA6ED6">
              <w:rPr>
                <w:rStyle w:val="Hyperlink"/>
                <w:noProof/>
              </w:rPr>
              <w:t>8.4.5.2</w:t>
            </w:r>
            <w:r w:rsidR="002A7B67">
              <w:rPr>
                <w:rFonts w:eastAsiaTheme="minorEastAsia" w:cstheme="minorBidi"/>
                <w:noProof/>
                <w:kern w:val="2"/>
                <w:sz w:val="22"/>
                <w:szCs w:val="22"/>
                <w:lang w:eastAsia="de-DE"/>
                <w14:ligatures w14:val="standardContextual"/>
              </w:rPr>
              <w:tab/>
            </w:r>
            <w:r w:rsidR="002A7B67" w:rsidRPr="00BA6ED6">
              <w:rPr>
                <w:rStyle w:val="Hyperlink"/>
                <w:noProof/>
              </w:rPr>
              <w:t>Verschlüsselungsverfahren</w:t>
            </w:r>
            <w:r w:rsidR="002A7B67">
              <w:rPr>
                <w:noProof/>
                <w:webHidden/>
              </w:rPr>
              <w:tab/>
            </w:r>
            <w:r w:rsidR="002A7B67">
              <w:rPr>
                <w:noProof/>
                <w:webHidden/>
              </w:rPr>
              <w:fldChar w:fldCharType="begin"/>
            </w:r>
            <w:r w:rsidR="002A7B67">
              <w:rPr>
                <w:noProof/>
                <w:webHidden/>
              </w:rPr>
              <w:instrText xml:space="preserve"> PAGEREF _Toc154652633 \h </w:instrText>
            </w:r>
            <w:r w:rsidR="002A7B67">
              <w:rPr>
                <w:noProof/>
                <w:webHidden/>
              </w:rPr>
            </w:r>
            <w:r w:rsidR="002A7B67">
              <w:rPr>
                <w:noProof/>
                <w:webHidden/>
              </w:rPr>
              <w:fldChar w:fldCharType="separate"/>
            </w:r>
            <w:r w:rsidR="00C9149F">
              <w:rPr>
                <w:noProof/>
                <w:webHidden/>
              </w:rPr>
              <w:t>43</w:t>
            </w:r>
            <w:r w:rsidR="002A7B67">
              <w:rPr>
                <w:noProof/>
                <w:webHidden/>
              </w:rPr>
              <w:fldChar w:fldCharType="end"/>
            </w:r>
          </w:hyperlink>
        </w:p>
        <w:p w14:paraId="5F127190" w14:textId="0D191C3E" w:rsidR="002A7B67" w:rsidRDefault="00000000">
          <w:pPr>
            <w:pStyle w:val="Verzeichnis4"/>
            <w:rPr>
              <w:rFonts w:eastAsiaTheme="minorEastAsia" w:cstheme="minorBidi"/>
              <w:noProof/>
              <w:kern w:val="2"/>
              <w:sz w:val="22"/>
              <w:szCs w:val="22"/>
              <w:lang w:eastAsia="de-DE"/>
              <w14:ligatures w14:val="standardContextual"/>
            </w:rPr>
          </w:pPr>
          <w:hyperlink w:anchor="_Toc154652634" w:history="1">
            <w:r w:rsidR="002A7B67" w:rsidRPr="00BA6ED6">
              <w:rPr>
                <w:rStyle w:val="Hyperlink"/>
                <w:noProof/>
              </w:rPr>
              <w:t>8.4.5.3</w:t>
            </w:r>
            <w:r w:rsidR="002A7B67">
              <w:rPr>
                <w:rFonts w:eastAsiaTheme="minorEastAsia" w:cstheme="minorBidi"/>
                <w:noProof/>
                <w:kern w:val="2"/>
                <w:sz w:val="22"/>
                <w:szCs w:val="22"/>
                <w:lang w:eastAsia="de-DE"/>
                <w14:ligatures w14:val="standardContextual"/>
              </w:rPr>
              <w:tab/>
            </w:r>
            <w:r w:rsidR="002A7B67" w:rsidRPr="00BA6ED6">
              <w:rPr>
                <w:rStyle w:val="Hyperlink"/>
                <w:noProof/>
              </w:rPr>
              <w:t>Hash-Funktionen</w:t>
            </w:r>
            <w:r w:rsidR="002A7B67">
              <w:rPr>
                <w:noProof/>
                <w:webHidden/>
              </w:rPr>
              <w:tab/>
            </w:r>
            <w:r w:rsidR="002A7B67">
              <w:rPr>
                <w:noProof/>
                <w:webHidden/>
              </w:rPr>
              <w:fldChar w:fldCharType="begin"/>
            </w:r>
            <w:r w:rsidR="002A7B67">
              <w:rPr>
                <w:noProof/>
                <w:webHidden/>
              </w:rPr>
              <w:instrText xml:space="preserve"> PAGEREF _Toc154652634 \h </w:instrText>
            </w:r>
            <w:r w:rsidR="002A7B67">
              <w:rPr>
                <w:noProof/>
                <w:webHidden/>
              </w:rPr>
            </w:r>
            <w:r w:rsidR="002A7B67">
              <w:rPr>
                <w:noProof/>
                <w:webHidden/>
              </w:rPr>
              <w:fldChar w:fldCharType="separate"/>
            </w:r>
            <w:r w:rsidR="00C9149F">
              <w:rPr>
                <w:noProof/>
                <w:webHidden/>
              </w:rPr>
              <w:t>43</w:t>
            </w:r>
            <w:r w:rsidR="002A7B67">
              <w:rPr>
                <w:noProof/>
                <w:webHidden/>
              </w:rPr>
              <w:fldChar w:fldCharType="end"/>
            </w:r>
          </w:hyperlink>
        </w:p>
        <w:p w14:paraId="619B7B99" w14:textId="29F5FD75" w:rsidR="002A7B67" w:rsidRDefault="00000000">
          <w:pPr>
            <w:pStyle w:val="Verzeichnis4"/>
            <w:rPr>
              <w:rFonts w:eastAsiaTheme="minorEastAsia" w:cstheme="minorBidi"/>
              <w:noProof/>
              <w:kern w:val="2"/>
              <w:sz w:val="22"/>
              <w:szCs w:val="22"/>
              <w:lang w:eastAsia="de-DE"/>
              <w14:ligatures w14:val="standardContextual"/>
            </w:rPr>
          </w:pPr>
          <w:hyperlink w:anchor="_Toc154652635" w:history="1">
            <w:r w:rsidR="002A7B67" w:rsidRPr="00BA6ED6">
              <w:rPr>
                <w:rStyle w:val="Hyperlink"/>
                <w:noProof/>
              </w:rPr>
              <w:t>8.4.5.4</w:t>
            </w:r>
            <w:r w:rsidR="002A7B67">
              <w:rPr>
                <w:rFonts w:eastAsiaTheme="minorEastAsia" w:cstheme="minorBidi"/>
                <w:noProof/>
                <w:kern w:val="2"/>
                <w:sz w:val="22"/>
                <w:szCs w:val="22"/>
                <w:lang w:eastAsia="de-DE"/>
                <w14:ligatures w14:val="standardContextual"/>
              </w:rPr>
              <w:tab/>
            </w:r>
            <w:r w:rsidR="002A7B67" w:rsidRPr="004832F9">
              <w:rPr>
                <w:rStyle w:val="Hyperlink"/>
                <w:noProof/>
              </w:rPr>
              <w:t>Salt</w:t>
            </w:r>
            <w:r w:rsidR="002A7B67">
              <w:rPr>
                <w:noProof/>
                <w:webHidden/>
              </w:rPr>
              <w:tab/>
            </w:r>
            <w:r w:rsidR="002A7B67">
              <w:rPr>
                <w:noProof/>
                <w:webHidden/>
              </w:rPr>
              <w:fldChar w:fldCharType="begin"/>
            </w:r>
            <w:r w:rsidR="002A7B67">
              <w:rPr>
                <w:noProof/>
                <w:webHidden/>
              </w:rPr>
              <w:instrText xml:space="preserve"> PAGEREF _Toc154652635 \h </w:instrText>
            </w:r>
            <w:r w:rsidR="002A7B67">
              <w:rPr>
                <w:noProof/>
                <w:webHidden/>
              </w:rPr>
            </w:r>
            <w:r w:rsidR="002A7B67">
              <w:rPr>
                <w:noProof/>
                <w:webHidden/>
              </w:rPr>
              <w:fldChar w:fldCharType="separate"/>
            </w:r>
            <w:r w:rsidR="00C9149F">
              <w:rPr>
                <w:noProof/>
                <w:webHidden/>
              </w:rPr>
              <w:t>43</w:t>
            </w:r>
            <w:r w:rsidR="002A7B67">
              <w:rPr>
                <w:noProof/>
                <w:webHidden/>
              </w:rPr>
              <w:fldChar w:fldCharType="end"/>
            </w:r>
          </w:hyperlink>
        </w:p>
        <w:p w14:paraId="24E19811" w14:textId="16456CEE" w:rsidR="002A7B67" w:rsidRDefault="00000000">
          <w:pPr>
            <w:pStyle w:val="Verzeichnis3"/>
            <w:rPr>
              <w:rFonts w:eastAsiaTheme="minorEastAsia" w:cstheme="minorBidi"/>
              <w:noProof/>
              <w:kern w:val="2"/>
              <w:sz w:val="22"/>
              <w:szCs w:val="22"/>
              <w:lang w:eastAsia="de-DE"/>
              <w14:ligatures w14:val="standardContextual"/>
            </w:rPr>
          </w:pPr>
          <w:hyperlink w:anchor="_Toc154652636" w:history="1">
            <w:r w:rsidR="002A7B67" w:rsidRPr="00BA6ED6">
              <w:rPr>
                <w:rStyle w:val="Hyperlink"/>
                <w:noProof/>
              </w:rPr>
              <w:t>8.4.6</w:t>
            </w:r>
            <w:r w:rsidR="002A7B67">
              <w:rPr>
                <w:rFonts w:eastAsiaTheme="minorEastAsia" w:cstheme="minorBidi"/>
                <w:noProof/>
                <w:kern w:val="2"/>
                <w:sz w:val="22"/>
                <w:szCs w:val="22"/>
                <w:lang w:eastAsia="de-DE"/>
                <w14:ligatures w14:val="standardContextual"/>
              </w:rPr>
              <w:tab/>
            </w:r>
            <w:r w:rsidR="002A7B67" w:rsidRPr="004832F9">
              <w:rPr>
                <w:rStyle w:val="Hyperlink"/>
                <w:noProof/>
              </w:rPr>
              <w:t>Was</w:t>
            </w:r>
            <w:r w:rsidR="002A7B67" w:rsidRPr="00BA6ED6">
              <w:rPr>
                <w:rStyle w:val="Hyperlink"/>
                <w:noProof/>
              </w:rPr>
              <w:t xml:space="preserve"> wird wann mit welcher Methode erreicht?</w:t>
            </w:r>
            <w:r w:rsidR="002A7B67">
              <w:rPr>
                <w:noProof/>
                <w:webHidden/>
              </w:rPr>
              <w:tab/>
            </w:r>
            <w:r w:rsidR="002A7B67" w:rsidRPr="004832F9">
              <w:rPr>
                <w:noProof/>
                <w:webHidden/>
              </w:rPr>
              <w:fldChar w:fldCharType="begin"/>
            </w:r>
            <w:r w:rsidR="002A7B67" w:rsidRPr="004832F9">
              <w:rPr>
                <w:noProof/>
                <w:webHidden/>
              </w:rPr>
              <w:instrText xml:space="preserve"> PAGEREF _Toc154652636 \h </w:instrText>
            </w:r>
            <w:r w:rsidR="002A7B67" w:rsidRPr="004832F9">
              <w:rPr>
                <w:noProof/>
                <w:webHidden/>
              </w:rPr>
            </w:r>
            <w:r w:rsidR="002A7B67" w:rsidRPr="004832F9">
              <w:rPr>
                <w:noProof/>
                <w:webHidden/>
              </w:rPr>
              <w:fldChar w:fldCharType="separate"/>
            </w:r>
            <w:r w:rsidR="00C9149F">
              <w:rPr>
                <w:noProof/>
                <w:webHidden/>
              </w:rPr>
              <w:t>44</w:t>
            </w:r>
            <w:r w:rsidR="002A7B67" w:rsidRPr="004832F9">
              <w:rPr>
                <w:noProof/>
                <w:webHidden/>
              </w:rPr>
              <w:fldChar w:fldCharType="end"/>
            </w:r>
          </w:hyperlink>
        </w:p>
        <w:p w14:paraId="7D9384D6" w14:textId="3E8F6D4E" w:rsidR="002A7B67" w:rsidRDefault="00000000">
          <w:pPr>
            <w:pStyle w:val="Verzeichnis3"/>
            <w:rPr>
              <w:rFonts w:eastAsiaTheme="minorEastAsia" w:cstheme="minorBidi"/>
              <w:noProof/>
              <w:kern w:val="2"/>
              <w:sz w:val="22"/>
              <w:szCs w:val="22"/>
              <w:lang w:eastAsia="de-DE"/>
              <w14:ligatures w14:val="standardContextual"/>
            </w:rPr>
          </w:pPr>
          <w:hyperlink w:anchor="_Toc154652637" w:history="1">
            <w:r w:rsidR="002A7B67" w:rsidRPr="00BA6ED6">
              <w:rPr>
                <w:rStyle w:val="Hyperlink"/>
                <w:noProof/>
              </w:rPr>
              <w:t>8.4.7</w:t>
            </w:r>
            <w:r w:rsidR="002A7B67">
              <w:rPr>
                <w:rFonts w:eastAsiaTheme="minorEastAsia" w:cstheme="minorBidi"/>
                <w:noProof/>
                <w:kern w:val="2"/>
                <w:sz w:val="22"/>
                <w:szCs w:val="22"/>
                <w:lang w:eastAsia="de-DE"/>
                <w14:ligatures w14:val="standardContextual"/>
              </w:rPr>
              <w:tab/>
            </w:r>
            <w:r w:rsidR="002A7B67" w:rsidRPr="00BA6ED6">
              <w:rPr>
                <w:rStyle w:val="Hyperlink"/>
                <w:noProof/>
              </w:rPr>
              <w:t>k-Anonymität</w:t>
            </w:r>
            <w:r w:rsidR="002A7B67">
              <w:rPr>
                <w:noProof/>
                <w:webHidden/>
              </w:rPr>
              <w:tab/>
            </w:r>
            <w:r w:rsidR="002A7B67">
              <w:rPr>
                <w:noProof/>
                <w:webHidden/>
              </w:rPr>
              <w:fldChar w:fldCharType="begin"/>
            </w:r>
            <w:r w:rsidR="002A7B67">
              <w:rPr>
                <w:noProof/>
                <w:webHidden/>
              </w:rPr>
              <w:instrText xml:space="preserve"> PAGEREF _Toc154652637 \h </w:instrText>
            </w:r>
            <w:r w:rsidR="002A7B67">
              <w:rPr>
                <w:noProof/>
                <w:webHidden/>
              </w:rPr>
            </w:r>
            <w:r w:rsidR="002A7B67">
              <w:rPr>
                <w:noProof/>
                <w:webHidden/>
              </w:rPr>
              <w:fldChar w:fldCharType="separate"/>
            </w:r>
            <w:r w:rsidR="00C9149F">
              <w:rPr>
                <w:noProof/>
                <w:webHidden/>
              </w:rPr>
              <w:t>44</w:t>
            </w:r>
            <w:r w:rsidR="002A7B67">
              <w:rPr>
                <w:noProof/>
                <w:webHidden/>
              </w:rPr>
              <w:fldChar w:fldCharType="end"/>
            </w:r>
          </w:hyperlink>
        </w:p>
        <w:p w14:paraId="1F5BFC95" w14:textId="249EA627" w:rsidR="002A7B67" w:rsidRDefault="00000000">
          <w:pPr>
            <w:pStyle w:val="Verzeichnis3"/>
            <w:rPr>
              <w:rFonts w:eastAsiaTheme="minorEastAsia" w:cstheme="minorBidi"/>
              <w:noProof/>
              <w:kern w:val="2"/>
              <w:sz w:val="22"/>
              <w:szCs w:val="22"/>
              <w:lang w:eastAsia="de-DE"/>
              <w14:ligatures w14:val="standardContextual"/>
            </w:rPr>
          </w:pPr>
          <w:hyperlink w:anchor="_Toc154652638" w:history="1">
            <w:r w:rsidR="002A7B67" w:rsidRPr="00BA6ED6">
              <w:rPr>
                <w:rStyle w:val="Hyperlink"/>
                <w:noProof/>
              </w:rPr>
              <w:t>8.4.8</w:t>
            </w:r>
            <w:r w:rsidR="002A7B67">
              <w:rPr>
                <w:rFonts w:eastAsiaTheme="minorEastAsia" w:cstheme="minorBidi"/>
                <w:noProof/>
                <w:kern w:val="2"/>
                <w:sz w:val="22"/>
                <w:szCs w:val="22"/>
                <w:lang w:eastAsia="de-DE"/>
                <w14:ligatures w14:val="standardContextual"/>
              </w:rPr>
              <w:tab/>
            </w:r>
            <w:r w:rsidR="002A7B67" w:rsidRPr="004832F9">
              <w:rPr>
                <w:rStyle w:val="Hyperlink"/>
                <w:noProof/>
              </w:rPr>
              <w:t>Differential</w:t>
            </w:r>
            <w:r w:rsidR="002A7B67" w:rsidRPr="00BA6ED6">
              <w:rPr>
                <w:rStyle w:val="Hyperlink"/>
                <w:noProof/>
              </w:rPr>
              <w:t xml:space="preserve"> </w:t>
            </w:r>
            <w:r w:rsidR="002A7B67" w:rsidRPr="004832F9">
              <w:rPr>
                <w:rStyle w:val="Hyperlink"/>
                <w:noProof/>
              </w:rPr>
              <w:t>Privacy</w:t>
            </w:r>
            <w:r w:rsidR="002A7B67">
              <w:rPr>
                <w:noProof/>
                <w:webHidden/>
              </w:rPr>
              <w:tab/>
            </w:r>
            <w:r w:rsidR="002A7B67">
              <w:rPr>
                <w:noProof/>
                <w:webHidden/>
              </w:rPr>
              <w:fldChar w:fldCharType="begin"/>
            </w:r>
            <w:r w:rsidR="002A7B67">
              <w:rPr>
                <w:noProof/>
                <w:webHidden/>
              </w:rPr>
              <w:instrText xml:space="preserve"> PAGEREF _Toc154652638 \h </w:instrText>
            </w:r>
            <w:r w:rsidR="002A7B67">
              <w:rPr>
                <w:noProof/>
                <w:webHidden/>
              </w:rPr>
            </w:r>
            <w:r w:rsidR="002A7B67">
              <w:rPr>
                <w:noProof/>
                <w:webHidden/>
              </w:rPr>
              <w:fldChar w:fldCharType="separate"/>
            </w:r>
            <w:r w:rsidR="00C9149F">
              <w:rPr>
                <w:noProof/>
                <w:webHidden/>
              </w:rPr>
              <w:t>46</w:t>
            </w:r>
            <w:r w:rsidR="002A7B67">
              <w:rPr>
                <w:noProof/>
                <w:webHidden/>
              </w:rPr>
              <w:fldChar w:fldCharType="end"/>
            </w:r>
          </w:hyperlink>
        </w:p>
        <w:p w14:paraId="26F596E7" w14:textId="590D84F7" w:rsidR="002A7B67" w:rsidRDefault="00000000">
          <w:pPr>
            <w:pStyle w:val="Verzeichnis3"/>
            <w:rPr>
              <w:rFonts w:eastAsiaTheme="minorEastAsia" w:cstheme="minorBidi"/>
              <w:noProof/>
              <w:kern w:val="2"/>
              <w:sz w:val="22"/>
              <w:szCs w:val="22"/>
              <w:lang w:eastAsia="de-DE"/>
              <w14:ligatures w14:val="standardContextual"/>
            </w:rPr>
          </w:pPr>
          <w:hyperlink w:anchor="_Toc154652639" w:history="1">
            <w:r w:rsidR="002A7B67" w:rsidRPr="00BA6ED6">
              <w:rPr>
                <w:rStyle w:val="Hyperlink"/>
                <w:noProof/>
              </w:rPr>
              <w:t>8.4.9</w:t>
            </w:r>
            <w:r w:rsidR="002A7B67">
              <w:rPr>
                <w:rFonts w:eastAsiaTheme="minorEastAsia" w:cstheme="minorBidi"/>
                <w:noProof/>
                <w:kern w:val="2"/>
                <w:sz w:val="22"/>
                <w:szCs w:val="22"/>
                <w:lang w:eastAsia="de-DE"/>
                <w14:ligatures w14:val="standardContextual"/>
              </w:rPr>
              <w:tab/>
            </w:r>
            <w:r w:rsidR="002A7B67" w:rsidRPr="00BA6ED6">
              <w:rPr>
                <w:rStyle w:val="Hyperlink"/>
                <w:noProof/>
              </w:rPr>
              <w:t>Beispiele bzgl. Vorgehen</w:t>
            </w:r>
            <w:r w:rsidR="002A7B67">
              <w:rPr>
                <w:noProof/>
                <w:webHidden/>
              </w:rPr>
              <w:tab/>
            </w:r>
            <w:r w:rsidR="002A7B67">
              <w:rPr>
                <w:noProof/>
                <w:webHidden/>
              </w:rPr>
              <w:fldChar w:fldCharType="begin"/>
            </w:r>
            <w:r w:rsidR="002A7B67">
              <w:rPr>
                <w:noProof/>
                <w:webHidden/>
              </w:rPr>
              <w:instrText xml:space="preserve"> PAGEREF _Toc154652639 \h </w:instrText>
            </w:r>
            <w:r w:rsidR="002A7B67">
              <w:rPr>
                <w:noProof/>
                <w:webHidden/>
              </w:rPr>
            </w:r>
            <w:r w:rsidR="002A7B67">
              <w:rPr>
                <w:noProof/>
                <w:webHidden/>
              </w:rPr>
              <w:fldChar w:fldCharType="separate"/>
            </w:r>
            <w:r w:rsidR="00C9149F">
              <w:rPr>
                <w:noProof/>
                <w:webHidden/>
              </w:rPr>
              <w:t>47</w:t>
            </w:r>
            <w:r w:rsidR="002A7B67">
              <w:rPr>
                <w:noProof/>
                <w:webHidden/>
              </w:rPr>
              <w:fldChar w:fldCharType="end"/>
            </w:r>
          </w:hyperlink>
        </w:p>
        <w:p w14:paraId="36AAED4A" w14:textId="7D079B27" w:rsidR="002A7B67" w:rsidRDefault="00000000">
          <w:pPr>
            <w:pStyle w:val="Verzeichnis3"/>
            <w:rPr>
              <w:rFonts w:eastAsiaTheme="minorEastAsia" w:cstheme="minorBidi"/>
              <w:noProof/>
              <w:kern w:val="2"/>
              <w:sz w:val="22"/>
              <w:szCs w:val="22"/>
              <w:lang w:eastAsia="de-DE"/>
              <w14:ligatures w14:val="standardContextual"/>
            </w:rPr>
          </w:pPr>
          <w:hyperlink w:anchor="_Toc154652640" w:history="1">
            <w:r w:rsidR="002A7B67" w:rsidRPr="00BA6ED6">
              <w:rPr>
                <w:rStyle w:val="Hyperlink"/>
                <w:noProof/>
              </w:rPr>
              <w:t>8.4.10</w:t>
            </w:r>
            <w:r w:rsidR="002A7B67">
              <w:rPr>
                <w:rFonts w:eastAsiaTheme="minorEastAsia" w:cstheme="minorBidi"/>
                <w:noProof/>
                <w:kern w:val="2"/>
                <w:sz w:val="22"/>
                <w:szCs w:val="22"/>
                <w:lang w:eastAsia="de-DE"/>
                <w14:ligatures w14:val="standardContextual"/>
              </w:rPr>
              <w:tab/>
            </w:r>
            <w:r w:rsidR="002A7B67" w:rsidRPr="00BA6ED6">
              <w:rPr>
                <w:rStyle w:val="Hyperlink"/>
                <w:noProof/>
              </w:rPr>
              <w:t>Tool-Unterstützung</w:t>
            </w:r>
            <w:r w:rsidR="002A7B67">
              <w:rPr>
                <w:noProof/>
                <w:webHidden/>
              </w:rPr>
              <w:tab/>
            </w:r>
            <w:r w:rsidR="002A7B67">
              <w:rPr>
                <w:noProof/>
                <w:webHidden/>
              </w:rPr>
              <w:fldChar w:fldCharType="begin"/>
            </w:r>
            <w:r w:rsidR="002A7B67">
              <w:rPr>
                <w:noProof/>
                <w:webHidden/>
              </w:rPr>
              <w:instrText xml:space="preserve"> PAGEREF _Toc154652640 \h </w:instrText>
            </w:r>
            <w:r w:rsidR="002A7B67">
              <w:rPr>
                <w:noProof/>
                <w:webHidden/>
              </w:rPr>
            </w:r>
            <w:r w:rsidR="002A7B67">
              <w:rPr>
                <w:noProof/>
                <w:webHidden/>
              </w:rPr>
              <w:fldChar w:fldCharType="separate"/>
            </w:r>
            <w:r w:rsidR="00C9149F">
              <w:rPr>
                <w:noProof/>
                <w:webHidden/>
              </w:rPr>
              <w:t>48</w:t>
            </w:r>
            <w:r w:rsidR="002A7B67">
              <w:rPr>
                <w:noProof/>
                <w:webHidden/>
              </w:rPr>
              <w:fldChar w:fldCharType="end"/>
            </w:r>
          </w:hyperlink>
        </w:p>
        <w:p w14:paraId="565E13C3" w14:textId="5C40CADC" w:rsidR="002A7B67" w:rsidRDefault="00000000">
          <w:pPr>
            <w:pStyle w:val="Verzeichnis4"/>
            <w:rPr>
              <w:rFonts w:eastAsiaTheme="minorEastAsia" w:cstheme="minorBidi"/>
              <w:noProof/>
              <w:kern w:val="2"/>
              <w:sz w:val="22"/>
              <w:szCs w:val="22"/>
              <w:lang w:eastAsia="de-DE"/>
              <w14:ligatures w14:val="standardContextual"/>
            </w:rPr>
          </w:pPr>
          <w:hyperlink w:anchor="_Toc154652641" w:history="1">
            <w:r w:rsidR="002A7B67" w:rsidRPr="00BA6ED6">
              <w:rPr>
                <w:rStyle w:val="Hyperlink"/>
                <w:noProof/>
              </w:rPr>
              <w:t>8.4.10.1</w:t>
            </w:r>
            <w:r w:rsidR="002A7B67">
              <w:rPr>
                <w:rFonts w:eastAsiaTheme="minorEastAsia" w:cstheme="minorBidi"/>
                <w:noProof/>
                <w:kern w:val="2"/>
                <w:sz w:val="22"/>
                <w:szCs w:val="22"/>
                <w:lang w:eastAsia="de-DE"/>
                <w14:ligatures w14:val="standardContextual"/>
              </w:rPr>
              <w:tab/>
            </w:r>
            <w:r w:rsidR="002A7B67" w:rsidRPr="00BA6ED6">
              <w:rPr>
                <w:rStyle w:val="Hyperlink"/>
                <w:noProof/>
              </w:rPr>
              <w:t>Software</w:t>
            </w:r>
            <w:r w:rsidR="002A7B67">
              <w:rPr>
                <w:noProof/>
                <w:webHidden/>
              </w:rPr>
              <w:tab/>
            </w:r>
            <w:r w:rsidR="002A7B67">
              <w:rPr>
                <w:noProof/>
                <w:webHidden/>
              </w:rPr>
              <w:fldChar w:fldCharType="begin"/>
            </w:r>
            <w:r w:rsidR="002A7B67">
              <w:rPr>
                <w:noProof/>
                <w:webHidden/>
              </w:rPr>
              <w:instrText xml:space="preserve"> PAGEREF _Toc154652641 \h </w:instrText>
            </w:r>
            <w:r w:rsidR="002A7B67">
              <w:rPr>
                <w:noProof/>
                <w:webHidden/>
              </w:rPr>
            </w:r>
            <w:r w:rsidR="002A7B67">
              <w:rPr>
                <w:noProof/>
                <w:webHidden/>
              </w:rPr>
              <w:fldChar w:fldCharType="separate"/>
            </w:r>
            <w:r w:rsidR="00C9149F">
              <w:rPr>
                <w:noProof/>
                <w:webHidden/>
              </w:rPr>
              <w:t>48</w:t>
            </w:r>
            <w:r w:rsidR="002A7B67">
              <w:rPr>
                <w:noProof/>
                <w:webHidden/>
              </w:rPr>
              <w:fldChar w:fldCharType="end"/>
            </w:r>
          </w:hyperlink>
        </w:p>
        <w:p w14:paraId="7228FE8C" w14:textId="04F8D821" w:rsidR="002A7B67" w:rsidRDefault="00000000">
          <w:pPr>
            <w:pStyle w:val="Verzeichnis4"/>
            <w:rPr>
              <w:rFonts w:eastAsiaTheme="minorEastAsia" w:cstheme="minorBidi"/>
              <w:noProof/>
              <w:kern w:val="2"/>
              <w:sz w:val="22"/>
              <w:szCs w:val="22"/>
              <w:lang w:eastAsia="de-DE"/>
              <w14:ligatures w14:val="standardContextual"/>
            </w:rPr>
          </w:pPr>
          <w:hyperlink w:anchor="_Toc154652642" w:history="1">
            <w:r w:rsidR="002A7B67" w:rsidRPr="00BA6ED6">
              <w:rPr>
                <w:rStyle w:val="Hyperlink"/>
                <w:noProof/>
              </w:rPr>
              <w:t>8.4.10.2</w:t>
            </w:r>
            <w:r w:rsidR="002A7B67">
              <w:rPr>
                <w:rFonts w:eastAsiaTheme="minorEastAsia" w:cstheme="minorBidi"/>
                <w:noProof/>
                <w:kern w:val="2"/>
                <w:sz w:val="22"/>
                <w:szCs w:val="22"/>
                <w:lang w:eastAsia="de-DE"/>
                <w14:ligatures w14:val="standardContextual"/>
              </w:rPr>
              <w:tab/>
            </w:r>
            <w:r w:rsidR="002A7B67" w:rsidRPr="00BA6ED6">
              <w:rPr>
                <w:rStyle w:val="Hyperlink"/>
                <w:noProof/>
              </w:rPr>
              <w:t>Software-Bibliotheken</w:t>
            </w:r>
            <w:r w:rsidR="002A7B67">
              <w:rPr>
                <w:noProof/>
                <w:webHidden/>
              </w:rPr>
              <w:tab/>
            </w:r>
            <w:r w:rsidR="002A7B67">
              <w:rPr>
                <w:noProof/>
                <w:webHidden/>
              </w:rPr>
              <w:fldChar w:fldCharType="begin"/>
            </w:r>
            <w:r w:rsidR="002A7B67">
              <w:rPr>
                <w:noProof/>
                <w:webHidden/>
              </w:rPr>
              <w:instrText xml:space="preserve"> PAGEREF _Toc154652642 \h </w:instrText>
            </w:r>
            <w:r w:rsidR="002A7B67">
              <w:rPr>
                <w:noProof/>
                <w:webHidden/>
              </w:rPr>
            </w:r>
            <w:r w:rsidR="002A7B67">
              <w:rPr>
                <w:noProof/>
                <w:webHidden/>
              </w:rPr>
              <w:fldChar w:fldCharType="separate"/>
            </w:r>
            <w:r w:rsidR="00C9149F">
              <w:rPr>
                <w:noProof/>
                <w:webHidden/>
              </w:rPr>
              <w:t>51</w:t>
            </w:r>
            <w:r w:rsidR="002A7B67">
              <w:rPr>
                <w:noProof/>
                <w:webHidden/>
              </w:rPr>
              <w:fldChar w:fldCharType="end"/>
            </w:r>
          </w:hyperlink>
        </w:p>
        <w:p w14:paraId="29BA317A" w14:textId="67C9D169" w:rsidR="002A7B67" w:rsidRDefault="00000000" w:rsidP="00A824A4">
          <w:pPr>
            <w:pStyle w:val="Verzeichnis2"/>
            <w:rPr>
              <w:rFonts w:eastAsiaTheme="minorEastAsia" w:cstheme="minorBidi"/>
              <w:noProof/>
              <w:kern w:val="2"/>
              <w:lang w:eastAsia="de-DE"/>
              <w14:ligatures w14:val="standardContextual"/>
            </w:rPr>
          </w:pPr>
          <w:hyperlink w:anchor="_Toc154652643" w:history="1">
            <w:r w:rsidR="002A7B67" w:rsidRPr="00BA6ED6">
              <w:rPr>
                <w:rStyle w:val="Hyperlink"/>
                <w:noProof/>
              </w:rPr>
              <w:t>8.5</w:t>
            </w:r>
            <w:r w:rsidR="002A7B67">
              <w:rPr>
                <w:rFonts w:eastAsiaTheme="minorEastAsia" w:cstheme="minorBidi"/>
                <w:noProof/>
                <w:kern w:val="2"/>
                <w:lang w:eastAsia="de-DE"/>
                <w14:ligatures w14:val="standardContextual"/>
              </w:rPr>
              <w:tab/>
            </w:r>
            <w:r w:rsidR="002A7B67" w:rsidRPr="00BA6ED6">
              <w:rPr>
                <w:rStyle w:val="Hyperlink"/>
                <w:noProof/>
              </w:rPr>
              <w:t>Darstellung des Risikos der Re-Identifizierung</w:t>
            </w:r>
            <w:r w:rsidR="002A7B67">
              <w:rPr>
                <w:noProof/>
                <w:webHidden/>
              </w:rPr>
              <w:tab/>
            </w:r>
            <w:r w:rsidR="002A7B67">
              <w:rPr>
                <w:noProof/>
                <w:webHidden/>
              </w:rPr>
              <w:fldChar w:fldCharType="begin"/>
            </w:r>
            <w:r w:rsidR="002A7B67">
              <w:rPr>
                <w:noProof/>
                <w:webHidden/>
              </w:rPr>
              <w:instrText xml:space="preserve"> PAGEREF _Toc154652643 \h </w:instrText>
            </w:r>
            <w:r w:rsidR="002A7B67">
              <w:rPr>
                <w:noProof/>
                <w:webHidden/>
              </w:rPr>
            </w:r>
            <w:r w:rsidR="002A7B67">
              <w:rPr>
                <w:noProof/>
                <w:webHidden/>
              </w:rPr>
              <w:fldChar w:fldCharType="separate"/>
            </w:r>
            <w:r w:rsidR="00C9149F">
              <w:rPr>
                <w:noProof/>
                <w:webHidden/>
              </w:rPr>
              <w:t>52</w:t>
            </w:r>
            <w:r w:rsidR="002A7B67">
              <w:rPr>
                <w:noProof/>
                <w:webHidden/>
              </w:rPr>
              <w:fldChar w:fldCharType="end"/>
            </w:r>
          </w:hyperlink>
        </w:p>
        <w:p w14:paraId="6708EF75" w14:textId="3F5E5A65" w:rsidR="002A7B67" w:rsidRDefault="00000000">
          <w:pPr>
            <w:pStyle w:val="Verzeichnis3"/>
            <w:rPr>
              <w:rFonts w:eastAsiaTheme="minorEastAsia" w:cstheme="minorBidi"/>
              <w:noProof/>
              <w:kern w:val="2"/>
              <w:sz w:val="22"/>
              <w:szCs w:val="22"/>
              <w:lang w:eastAsia="de-DE"/>
              <w14:ligatures w14:val="standardContextual"/>
            </w:rPr>
          </w:pPr>
          <w:hyperlink w:anchor="_Toc154652644" w:history="1">
            <w:r w:rsidR="002A7B67" w:rsidRPr="00BA6ED6">
              <w:rPr>
                <w:rStyle w:val="Hyperlink"/>
                <w:noProof/>
              </w:rPr>
              <w:t>8.5.1</w:t>
            </w:r>
            <w:r w:rsidR="002A7B67">
              <w:rPr>
                <w:rFonts w:eastAsiaTheme="minorEastAsia" w:cstheme="minorBidi"/>
                <w:noProof/>
                <w:kern w:val="2"/>
                <w:sz w:val="22"/>
                <w:szCs w:val="22"/>
                <w:lang w:eastAsia="de-DE"/>
                <w14:ligatures w14:val="standardContextual"/>
              </w:rPr>
              <w:tab/>
            </w:r>
            <w:r w:rsidR="002A7B67" w:rsidRPr="00BA6ED6">
              <w:rPr>
                <w:rStyle w:val="Hyperlink"/>
                <w:noProof/>
              </w:rPr>
              <w:t>Anonymisierung/Pseudonymisierung: Ein Rest-Risiko bleibt immer!?</w:t>
            </w:r>
            <w:r w:rsidR="002A7B67">
              <w:rPr>
                <w:noProof/>
                <w:webHidden/>
              </w:rPr>
              <w:tab/>
            </w:r>
            <w:r w:rsidR="002A7B67" w:rsidRPr="004832F9">
              <w:rPr>
                <w:noProof/>
                <w:webHidden/>
              </w:rPr>
              <w:fldChar w:fldCharType="begin"/>
            </w:r>
            <w:r w:rsidR="002A7B67" w:rsidRPr="004832F9">
              <w:rPr>
                <w:noProof/>
                <w:webHidden/>
              </w:rPr>
              <w:instrText xml:space="preserve"> PAGEREF _Toc154652644 \h </w:instrText>
            </w:r>
            <w:r w:rsidR="002A7B67" w:rsidRPr="004832F9">
              <w:rPr>
                <w:noProof/>
                <w:webHidden/>
              </w:rPr>
            </w:r>
            <w:r w:rsidR="002A7B67" w:rsidRPr="004832F9">
              <w:rPr>
                <w:noProof/>
                <w:webHidden/>
              </w:rPr>
              <w:fldChar w:fldCharType="separate"/>
            </w:r>
            <w:r w:rsidR="00C9149F">
              <w:rPr>
                <w:noProof/>
                <w:webHidden/>
              </w:rPr>
              <w:t>52</w:t>
            </w:r>
            <w:r w:rsidR="002A7B67" w:rsidRPr="004832F9">
              <w:rPr>
                <w:noProof/>
                <w:webHidden/>
              </w:rPr>
              <w:fldChar w:fldCharType="end"/>
            </w:r>
          </w:hyperlink>
        </w:p>
        <w:p w14:paraId="5CD7490C" w14:textId="531F76DB" w:rsidR="002A7B67" w:rsidRDefault="00000000">
          <w:pPr>
            <w:pStyle w:val="Verzeichnis3"/>
            <w:rPr>
              <w:rFonts w:eastAsiaTheme="minorEastAsia" w:cstheme="minorBidi"/>
              <w:noProof/>
              <w:kern w:val="2"/>
              <w:sz w:val="22"/>
              <w:szCs w:val="22"/>
              <w:lang w:eastAsia="de-DE"/>
              <w14:ligatures w14:val="standardContextual"/>
            </w:rPr>
          </w:pPr>
          <w:hyperlink w:anchor="_Toc154652645" w:history="1">
            <w:r w:rsidR="002A7B67" w:rsidRPr="00BA6ED6">
              <w:rPr>
                <w:rStyle w:val="Hyperlink"/>
                <w:noProof/>
              </w:rPr>
              <w:t>8.5.2</w:t>
            </w:r>
            <w:r w:rsidR="002A7B67">
              <w:rPr>
                <w:rFonts w:eastAsiaTheme="minorEastAsia" w:cstheme="minorBidi"/>
                <w:noProof/>
                <w:kern w:val="2"/>
                <w:sz w:val="22"/>
                <w:szCs w:val="22"/>
                <w:lang w:eastAsia="de-DE"/>
                <w14:ligatures w14:val="standardContextual"/>
              </w:rPr>
              <w:tab/>
            </w:r>
            <w:r w:rsidR="002A7B67" w:rsidRPr="00BA6ED6">
              <w:rPr>
                <w:rStyle w:val="Hyperlink"/>
                <w:noProof/>
              </w:rPr>
              <w:t>Risikodarstellung: Bekannte Angriffsszenarien zur Re-Identifikation</w:t>
            </w:r>
            <w:r w:rsidR="002A7B67">
              <w:rPr>
                <w:noProof/>
                <w:webHidden/>
              </w:rPr>
              <w:tab/>
            </w:r>
            <w:r w:rsidR="002A7B67">
              <w:rPr>
                <w:noProof/>
                <w:webHidden/>
              </w:rPr>
              <w:fldChar w:fldCharType="begin"/>
            </w:r>
            <w:r w:rsidR="002A7B67">
              <w:rPr>
                <w:noProof/>
                <w:webHidden/>
              </w:rPr>
              <w:instrText xml:space="preserve"> PAGEREF _Toc154652645 \h </w:instrText>
            </w:r>
            <w:r w:rsidR="002A7B67">
              <w:rPr>
                <w:noProof/>
                <w:webHidden/>
              </w:rPr>
            </w:r>
            <w:r w:rsidR="002A7B67">
              <w:rPr>
                <w:noProof/>
                <w:webHidden/>
              </w:rPr>
              <w:fldChar w:fldCharType="separate"/>
            </w:r>
            <w:r w:rsidR="00C9149F">
              <w:rPr>
                <w:noProof/>
                <w:webHidden/>
              </w:rPr>
              <w:t>55</w:t>
            </w:r>
            <w:r w:rsidR="002A7B67">
              <w:rPr>
                <w:noProof/>
                <w:webHidden/>
              </w:rPr>
              <w:fldChar w:fldCharType="end"/>
            </w:r>
          </w:hyperlink>
        </w:p>
        <w:p w14:paraId="4A1A40A1" w14:textId="7E926494" w:rsidR="002A7B67" w:rsidRDefault="00000000">
          <w:pPr>
            <w:pStyle w:val="Verzeichnis4"/>
            <w:rPr>
              <w:rFonts w:eastAsiaTheme="minorEastAsia" w:cstheme="minorBidi"/>
              <w:noProof/>
              <w:kern w:val="2"/>
              <w:sz w:val="22"/>
              <w:szCs w:val="22"/>
              <w:lang w:eastAsia="de-DE"/>
              <w14:ligatures w14:val="standardContextual"/>
            </w:rPr>
          </w:pPr>
          <w:hyperlink w:anchor="_Toc154652646" w:history="1">
            <w:r w:rsidR="002A7B67" w:rsidRPr="00BA6ED6">
              <w:rPr>
                <w:rStyle w:val="Hyperlink"/>
                <w:noProof/>
              </w:rPr>
              <w:t>8.5.2.1</w:t>
            </w:r>
            <w:r w:rsidR="002A7B67">
              <w:rPr>
                <w:rFonts w:eastAsiaTheme="minorEastAsia" w:cstheme="minorBidi"/>
                <w:noProof/>
                <w:kern w:val="2"/>
                <w:sz w:val="22"/>
                <w:szCs w:val="22"/>
                <w:lang w:eastAsia="de-DE"/>
                <w14:ligatures w14:val="standardContextual"/>
              </w:rPr>
              <w:tab/>
            </w:r>
            <w:r w:rsidR="002A7B67" w:rsidRPr="00BA6ED6">
              <w:rPr>
                <w:rStyle w:val="Hyperlink"/>
                <w:noProof/>
              </w:rPr>
              <w:t>Aussondern („</w:t>
            </w:r>
            <w:r w:rsidR="002A7B67" w:rsidRPr="004832F9">
              <w:rPr>
                <w:rStyle w:val="Hyperlink"/>
                <w:noProof/>
              </w:rPr>
              <w:t>singling</w:t>
            </w:r>
            <w:r w:rsidR="002A7B67" w:rsidRPr="00BA6ED6">
              <w:rPr>
                <w:rStyle w:val="Hyperlink"/>
                <w:noProof/>
              </w:rPr>
              <w:t xml:space="preserve"> out“)</w:t>
            </w:r>
            <w:r w:rsidR="002A7B67">
              <w:rPr>
                <w:noProof/>
                <w:webHidden/>
              </w:rPr>
              <w:tab/>
            </w:r>
            <w:r w:rsidR="002A7B67" w:rsidRPr="004832F9">
              <w:rPr>
                <w:noProof/>
                <w:webHidden/>
              </w:rPr>
              <w:fldChar w:fldCharType="begin"/>
            </w:r>
            <w:r w:rsidR="002A7B67" w:rsidRPr="004832F9">
              <w:rPr>
                <w:noProof/>
                <w:webHidden/>
              </w:rPr>
              <w:instrText xml:space="preserve"> PAGEREF _Toc154652646 \h </w:instrText>
            </w:r>
            <w:r w:rsidR="002A7B67" w:rsidRPr="004832F9">
              <w:rPr>
                <w:noProof/>
                <w:webHidden/>
              </w:rPr>
            </w:r>
            <w:r w:rsidR="002A7B67" w:rsidRPr="004832F9">
              <w:rPr>
                <w:noProof/>
                <w:webHidden/>
              </w:rPr>
              <w:fldChar w:fldCharType="separate"/>
            </w:r>
            <w:r w:rsidR="00C9149F">
              <w:rPr>
                <w:noProof/>
                <w:webHidden/>
              </w:rPr>
              <w:t>55</w:t>
            </w:r>
            <w:r w:rsidR="002A7B67" w:rsidRPr="004832F9">
              <w:rPr>
                <w:noProof/>
                <w:webHidden/>
              </w:rPr>
              <w:fldChar w:fldCharType="end"/>
            </w:r>
          </w:hyperlink>
        </w:p>
        <w:p w14:paraId="6C2E3036" w14:textId="43D302CD" w:rsidR="002A7B67" w:rsidRDefault="00000000">
          <w:pPr>
            <w:pStyle w:val="Verzeichnis4"/>
            <w:rPr>
              <w:rFonts w:eastAsiaTheme="minorEastAsia" w:cstheme="minorBidi"/>
              <w:noProof/>
              <w:kern w:val="2"/>
              <w:sz w:val="22"/>
              <w:szCs w:val="22"/>
              <w:lang w:eastAsia="de-DE"/>
              <w14:ligatures w14:val="standardContextual"/>
            </w:rPr>
          </w:pPr>
          <w:hyperlink w:anchor="_Toc154652647" w:history="1">
            <w:r w:rsidR="002A7B67" w:rsidRPr="00BA6ED6">
              <w:rPr>
                <w:rStyle w:val="Hyperlink"/>
                <w:noProof/>
              </w:rPr>
              <w:t>8.5.2.2</w:t>
            </w:r>
            <w:r w:rsidR="002A7B67">
              <w:rPr>
                <w:rFonts w:eastAsiaTheme="minorEastAsia" w:cstheme="minorBidi"/>
                <w:noProof/>
                <w:kern w:val="2"/>
                <w:sz w:val="22"/>
                <w:szCs w:val="22"/>
                <w:lang w:eastAsia="de-DE"/>
                <w14:ligatures w14:val="standardContextual"/>
              </w:rPr>
              <w:tab/>
            </w:r>
            <w:r w:rsidR="002A7B67" w:rsidRPr="00BA6ED6">
              <w:rPr>
                <w:rStyle w:val="Hyperlink"/>
                <w:noProof/>
              </w:rPr>
              <w:t>Inferenz</w:t>
            </w:r>
            <w:r w:rsidR="002A7B67">
              <w:rPr>
                <w:noProof/>
                <w:webHidden/>
              </w:rPr>
              <w:tab/>
            </w:r>
            <w:r w:rsidR="002A7B67">
              <w:rPr>
                <w:noProof/>
                <w:webHidden/>
              </w:rPr>
              <w:fldChar w:fldCharType="begin"/>
            </w:r>
            <w:r w:rsidR="002A7B67">
              <w:rPr>
                <w:noProof/>
                <w:webHidden/>
              </w:rPr>
              <w:instrText xml:space="preserve"> PAGEREF _Toc154652647 \h </w:instrText>
            </w:r>
            <w:r w:rsidR="002A7B67">
              <w:rPr>
                <w:noProof/>
                <w:webHidden/>
              </w:rPr>
            </w:r>
            <w:r w:rsidR="002A7B67">
              <w:rPr>
                <w:noProof/>
                <w:webHidden/>
              </w:rPr>
              <w:fldChar w:fldCharType="separate"/>
            </w:r>
            <w:r w:rsidR="00C9149F">
              <w:rPr>
                <w:noProof/>
                <w:webHidden/>
              </w:rPr>
              <w:t>55</w:t>
            </w:r>
            <w:r w:rsidR="002A7B67">
              <w:rPr>
                <w:noProof/>
                <w:webHidden/>
              </w:rPr>
              <w:fldChar w:fldCharType="end"/>
            </w:r>
          </w:hyperlink>
        </w:p>
        <w:p w14:paraId="42FC6BA6" w14:textId="2668F7AC" w:rsidR="002A7B67" w:rsidRDefault="00000000">
          <w:pPr>
            <w:pStyle w:val="Verzeichnis4"/>
            <w:rPr>
              <w:rFonts w:eastAsiaTheme="minorEastAsia" w:cstheme="minorBidi"/>
              <w:noProof/>
              <w:kern w:val="2"/>
              <w:sz w:val="22"/>
              <w:szCs w:val="22"/>
              <w:lang w:eastAsia="de-DE"/>
              <w14:ligatures w14:val="standardContextual"/>
            </w:rPr>
          </w:pPr>
          <w:hyperlink w:anchor="_Toc154652648" w:history="1">
            <w:r w:rsidR="002A7B67" w:rsidRPr="00BA6ED6">
              <w:rPr>
                <w:rStyle w:val="Hyperlink"/>
                <w:noProof/>
              </w:rPr>
              <w:t>8.5.2.3</w:t>
            </w:r>
            <w:r w:rsidR="002A7B67">
              <w:rPr>
                <w:rFonts w:eastAsiaTheme="minorEastAsia" w:cstheme="minorBidi"/>
                <w:noProof/>
                <w:kern w:val="2"/>
                <w:sz w:val="22"/>
                <w:szCs w:val="22"/>
                <w:lang w:eastAsia="de-DE"/>
                <w14:ligatures w14:val="standardContextual"/>
              </w:rPr>
              <w:tab/>
            </w:r>
            <w:r w:rsidR="002A7B67" w:rsidRPr="004832F9">
              <w:rPr>
                <w:rStyle w:val="Hyperlink"/>
                <w:noProof/>
              </w:rPr>
              <w:t>Unsorted</w:t>
            </w:r>
            <w:r w:rsidR="002A7B67" w:rsidRPr="00BA6ED6">
              <w:rPr>
                <w:rStyle w:val="Hyperlink"/>
                <w:noProof/>
              </w:rPr>
              <w:t xml:space="preserve"> Matching Angriff</w:t>
            </w:r>
            <w:r w:rsidR="002A7B67">
              <w:rPr>
                <w:noProof/>
                <w:webHidden/>
              </w:rPr>
              <w:tab/>
            </w:r>
            <w:r w:rsidR="002A7B67">
              <w:rPr>
                <w:noProof/>
                <w:webHidden/>
              </w:rPr>
              <w:fldChar w:fldCharType="begin"/>
            </w:r>
            <w:r w:rsidR="002A7B67">
              <w:rPr>
                <w:noProof/>
                <w:webHidden/>
              </w:rPr>
              <w:instrText xml:space="preserve"> PAGEREF _Toc154652648 \h </w:instrText>
            </w:r>
            <w:r w:rsidR="002A7B67">
              <w:rPr>
                <w:noProof/>
                <w:webHidden/>
              </w:rPr>
            </w:r>
            <w:r w:rsidR="002A7B67">
              <w:rPr>
                <w:noProof/>
                <w:webHidden/>
              </w:rPr>
              <w:fldChar w:fldCharType="separate"/>
            </w:r>
            <w:r w:rsidR="00C9149F">
              <w:rPr>
                <w:noProof/>
                <w:webHidden/>
              </w:rPr>
              <w:t>56</w:t>
            </w:r>
            <w:r w:rsidR="002A7B67">
              <w:rPr>
                <w:noProof/>
                <w:webHidden/>
              </w:rPr>
              <w:fldChar w:fldCharType="end"/>
            </w:r>
          </w:hyperlink>
        </w:p>
        <w:p w14:paraId="68BA85A9" w14:textId="6CFC0A65" w:rsidR="002A7B67" w:rsidRDefault="00000000">
          <w:pPr>
            <w:pStyle w:val="Verzeichnis4"/>
            <w:rPr>
              <w:rFonts w:eastAsiaTheme="minorEastAsia" w:cstheme="minorBidi"/>
              <w:noProof/>
              <w:kern w:val="2"/>
              <w:sz w:val="22"/>
              <w:szCs w:val="22"/>
              <w:lang w:eastAsia="de-DE"/>
              <w14:ligatures w14:val="standardContextual"/>
            </w:rPr>
          </w:pPr>
          <w:hyperlink w:anchor="_Toc154652649" w:history="1">
            <w:r w:rsidR="002A7B67" w:rsidRPr="00BA6ED6">
              <w:rPr>
                <w:rStyle w:val="Hyperlink"/>
                <w:noProof/>
              </w:rPr>
              <w:t>8.5.2.4</w:t>
            </w:r>
            <w:r w:rsidR="002A7B67">
              <w:rPr>
                <w:rFonts w:eastAsiaTheme="minorEastAsia" w:cstheme="minorBidi"/>
                <w:noProof/>
                <w:kern w:val="2"/>
                <w:sz w:val="22"/>
                <w:szCs w:val="22"/>
                <w:lang w:eastAsia="de-DE"/>
                <w14:ligatures w14:val="standardContextual"/>
              </w:rPr>
              <w:tab/>
            </w:r>
            <w:r w:rsidR="002A7B67" w:rsidRPr="00BA6ED6">
              <w:rPr>
                <w:rStyle w:val="Hyperlink"/>
                <w:noProof/>
              </w:rPr>
              <w:t>Komplementärveröffentlichung</w:t>
            </w:r>
            <w:r w:rsidR="002A7B67">
              <w:rPr>
                <w:noProof/>
                <w:webHidden/>
              </w:rPr>
              <w:tab/>
            </w:r>
            <w:r w:rsidR="002A7B67">
              <w:rPr>
                <w:noProof/>
                <w:webHidden/>
              </w:rPr>
              <w:fldChar w:fldCharType="begin"/>
            </w:r>
            <w:r w:rsidR="002A7B67">
              <w:rPr>
                <w:noProof/>
                <w:webHidden/>
              </w:rPr>
              <w:instrText xml:space="preserve"> PAGEREF _Toc154652649 \h </w:instrText>
            </w:r>
            <w:r w:rsidR="002A7B67">
              <w:rPr>
                <w:noProof/>
                <w:webHidden/>
              </w:rPr>
            </w:r>
            <w:r w:rsidR="002A7B67">
              <w:rPr>
                <w:noProof/>
                <w:webHidden/>
              </w:rPr>
              <w:fldChar w:fldCharType="separate"/>
            </w:r>
            <w:r w:rsidR="00C9149F">
              <w:rPr>
                <w:noProof/>
                <w:webHidden/>
              </w:rPr>
              <w:t>56</w:t>
            </w:r>
            <w:r w:rsidR="002A7B67">
              <w:rPr>
                <w:noProof/>
                <w:webHidden/>
              </w:rPr>
              <w:fldChar w:fldCharType="end"/>
            </w:r>
          </w:hyperlink>
        </w:p>
        <w:p w14:paraId="56A693BD" w14:textId="448007B0" w:rsidR="002A7B67" w:rsidRDefault="00000000">
          <w:pPr>
            <w:pStyle w:val="Verzeichnis4"/>
            <w:rPr>
              <w:rFonts w:eastAsiaTheme="minorEastAsia" w:cstheme="minorBidi"/>
              <w:noProof/>
              <w:kern w:val="2"/>
              <w:sz w:val="22"/>
              <w:szCs w:val="22"/>
              <w:lang w:eastAsia="de-DE"/>
              <w14:ligatures w14:val="standardContextual"/>
            </w:rPr>
          </w:pPr>
          <w:hyperlink w:anchor="_Toc154652650" w:history="1">
            <w:r w:rsidR="002A7B67" w:rsidRPr="00BA6ED6">
              <w:rPr>
                <w:rStyle w:val="Hyperlink"/>
                <w:noProof/>
              </w:rPr>
              <w:t>8.5.2.5</w:t>
            </w:r>
            <w:r w:rsidR="002A7B67">
              <w:rPr>
                <w:rFonts w:eastAsiaTheme="minorEastAsia" w:cstheme="minorBidi"/>
                <w:noProof/>
                <w:kern w:val="2"/>
                <w:sz w:val="22"/>
                <w:szCs w:val="22"/>
                <w:lang w:eastAsia="de-DE"/>
                <w14:ligatures w14:val="standardContextual"/>
              </w:rPr>
              <w:tab/>
            </w:r>
            <w:r w:rsidR="002A7B67" w:rsidRPr="00BA6ED6">
              <w:rPr>
                <w:rStyle w:val="Hyperlink"/>
                <w:noProof/>
              </w:rPr>
              <w:t>„</w:t>
            </w:r>
            <w:r w:rsidR="002A7B67" w:rsidRPr="004832F9">
              <w:rPr>
                <w:rStyle w:val="Hyperlink"/>
                <w:noProof/>
              </w:rPr>
              <w:t>Linkage-Attacke</w:t>
            </w:r>
            <w:r w:rsidR="002A7B67" w:rsidRPr="00BA6ED6">
              <w:rPr>
                <w:rStyle w:val="Hyperlink"/>
                <w:noProof/>
              </w:rPr>
              <w:t>“</w:t>
            </w:r>
            <w:r w:rsidR="002A7B67">
              <w:rPr>
                <w:noProof/>
                <w:webHidden/>
              </w:rPr>
              <w:tab/>
            </w:r>
            <w:r w:rsidR="002A7B67">
              <w:rPr>
                <w:noProof/>
                <w:webHidden/>
              </w:rPr>
              <w:fldChar w:fldCharType="begin"/>
            </w:r>
            <w:r w:rsidR="002A7B67">
              <w:rPr>
                <w:noProof/>
                <w:webHidden/>
              </w:rPr>
              <w:instrText xml:space="preserve"> PAGEREF _Toc154652650 \h </w:instrText>
            </w:r>
            <w:r w:rsidR="002A7B67">
              <w:rPr>
                <w:noProof/>
                <w:webHidden/>
              </w:rPr>
            </w:r>
            <w:r w:rsidR="002A7B67">
              <w:rPr>
                <w:noProof/>
                <w:webHidden/>
              </w:rPr>
              <w:fldChar w:fldCharType="separate"/>
            </w:r>
            <w:r w:rsidR="00C9149F">
              <w:rPr>
                <w:noProof/>
                <w:webHidden/>
              </w:rPr>
              <w:t>57</w:t>
            </w:r>
            <w:r w:rsidR="002A7B67">
              <w:rPr>
                <w:noProof/>
                <w:webHidden/>
              </w:rPr>
              <w:fldChar w:fldCharType="end"/>
            </w:r>
          </w:hyperlink>
        </w:p>
        <w:p w14:paraId="4F7E905A" w14:textId="4CAC43AC" w:rsidR="002A7B67" w:rsidRDefault="00000000">
          <w:pPr>
            <w:pStyle w:val="Verzeichnis4"/>
            <w:rPr>
              <w:rFonts w:eastAsiaTheme="minorEastAsia" w:cstheme="minorBidi"/>
              <w:noProof/>
              <w:kern w:val="2"/>
              <w:sz w:val="22"/>
              <w:szCs w:val="22"/>
              <w:lang w:eastAsia="de-DE"/>
              <w14:ligatures w14:val="standardContextual"/>
            </w:rPr>
          </w:pPr>
          <w:hyperlink w:anchor="_Toc154652651" w:history="1">
            <w:r w:rsidR="002A7B67" w:rsidRPr="00BA6ED6">
              <w:rPr>
                <w:rStyle w:val="Hyperlink"/>
                <w:noProof/>
              </w:rPr>
              <w:t>8.5.2.6</w:t>
            </w:r>
            <w:r w:rsidR="002A7B67">
              <w:rPr>
                <w:rFonts w:eastAsiaTheme="minorEastAsia" w:cstheme="minorBidi"/>
                <w:noProof/>
                <w:kern w:val="2"/>
                <w:sz w:val="22"/>
                <w:szCs w:val="22"/>
                <w:lang w:eastAsia="de-DE"/>
                <w14:ligatures w14:val="standardContextual"/>
              </w:rPr>
              <w:tab/>
            </w:r>
            <w:r w:rsidR="002A7B67" w:rsidRPr="00BA6ED6">
              <w:rPr>
                <w:rStyle w:val="Hyperlink"/>
                <w:noProof/>
              </w:rPr>
              <w:t>Homogenitätsangriff</w:t>
            </w:r>
            <w:r w:rsidR="002A7B67">
              <w:rPr>
                <w:noProof/>
                <w:webHidden/>
              </w:rPr>
              <w:tab/>
            </w:r>
            <w:r w:rsidR="002A7B67">
              <w:rPr>
                <w:noProof/>
                <w:webHidden/>
              </w:rPr>
              <w:fldChar w:fldCharType="begin"/>
            </w:r>
            <w:r w:rsidR="002A7B67">
              <w:rPr>
                <w:noProof/>
                <w:webHidden/>
              </w:rPr>
              <w:instrText xml:space="preserve"> PAGEREF _Toc154652651 \h </w:instrText>
            </w:r>
            <w:r w:rsidR="002A7B67">
              <w:rPr>
                <w:noProof/>
                <w:webHidden/>
              </w:rPr>
            </w:r>
            <w:r w:rsidR="002A7B67">
              <w:rPr>
                <w:noProof/>
                <w:webHidden/>
              </w:rPr>
              <w:fldChar w:fldCharType="separate"/>
            </w:r>
            <w:r w:rsidR="00C9149F">
              <w:rPr>
                <w:noProof/>
                <w:webHidden/>
              </w:rPr>
              <w:t>59</w:t>
            </w:r>
            <w:r w:rsidR="002A7B67">
              <w:rPr>
                <w:noProof/>
                <w:webHidden/>
              </w:rPr>
              <w:fldChar w:fldCharType="end"/>
            </w:r>
          </w:hyperlink>
        </w:p>
        <w:p w14:paraId="4574AC9B" w14:textId="48D1AF7C" w:rsidR="002A7B67" w:rsidRDefault="00000000">
          <w:pPr>
            <w:pStyle w:val="Verzeichnis3"/>
            <w:rPr>
              <w:rFonts w:eastAsiaTheme="minorEastAsia" w:cstheme="minorBidi"/>
              <w:noProof/>
              <w:kern w:val="2"/>
              <w:sz w:val="22"/>
              <w:szCs w:val="22"/>
              <w:lang w:eastAsia="de-DE"/>
              <w14:ligatures w14:val="standardContextual"/>
            </w:rPr>
          </w:pPr>
          <w:hyperlink w:anchor="_Toc154652652" w:history="1">
            <w:r w:rsidR="002A7B67" w:rsidRPr="00BA6ED6">
              <w:rPr>
                <w:rStyle w:val="Hyperlink"/>
                <w:noProof/>
              </w:rPr>
              <w:t>8.5.3</w:t>
            </w:r>
            <w:r w:rsidR="002A7B67">
              <w:rPr>
                <w:rFonts w:eastAsiaTheme="minorEastAsia" w:cstheme="minorBidi"/>
                <w:noProof/>
                <w:kern w:val="2"/>
                <w:sz w:val="22"/>
                <w:szCs w:val="22"/>
                <w:lang w:eastAsia="de-DE"/>
                <w14:ligatures w14:val="standardContextual"/>
              </w:rPr>
              <w:tab/>
            </w:r>
            <w:r w:rsidR="002A7B67" w:rsidRPr="00BA6ED6">
              <w:rPr>
                <w:rStyle w:val="Hyperlink"/>
                <w:noProof/>
              </w:rPr>
              <w:t>Grundbedingungen für eine Prüfung</w:t>
            </w:r>
            <w:r w:rsidR="002A7B67">
              <w:rPr>
                <w:noProof/>
                <w:webHidden/>
              </w:rPr>
              <w:tab/>
            </w:r>
            <w:r w:rsidR="002A7B67">
              <w:rPr>
                <w:noProof/>
                <w:webHidden/>
              </w:rPr>
              <w:fldChar w:fldCharType="begin"/>
            </w:r>
            <w:r w:rsidR="002A7B67">
              <w:rPr>
                <w:noProof/>
                <w:webHidden/>
              </w:rPr>
              <w:instrText xml:space="preserve"> PAGEREF _Toc154652652 \h </w:instrText>
            </w:r>
            <w:r w:rsidR="002A7B67">
              <w:rPr>
                <w:noProof/>
                <w:webHidden/>
              </w:rPr>
            </w:r>
            <w:r w:rsidR="002A7B67">
              <w:rPr>
                <w:noProof/>
                <w:webHidden/>
              </w:rPr>
              <w:fldChar w:fldCharType="separate"/>
            </w:r>
            <w:r w:rsidR="00C9149F">
              <w:rPr>
                <w:noProof/>
                <w:webHidden/>
              </w:rPr>
              <w:t>59</w:t>
            </w:r>
            <w:r w:rsidR="002A7B67">
              <w:rPr>
                <w:noProof/>
                <w:webHidden/>
              </w:rPr>
              <w:fldChar w:fldCharType="end"/>
            </w:r>
          </w:hyperlink>
        </w:p>
        <w:p w14:paraId="280E7CF8" w14:textId="0A7AAB99" w:rsidR="002A7B67" w:rsidRDefault="00000000">
          <w:pPr>
            <w:pStyle w:val="Verzeichnis3"/>
            <w:rPr>
              <w:rFonts w:eastAsiaTheme="minorEastAsia" w:cstheme="minorBidi"/>
              <w:noProof/>
              <w:kern w:val="2"/>
              <w:sz w:val="22"/>
              <w:szCs w:val="22"/>
              <w:lang w:eastAsia="de-DE"/>
              <w14:ligatures w14:val="standardContextual"/>
            </w:rPr>
          </w:pPr>
          <w:hyperlink w:anchor="_Toc154652653" w:history="1">
            <w:r w:rsidR="002A7B67" w:rsidRPr="00BA6ED6">
              <w:rPr>
                <w:rStyle w:val="Hyperlink"/>
                <w:noProof/>
              </w:rPr>
              <w:t>8.5.4</w:t>
            </w:r>
            <w:r w:rsidR="002A7B67">
              <w:rPr>
                <w:rFonts w:eastAsiaTheme="minorEastAsia" w:cstheme="minorBidi"/>
                <w:noProof/>
                <w:kern w:val="2"/>
                <w:sz w:val="22"/>
                <w:szCs w:val="22"/>
                <w:lang w:eastAsia="de-DE"/>
                <w14:ligatures w14:val="standardContextual"/>
              </w:rPr>
              <w:tab/>
            </w:r>
            <w:r w:rsidR="002A7B67" w:rsidRPr="00BA6ED6">
              <w:rPr>
                <w:rStyle w:val="Hyperlink"/>
                <w:noProof/>
              </w:rPr>
              <w:t>Risikobewertung ist erforderlich</w:t>
            </w:r>
            <w:r w:rsidR="002A7B67">
              <w:rPr>
                <w:noProof/>
                <w:webHidden/>
              </w:rPr>
              <w:tab/>
            </w:r>
            <w:r w:rsidR="002A7B67" w:rsidRPr="004832F9">
              <w:rPr>
                <w:noProof/>
                <w:webHidden/>
              </w:rPr>
              <w:fldChar w:fldCharType="begin"/>
            </w:r>
            <w:r w:rsidR="002A7B67" w:rsidRPr="004832F9">
              <w:rPr>
                <w:noProof/>
                <w:webHidden/>
              </w:rPr>
              <w:instrText xml:space="preserve"> PAGEREF _Toc154652653 \h </w:instrText>
            </w:r>
            <w:r w:rsidR="002A7B67" w:rsidRPr="004832F9">
              <w:rPr>
                <w:noProof/>
                <w:webHidden/>
              </w:rPr>
            </w:r>
            <w:r w:rsidR="002A7B67" w:rsidRPr="004832F9">
              <w:rPr>
                <w:noProof/>
                <w:webHidden/>
              </w:rPr>
              <w:fldChar w:fldCharType="separate"/>
            </w:r>
            <w:r w:rsidR="00C9149F">
              <w:rPr>
                <w:noProof/>
                <w:webHidden/>
              </w:rPr>
              <w:t>60</w:t>
            </w:r>
            <w:r w:rsidR="002A7B67" w:rsidRPr="004832F9">
              <w:rPr>
                <w:noProof/>
                <w:webHidden/>
              </w:rPr>
              <w:fldChar w:fldCharType="end"/>
            </w:r>
          </w:hyperlink>
        </w:p>
        <w:p w14:paraId="4EDCF495" w14:textId="7117EB0B" w:rsidR="002A7B67" w:rsidRDefault="00000000">
          <w:pPr>
            <w:pStyle w:val="Verzeichnis3"/>
            <w:rPr>
              <w:rFonts w:eastAsiaTheme="minorEastAsia" w:cstheme="minorBidi"/>
              <w:noProof/>
              <w:kern w:val="2"/>
              <w:sz w:val="22"/>
              <w:szCs w:val="22"/>
              <w:lang w:eastAsia="de-DE"/>
              <w14:ligatures w14:val="standardContextual"/>
            </w:rPr>
          </w:pPr>
          <w:hyperlink w:anchor="_Toc154652654" w:history="1">
            <w:r w:rsidR="002A7B67" w:rsidRPr="00BA6ED6">
              <w:rPr>
                <w:rStyle w:val="Hyperlink"/>
                <w:noProof/>
              </w:rPr>
              <w:t>8.5.5</w:t>
            </w:r>
            <w:r w:rsidR="002A7B67">
              <w:rPr>
                <w:rFonts w:eastAsiaTheme="minorEastAsia" w:cstheme="minorBidi"/>
                <w:noProof/>
                <w:kern w:val="2"/>
                <w:sz w:val="22"/>
                <w:szCs w:val="22"/>
                <w:lang w:eastAsia="de-DE"/>
                <w14:ligatures w14:val="standardContextual"/>
              </w:rPr>
              <w:tab/>
            </w:r>
            <w:r w:rsidR="002A7B67" w:rsidRPr="00BA6ED6">
              <w:rPr>
                <w:rStyle w:val="Hyperlink"/>
                <w:noProof/>
              </w:rPr>
              <w:t>Angreifermodell</w:t>
            </w:r>
            <w:r w:rsidR="002A7B67">
              <w:rPr>
                <w:noProof/>
                <w:webHidden/>
              </w:rPr>
              <w:tab/>
            </w:r>
            <w:r w:rsidR="002A7B67">
              <w:rPr>
                <w:noProof/>
                <w:webHidden/>
              </w:rPr>
              <w:fldChar w:fldCharType="begin"/>
            </w:r>
            <w:r w:rsidR="002A7B67">
              <w:rPr>
                <w:noProof/>
                <w:webHidden/>
              </w:rPr>
              <w:instrText xml:space="preserve"> PAGEREF _Toc154652654 \h </w:instrText>
            </w:r>
            <w:r w:rsidR="002A7B67">
              <w:rPr>
                <w:noProof/>
                <w:webHidden/>
              </w:rPr>
            </w:r>
            <w:r w:rsidR="002A7B67">
              <w:rPr>
                <w:noProof/>
                <w:webHidden/>
              </w:rPr>
              <w:fldChar w:fldCharType="separate"/>
            </w:r>
            <w:r w:rsidR="00C9149F">
              <w:rPr>
                <w:noProof/>
                <w:webHidden/>
              </w:rPr>
              <w:t>61</w:t>
            </w:r>
            <w:r w:rsidR="002A7B67">
              <w:rPr>
                <w:noProof/>
                <w:webHidden/>
              </w:rPr>
              <w:fldChar w:fldCharType="end"/>
            </w:r>
          </w:hyperlink>
        </w:p>
        <w:p w14:paraId="0D9FE4B4" w14:textId="3A6BB49D" w:rsidR="002A7B67" w:rsidRDefault="00000000">
          <w:pPr>
            <w:pStyle w:val="Verzeichnis3"/>
            <w:rPr>
              <w:rFonts w:eastAsiaTheme="minorEastAsia" w:cstheme="minorBidi"/>
              <w:noProof/>
              <w:kern w:val="2"/>
              <w:sz w:val="22"/>
              <w:szCs w:val="22"/>
              <w:lang w:eastAsia="de-DE"/>
              <w14:ligatures w14:val="standardContextual"/>
            </w:rPr>
          </w:pPr>
          <w:hyperlink w:anchor="_Toc154652655" w:history="1">
            <w:r w:rsidR="002A7B67" w:rsidRPr="00BA6ED6">
              <w:rPr>
                <w:rStyle w:val="Hyperlink"/>
                <w:noProof/>
              </w:rPr>
              <w:t>8.5.6</w:t>
            </w:r>
            <w:r w:rsidR="002A7B67">
              <w:rPr>
                <w:rFonts w:eastAsiaTheme="minorEastAsia" w:cstheme="minorBidi"/>
                <w:noProof/>
                <w:kern w:val="2"/>
                <w:sz w:val="22"/>
                <w:szCs w:val="22"/>
                <w:lang w:eastAsia="de-DE"/>
                <w14:ligatures w14:val="standardContextual"/>
              </w:rPr>
              <w:tab/>
            </w:r>
            <w:r w:rsidR="002A7B67" w:rsidRPr="00BA6ED6">
              <w:rPr>
                <w:rStyle w:val="Hyperlink"/>
                <w:noProof/>
              </w:rPr>
              <w:t>Kennzahlen zur Beurteilung der Güte einer Pseudonymisierung/Anonymisierung</w:t>
            </w:r>
            <w:r w:rsidR="002A7B67">
              <w:rPr>
                <w:noProof/>
                <w:webHidden/>
              </w:rPr>
              <w:tab/>
            </w:r>
            <w:r w:rsidR="002A7B67">
              <w:rPr>
                <w:noProof/>
                <w:webHidden/>
              </w:rPr>
              <w:fldChar w:fldCharType="begin"/>
            </w:r>
            <w:r w:rsidR="002A7B67">
              <w:rPr>
                <w:noProof/>
                <w:webHidden/>
              </w:rPr>
              <w:instrText xml:space="preserve"> PAGEREF _Toc154652655 \h </w:instrText>
            </w:r>
            <w:r w:rsidR="002A7B67">
              <w:rPr>
                <w:noProof/>
                <w:webHidden/>
              </w:rPr>
            </w:r>
            <w:r w:rsidR="002A7B67">
              <w:rPr>
                <w:noProof/>
                <w:webHidden/>
              </w:rPr>
              <w:fldChar w:fldCharType="separate"/>
            </w:r>
            <w:r w:rsidR="00C9149F">
              <w:rPr>
                <w:noProof/>
                <w:webHidden/>
              </w:rPr>
              <w:t>61</w:t>
            </w:r>
            <w:r w:rsidR="002A7B67">
              <w:rPr>
                <w:noProof/>
                <w:webHidden/>
              </w:rPr>
              <w:fldChar w:fldCharType="end"/>
            </w:r>
          </w:hyperlink>
        </w:p>
        <w:p w14:paraId="4A15886F" w14:textId="69CCE8F8" w:rsidR="002A7B67" w:rsidRDefault="00000000" w:rsidP="00A824A4">
          <w:pPr>
            <w:pStyle w:val="Verzeichnis2"/>
            <w:rPr>
              <w:rFonts w:eastAsiaTheme="minorEastAsia" w:cstheme="minorBidi"/>
              <w:noProof/>
              <w:kern w:val="2"/>
              <w:lang w:eastAsia="de-DE"/>
              <w14:ligatures w14:val="standardContextual"/>
            </w:rPr>
          </w:pPr>
          <w:hyperlink w:anchor="_Toc154652656" w:history="1">
            <w:r w:rsidR="002A7B67" w:rsidRPr="00BA6ED6">
              <w:rPr>
                <w:rStyle w:val="Hyperlink"/>
                <w:noProof/>
              </w:rPr>
              <w:t>8.6</w:t>
            </w:r>
            <w:r w:rsidR="002A7B67">
              <w:rPr>
                <w:rFonts w:eastAsiaTheme="minorEastAsia" w:cstheme="minorBidi"/>
                <w:noProof/>
                <w:kern w:val="2"/>
                <w:lang w:eastAsia="de-DE"/>
                <w14:ligatures w14:val="standardContextual"/>
              </w:rPr>
              <w:tab/>
            </w:r>
            <w:r w:rsidR="002A7B67" w:rsidRPr="00BA6ED6">
              <w:rPr>
                <w:rStyle w:val="Hyperlink"/>
                <w:noProof/>
              </w:rPr>
              <w:t>Aufbau und Struktur einer Verfahrensbeschreibung</w:t>
            </w:r>
            <w:r w:rsidR="002A7B67">
              <w:rPr>
                <w:noProof/>
                <w:webHidden/>
              </w:rPr>
              <w:tab/>
            </w:r>
            <w:r w:rsidR="002A7B67">
              <w:rPr>
                <w:noProof/>
                <w:webHidden/>
              </w:rPr>
              <w:fldChar w:fldCharType="begin"/>
            </w:r>
            <w:r w:rsidR="002A7B67">
              <w:rPr>
                <w:noProof/>
                <w:webHidden/>
              </w:rPr>
              <w:instrText xml:space="preserve"> PAGEREF _Toc154652656 \h </w:instrText>
            </w:r>
            <w:r w:rsidR="002A7B67">
              <w:rPr>
                <w:noProof/>
                <w:webHidden/>
              </w:rPr>
            </w:r>
            <w:r w:rsidR="002A7B67">
              <w:rPr>
                <w:noProof/>
                <w:webHidden/>
              </w:rPr>
              <w:fldChar w:fldCharType="separate"/>
            </w:r>
            <w:r w:rsidR="00C9149F">
              <w:rPr>
                <w:noProof/>
                <w:webHidden/>
              </w:rPr>
              <w:t>63</w:t>
            </w:r>
            <w:r w:rsidR="002A7B67">
              <w:rPr>
                <w:noProof/>
                <w:webHidden/>
              </w:rPr>
              <w:fldChar w:fldCharType="end"/>
            </w:r>
          </w:hyperlink>
        </w:p>
        <w:p w14:paraId="371FE942" w14:textId="7FE8335B"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657" w:history="1">
            <w:r w:rsidR="002A7B67" w:rsidRPr="00BA6ED6">
              <w:rPr>
                <w:rStyle w:val="Hyperlink"/>
                <w:noProof/>
              </w:rPr>
              <w:t>9</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lang w:val="en-US"/>
              </w:rPr>
              <w:t>Frequently Asked Questions</w:t>
            </w:r>
            <w:r w:rsidR="002A7B67" w:rsidRPr="00BA6ED6">
              <w:rPr>
                <w:rStyle w:val="Hyperlink"/>
                <w:noProof/>
              </w:rPr>
              <w:t xml:space="preserve"> (FAQ)</w:t>
            </w:r>
            <w:r w:rsidR="002A7B67">
              <w:rPr>
                <w:noProof/>
                <w:webHidden/>
              </w:rPr>
              <w:tab/>
            </w:r>
            <w:r w:rsidR="002A7B67">
              <w:rPr>
                <w:noProof/>
                <w:webHidden/>
              </w:rPr>
              <w:fldChar w:fldCharType="begin"/>
            </w:r>
            <w:r w:rsidR="002A7B67">
              <w:rPr>
                <w:noProof/>
                <w:webHidden/>
              </w:rPr>
              <w:instrText xml:space="preserve"> PAGEREF _Toc154652657 \h </w:instrText>
            </w:r>
            <w:r w:rsidR="002A7B67">
              <w:rPr>
                <w:noProof/>
                <w:webHidden/>
              </w:rPr>
            </w:r>
            <w:r w:rsidR="002A7B67">
              <w:rPr>
                <w:noProof/>
                <w:webHidden/>
              </w:rPr>
              <w:fldChar w:fldCharType="separate"/>
            </w:r>
            <w:r w:rsidR="00C9149F">
              <w:rPr>
                <w:noProof/>
                <w:webHidden/>
              </w:rPr>
              <w:t>67</w:t>
            </w:r>
            <w:r w:rsidR="002A7B67">
              <w:rPr>
                <w:noProof/>
                <w:webHidden/>
              </w:rPr>
              <w:fldChar w:fldCharType="end"/>
            </w:r>
          </w:hyperlink>
        </w:p>
        <w:p w14:paraId="5E446822" w14:textId="778BCF36" w:rsidR="002A7B67" w:rsidRDefault="00000000" w:rsidP="00A824A4">
          <w:pPr>
            <w:pStyle w:val="Verzeichnis2"/>
            <w:rPr>
              <w:rFonts w:eastAsiaTheme="minorEastAsia" w:cstheme="minorBidi"/>
              <w:noProof/>
              <w:kern w:val="2"/>
              <w:lang w:eastAsia="de-DE"/>
              <w14:ligatures w14:val="standardContextual"/>
            </w:rPr>
          </w:pPr>
          <w:hyperlink w:anchor="_Toc154652658" w:history="1">
            <w:r w:rsidR="002A7B67" w:rsidRPr="00BA6ED6">
              <w:rPr>
                <w:rStyle w:val="Hyperlink"/>
                <w:noProof/>
              </w:rPr>
              <w:t>9.1</w:t>
            </w:r>
            <w:r w:rsidR="002A7B67">
              <w:rPr>
                <w:rFonts w:eastAsiaTheme="minorEastAsia" w:cstheme="minorBidi"/>
                <w:noProof/>
                <w:kern w:val="2"/>
                <w:lang w:eastAsia="de-DE"/>
                <w14:ligatures w14:val="standardContextual"/>
              </w:rPr>
              <w:tab/>
            </w:r>
            <w:r w:rsidR="002A7B67" w:rsidRPr="00BA6ED6">
              <w:rPr>
                <w:rStyle w:val="Hyperlink"/>
                <w:noProof/>
              </w:rPr>
              <w:t>Kann eine juristische Person mehrere Verantwortliche haben?</w:t>
            </w:r>
            <w:r w:rsidR="002A7B67">
              <w:rPr>
                <w:noProof/>
                <w:webHidden/>
              </w:rPr>
              <w:tab/>
            </w:r>
            <w:r w:rsidR="002A7B67" w:rsidRPr="004832F9">
              <w:rPr>
                <w:noProof/>
                <w:webHidden/>
              </w:rPr>
              <w:fldChar w:fldCharType="begin"/>
            </w:r>
            <w:r w:rsidR="002A7B67" w:rsidRPr="004832F9">
              <w:rPr>
                <w:noProof/>
                <w:webHidden/>
              </w:rPr>
              <w:instrText xml:space="preserve"> PAGEREF _Toc154652658 \h </w:instrText>
            </w:r>
            <w:r w:rsidR="002A7B67" w:rsidRPr="004832F9">
              <w:rPr>
                <w:noProof/>
                <w:webHidden/>
              </w:rPr>
            </w:r>
            <w:r w:rsidR="002A7B67" w:rsidRPr="004832F9">
              <w:rPr>
                <w:noProof/>
                <w:webHidden/>
              </w:rPr>
              <w:fldChar w:fldCharType="separate"/>
            </w:r>
            <w:r w:rsidR="00C9149F">
              <w:rPr>
                <w:noProof/>
                <w:webHidden/>
              </w:rPr>
              <w:t>67</w:t>
            </w:r>
            <w:r w:rsidR="002A7B67" w:rsidRPr="004832F9">
              <w:rPr>
                <w:noProof/>
                <w:webHidden/>
              </w:rPr>
              <w:fldChar w:fldCharType="end"/>
            </w:r>
          </w:hyperlink>
        </w:p>
        <w:p w14:paraId="015BD46B" w14:textId="26E81E9E" w:rsidR="002A7B67" w:rsidRDefault="00000000" w:rsidP="00A824A4">
          <w:pPr>
            <w:pStyle w:val="Verzeichnis2"/>
            <w:rPr>
              <w:rFonts w:eastAsiaTheme="minorEastAsia" w:cstheme="minorBidi"/>
              <w:noProof/>
              <w:kern w:val="2"/>
              <w:lang w:eastAsia="de-DE"/>
              <w14:ligatures w14:val="standardContextual"/>
            </w:rPr>
          </w:pPr>
          <w:hyperlink w:anchor="_Toc154652659" w:history="1">
            <w:r w:rsidR="002A7B67" w:rsidRPr="00BA6ED6">
              <w:rPr>
                <w:rStyle w:val="Hyperlink"/>
                <w:noProof/>
              </w:rPr>
              <w:t>9.2</w:t>
            </w:r>
            <w:r w:rsidR="002A7B67">
              <w:rPr>
                <w:rFonts w:eastAsiaTheme="minorEastAsia" w:cstheme="minorBidi"/>
                <w:noProof/>
                <w:kern w:val="2"/>
                <w:lang w:eastAsia="de-DE"/>
                <w14:ligatures w14:val="standardContextual"/>
              </w:rPr>
              <w:tab/>
            </w:r>
            <w:r w:rsidR="002A7B67" w:rsidRPr="00BA6ED6">
              <w:rPr>
                <w:rStyle w:val="Hyperlink"/>
                <w:noProof/>
              </w:rPr>
              <w:t>Muss ich anonyme Daten, die ich bekomme, auf Anonymität prüfen?</w:t>
            </w:r>
            <w:r w:rsidR="002A7B67">
              <w:rPr>
                <w:noProof/>
                <w:webHidden/>
              </w:rPr>
              <w:tab/>
            </w:r>
            <w:r w:rsidR="002A7B67" w:rsidRPr="004832F9">
              <w:rPr>
                <w:noProof/>
                <w:webHidden/>
              </w:rPr>
              <w:fldChar w:fldCharType="begin"/>
            </w:r>
            <w:r w:rsidR="002A7B67" w:rsidRPr="004832F9">
              <w:rPr>
                <w:noProof/>
                <w:webHidden/>
              </w:rPr>
              <w:instrText xml:space="preserve"> PAGEREF _Toc154652659 \h </w:instrText>
            </w:r>
            <w:r w:rsidR="002A7B67" w:rsidRPr="004832F9">
              <w:rPr>
                <w:noProof/>
                <w:webHidden/>
              </w:rPr>
            </w:r>
            <w:r w:rsidR="002A7B67" w:rsidRPr="004832F9">
              <w:rPr>
                <w:noProof/>
                <w:webHidden/>
              </w:rPr>
              <w:fldChar w:fldCharType="separate"/>
            </w:r>
            <w:r w:rsidR="00C9149F">
              <w:rPr>
                <w:noProof/>
                <w:webHidden/>
              </w:rPr>
              <w:t>67</w:t>
            </w:r>
            <w:r w:rsidR="002A7B67" w:rsidRPr="004832F9">
              <w:rPr>
                <w:noProof/>
                <w:webHidden/>
              </w:rPr>
              <w:fldChar w:fldCharType="end"/>
            </w:r>
          </w:hyperlink>
        </w:p>
        <w:p w14:paraId="3AF0CE36" w14:textId="73C3A3B5" w:rsidR="002A7B67" w:rsidRDefault="00000000" w:rsidP="00A824A4">
          <w:pPr>
            <w:pStyle w:val="Verzeichnis2"/>
            <w:rPr>
              <w:rFonts w:eastAsiaTheme="minorEastAsia" w:cstheme="minorBidi"/>
              <w:noProof/>
              <w:kern w:val="2"/>
              <w:lang w:eastAsia="de-DE"/>
              <w14:ligatures w14:val="standardContextual"/>
            </w:rPr>
          </w:pPr>
          <w:hyperlink w:anchor="_Toc154652660" w:history="1">
            <w:r w:rsidR="002A7B67" w:rsidRPr="00BA6ED6">
              <w:rPr>
                <w:rStyle w:val="Hyperlink"/>
                <w:noProof/>
              </w:rPr>
              <w:t>9.3</w:t>
            </w:r>
            <w:r w:rsidR="002A7B67">
              <w:rPr>
                <w:rFonts w:eastAsiaTheme="minorEastAsia" w:cstheme="minorBidi"/>
                <w:noProof/>
                <w:kern w:val="2"/>
                <w:lang w:eastAsia="de-DE"/>
                <w14:ligatures w14:val="standardContextual"/>
              </w:rPr>
              <w:tab/>
            </w:r>
            <w:r w:rsidR="002A7B67" w:rsidRPr="00BA6ED6">
              <w:rPr>
                <w:rStyle w:val="Hyperlink"/>
                <w:noProof/>
              </w:rPr>
              <w:t>Darf eine Anonymisierung umkehrbar sein?</w:t>
            </w:r>
            <w:r w:rsidR="002A7B67">
              <w:rPr>
                <w:noProof/>
                <w:webHidden/>
              </w:rPr>
              <w:tab/>
            </w:r>
            <w:r w:rsidR="002A7B67" w:rsidRPr="004832F9">
              <w:rPr>
                <w:noProof/>
                <w:webHidden/>
              </w:rPr>
              <w:fldChar w:fldCharType="begin"/>
            </w:r>
            <w:r w:rsidR="002A7B67" w:rsidRPr="004832F9">
              <w:rPr>
                <w:noProof/>
                <w:webHidden/>
              </w:rPr>
              <w:instrText xml:space="preserve"> PAGEREF _Toc154652660 \h </w:instrText>
            </w:r>
            <w:r w:rsidR="002A7B67" w:rsidRPr="004832F9">
              <w:rPr>
                <w:noProof/>
                <w:webHidden/>
              </w:rPr>
            </w:r>
            <w:r w:rsidR="002A7B67" w:rsidRPr="004832F9">
              <w:rPr>
                <w:noProof/>
                <w:webHidden/>
              </w:rPr>
              <w:fldChar w:fldCharType="separate"/>
            </w:r>
            <w:r w:rsidR="00C9149F">
              <w:rPr>
                <w:noProof/>
                <w:webHidden/>
              </w:rPr>
              <w:t>68</w:t>
            </w:r>
            <w:r w:rsidR="002A7B67" w:rsidRPr="004832F9">
              <w:rPr>
                <w:noProof/>
                <w:webHidden/>
              </w:rPr>
              <w:fldChar w:fldCharType="end"/>
            </w:r>
          </w:hyperlink>
        </w:p>
        <w:p w14:paraId="4323B014" w14:textId="10561E68" w:rsidR="002A7B67" w:rsidRDefault="00000000" w:rsidP="00A824A4">
          <w:pPr>
            <w:pStyle w:val="Verzeichnis2"/>
            <w:rPr>
              <w:rFonts w:eastAsiaTheme="minorEastAsia" w:cstheme="minorBidi"/>
              <w:noProof/>
              <w:kern w:val="2"/>
              <w:lang w:eastAsia="de-DE"/>
              <w14:ligatures w14:val="standardContextual"/>
            </w:rPr>
          </w:pPr>
          <w:hyperlink w:anchor="_Toc154652661" w:history="1">
            <w:r w:rsidR="002A7B67" w:rsidRPr="00BA6ED6">
              <w:rPr>
                <w:rStyle w:val="Hyperlink"/>
                <w:noProof/>
              </w:rPr>
              <w:t>9.4</w:t>
            </w:r>
            <w:r w:rsidR="002A7B67">
              <w:rPr>
                <w:rFonts w:eastAsiaTheme="minorEastAsia" w:cstheme="minorBidi"/>
                <w:noProof/>
                <w:kern w:val="2"/>
                <w:lang w:eastAsia="de-DE"/>
                <w14:ligatures w14:val="standardContextual"/>
              </w:rPr>
              <w:tab/>
            </w:r>
            <w:r w:rsidR="002A7B67" w:rsidRPr="00BA6ED6">
              <w:rPr>
                <w:rStyle w:val="Hyperlink"/>
                <w:noProof/>
              </w:rPr>
              <w:t>Absolute oder relative Anonymisierung</w:t>
            </w:r>
            <w:r w:rsidR="002A7B67">
              <w:rPr>
                <w:noProof/>
                <w:webHidden/>
              </w:rPr>
              <w:tab/>
            </w:r>
            <w:r w:rsidR="002A7B67">
              <w:rPr>
                <w:noProof/>
                <w:webHidden/>
              </w:rPr>
              <w:fldChar w:fldCharType="begin"/>
            </w:r>
            <w:r w:rsidR="002A7B67">
              <w:rPr>
                <w:noProof/>
                <w:webHidden/>
              </w:rPr>
              <w:instrText xml:space="preserve"> PAGEREF _Toc154652661 \h </w:instrText>
            </w:r>
            <w:r w:rsidR="002A7B67">
              <w:rPr>
                <w:noProof/>
                <w:webHidden/>
              </w:rPr>
            </w:r>
            <w:r w:rsidR="002A7B67">
              <w:rPr>
                <w:noProof/>
                <w:webHidden/>
              </w:rPr>
              <w:fldChar w:fldCharType="separate"/>
            </w:r>
            <w:r w:rsidR="00C9149F">
              <w:rPr>
                <w:noProof/>
                <w:webHidden/>
              </w:rPr>
              <w:t>68</w:t>
            </w:r>
            <w:r w:rsidR="002A7B67">
              <w:rPr>
                <w:noProof/>
                <w:webHidden/>
              </w:rPr>
              <w:fldChar w:fldCharType="end"/>
            </w:r>
          </w:hyperlink>
        </w:p>
        <w:p w14:paraId="4B26D8FD" w14:textId="24B86F15" w:rsidR="002A7B67" w:rsidRDefault="00000000">
          <w:pPr>
            <w:pStyle w:val="Verzeichnis3"/>
            <w:rPr>
              <w:rFonts w:eastAsiaTheme="minorEastAsia" w:cstheme="minorBidi"/>
              <w:noProof/>
              <w:kern w:val="2"/>
              <w:sz w:val="22"/>
              <w:szCs w:val="22"/>
              <w:lang w:eastAsia="de-DE"/>
              <w14:ligatures w14:val="standardContextual"/>
            </w:rPr>
          </w:pPr>
          <w:hyperlink w:anchor="_Toc154652662" w:history="1">
            <w:r w:rsidR="002A7B67" w:rsidRPr="00BA6ED6">
              <w:rPr>
                <w:rStyle w:val="Hyperlink"/>
                <w:noProof/>
              </w:rPr>
              <w:t>9.4.1</w:t>
            </w:r>
            <w:r w:rsidR="002A7B67">
              <w:rPr>
                <w:rFonts w:eastAsiaTheme="minorEastAsia" w:cstheme="minorBidi"/>
                <w:noProof/>
                <w:kern w:val="2"/>
                <w:sz w:val="22"/>
                <w:szCs w:val="22"/>
                <w:lang w:eastAsia="de-DE"/>
                <w14:ligatures w14:val="standardContextual"/>
              </w:rPr>
              <w:tab/>
            </w:r>
            <w:r w:rsidR="002A7B67" w:rsidRPr="00BA6ED6">
              <w:rPr>
                <w:rStyle w:val="Hyperlink"/>
                <w:noProof/>
              </w:rPr>
              <w:t>Argumentation bzgl. absoluter Anonymität</w:t>
            </w:r>
            <w:r w:rsidR="002A7B67">
              <w:rPr>
                <w:noProof/>
                <w:webHidden/>
              </w:rPr>
              <w:tab/>
            </w:r>
            <w:r w:rsidR="002A7B67">
              <w:rPr>
                <w:noProof/>
                <w:webHidden/>
              </w:rPr>
              <w:fldChar w:fldCharType="begin"/>
            </w:r>
            <w:r w:rsidR="002A7B67">
              <w:rPr>
                <w:noProof/>
                <w:webHidden/>
              </w:rPr>
              <w:instrText xml:space="preserve"> PAGEREF _Toc154652662 \h </w:instrText>
            </w:r>
            <w:r w:rsidR="002A7B67">
              <w:rPr>
                <w:noProof/>
                <w:webHidden/>
              </w:rPr>
            </w:r>
            <w:r w:rsidR="002A7B67">
              <w:rPr>
                <w:noProof/>
                <w:webHidden/>
              </w:rPr>
              <w:fldChar w:fldCharType="separate"/>
            </w:r>
            <w:r w:rsidR="00C9149F">
              <w:rPr>
                <w:noProof/>
                <w:webHidden/>
              </w:rPr>
              <w:t>69</w:t>
            </w:r>
            <w:r w:rsidR="002A7B67">
              <w:rPr>
                <w:noProof/>
                <w:webHidden/>
              </w:rPr>
              <w:fldChar w:fldCharType="end"/>
            </w:r>
          </w:hyperlink>
        </w:p>
        <w:p w14:paraId="2C5F4711" w14:textId="51F2446C" w:rsidR="002A7B67" w:rsidRDefault="00000000">
          <w:pPr>
            <w:pStyle w:val="Verzeichnis3"/>
            <w:rPr>
              <w:rFonts w:eastAsiaTheme="minorEastAsia" w:cstheme="minorBidi"/>
              <w:noProof/>
              <w:kern w:val="2"/>
              <w:sz w:val="22"/>
              <w:szCs w:val="22"/>
              <w:lang w:eastAsia="de-DE"/>
              <w14:ligatures w14:val="standardContextual"/>
            </w:rPr>
          </w:pPr>
          <w:hyperlink w:anchor="_Toc154652663" w:history="1">
            <w:r w:rsidR="002A7B67" w:rsidRPr="00BA6ED6">
              <w:rPr>
                <w:rStyle w:val="Hyperlink"/>
                <w:noProof/>
              </w:rPr>
              <w:t>9.4.2</w:t>
            </w:r>
            <w:r w:rsidR="002A7B67">
              <w:rPr>
                <w:rFonts w:eastAsiaTheme="minorEastAsia" w:cstheme="minorBidi"/>
                <w:noProof/>
                <w:kern w:val="2"/>
                <w:sz w:val="22"/>
                <w:szCs w:val="22"/>
                <w:lang w:eastAsia="de-DE"/>
                <w14:ligatures w14:val="standardContextual"/>
              </w:rPr>
              <w:tab/>
            </w:r>
            <w:r w:rsidR="002A7B67" w:rsidRPr="00BA6ED6">
              <w:rPr>
                <w:rStyle w:val="Hyperlink"/>
                <w:noProof/>
              </w:rPr>
              <w:t>Argumentation bzgl. relativer Anonymität</w:t>
            </w:r>
            <w:r w:rsidR="002A7B67">
              <w:rPr>
                <w:noProof/>
                <w:webHidden/>
              </w:rPr>
              <w:tab/>
            </w:r>
            <w:r w:rsidR="002A7B67">
              <w:rPr>
                <w:noProof/>
                <w:webHidden/>
              </w:rPr>
              <w:fldChar w:fldCharType="begin"/>
            </w:r>
            <w:r w:rsidR="002A7B67">
              <w:rPr>
                <w:noProof/>
                <w:webHidden/>
              </w:rPr>
              <w:instrText xml:space="preserve"> PAGEREF _Toc154652663 \h </w:instrText>
            </w:r>
            <w:r w:rsidR="002A7B67">
              <w:rPr>
                <w:noProof/>
                <w:webHidden/>
              </w:rPr>
            </w:r>
            <w:r w:rsidR="002A7B67">
              <w:rPr>
                <w:noProof/>
                <w:webHidden/>
              </w:rPr>
              <w:fldChar w:fldCharType="separate"/>
            </w:r>
            <w:r w:rsidR="00C9149F">
              <w:rPr>
                <w:noProof/>
                <w:webHidden/>
              </w:rPr>
              <w:t>69</w:t>
            </w:r>
            <w:r w:rsidR="002A7B67">
              <w:rPr>
                <w:noProof/>
                <w:webHidden/>
              </w:rPr>
              <w:fldChar w:fldCharType="end"/>
            </w:r>
          </w:hyperlink>
        </w:p>
        <w:p w14:paraId="5E3612E4" w14:textId="1F5809DC" w:rsidR="002A7B67" w:rsidRDefault="00000000" w:rsidP="00A824A4">
          <w:pPr>
            <w:pStyle w:val="Verzeichnis2"/>
            <w:rPr>
              <w:rFonts w:eastAsiaTheme="minorEastAsia" w:cstheme="minorBidi"/>
              <w:noProof/>
              <w:kern w:val="2"/>
              <w:lang w:eastAsia="de-DE"/>
              <w14:ligatures w14:val="standardContextual"/>
            </w:rPr>
          </w:pPr>
          <w:hyperlink w:anchor="_Toc154652664" w:history="1">
            <w:r w:rsidR="002A7B67" w:rsidRPr="00BA6ED6">
              <w:rPr>
                <w:rStyle w:val="Hyperlink"/>
                <w:noProof/>
              </w:rPr>
              <w:t>9.5</w:t>
            </w:r>
            <w:r w:rsidR="002A7B67">
              <w:rPr>
                <w:rFonts w:eastAsiaTheme="minorEastAsia" w:cstheme="minorBidi"/>
                <w:noProof/>
                <w:kern w:val="2"/>
                <w:lang w:eastAsia="de-DE"/>
                <w14:ligatures w14:val="standardContextual"/>
              </w:rPr>
              <w:tab/>
            </w:r>
            <w:r w:rsidR="002A7B67" w:rsidRPr="00BA6ED6">
              <w:rPr>
                <w:rStyle w:val="Hyperlink"/>
                <w:noProof/>
              </w:rPr>
              <w:t>Muss ich bei pseudonymen Daten die Vorgaben der DS-GVO beachten?</w:t>
            </w:r>
            <w:r w:rsidR="002A7B67">
              <w:rPr>
                <w:noProof/>
                <w:webHidden/>
              </w:rPr>
              <w:tab/>
            </w:r>
            <w:r w:rsidR="002A7B67" w:rsidRPr="004832F9">
              <w:rPr>
                <w:noProof/>
                <w:webHidden/>
              </w:rPr>
              <w:fldChar w:fldCharType="begin"/>
            </w:r>
            <w:r w:rsidR="002A7B67" w:rsidRPr="004832F9">
              <w:rPr>
                <w:noProof/>
                <w:webHidden/>
              </w:rPr>
              <w:instrText xml:space="preserve"> PAGEREF _Toc154652664 \h </w:instrText>
            </w:r>
            <w:r w:rsidR="002A7B67" w:rsidRPr="004832F9">
              <w:rPr>
                <w:noProof/>
                <w:webHidden/>
              </w:rPr>
            </w:r>
            <w:r w:rsidR="002A7B67" w:rsidRPr="004832F9">
              <w:rPr>
                <w:noProof/>
                <w:webHidden/>
              </w:rPr>
              <w:fldChar w:fldCharType="separate"/>
            </w:r>
            <w:r w:rsidR="00C9149F">
              <w:rPr>
                <w:noProof/>
                <w:webHidden/>
              </w:rPr>
              <w:t>71</w:t>
            </w:r>
            <w:r w:rsidR="002A7B67" w:rsidRPr="004832F9">
              <w:rPr>
                <w:noProof/>
                <w:webHidden/>
              </w:rPr>
              <w:fldChar w:fldCharType="end"/>
            </w:r>
          </w:hyperlink>
        </w:p>
        <w:p w14:paraId="5B7FAC1D" w14:textId="6AF6703F" w:rsidR="002A7B67" w:rsidRDefault="00000000" w:rsidP="00A824A4">
          <w:pPr>
            <w:pStyle w:val="Verzeichnis2"/>
            <w:rPr>
              <w:rFonts w:eastAsiaTheme="minorEastAsia" w:cstheme="minorBidi"/>
              <w:noProof/>
              <w:kern w:val="2"/>
              <w:lang w:eastAsia="de-DE"/>
              <w14:ligatures w14:val="standardContextual"/>
            </w:rPr>
          </w:pPr>
          <w:hyperlink w:anchor="_Toc154652665" w:history="1">
            <w:r w:rsidR="002A7B67" w:rsidRPr="00BA6ED6">
              <w:rPr>
                <w:rStyle w:val="Hyperlink"/>
                <w:noProof/>
              </w:rPr>
              <w:t>9.6</w:t>
            </w:r>
            <w:r w:rsidR="002A7B67">
              <w:rPr>
                <w:rFonts w:eastAsiaTheme="minorEastAsia" w:cstheme="minorBidi"/>
                <w:noProof/>
                <w:kern w:val="2"/>
                <w:lang w:eastAsia="de-DE"/>
                <w14:ligatures w14:val="standardContextual"/>
              </w:rPr>
              <w:tab/>
            </w:r>
            <w:r w:rsidR="002A7B67" w:rsidRPr="00BA6ED6">
              <w:rPr>
                <w:rStyle w:val="Hyperlink"/>
                <w:noProof/>
              </w:rPr>
              <w:t>Wieso stellt eine Anonymisierung eine Verarbeitung dar?</w:t>
            </w:r>
            <w:r w:rsidR="002A7B67">
              <w:rPr>
                <w:noProof/>
                <w:webHidden/>
              </w:rPr>
              <w:tab/>
            </w:r>
            <w:r w:rsidR="002A7B67" w:rsidRPr="004832F9">
              <w:rPr>
                <w:noProof/>
                <w:webHidden/>
              </w:rPr>
              <w:fldChar w:fldCharType="begin"/>
            </w:r>
            <w:r w:rsidR="002A7B67" w:rsidRPr="004832F9">
              <w:rPr>
                <w:noProof/>
                <w:webHidden/>
              </w:rPr>
              <w:instrText xml:space="preserve"> PAGEREF _Toc154652665 \h </w:instrText>
            </w:r>
            <w:r w:rsidR="002A7B67" w:rsidRPr="004832F9">
              <w:rPr>
                <w:noProof/>
                <w:webHidden/>
              </w:rPr>
            </w:r>
            <w:r w:rsidR="002A7B67" w:rsidRPr="004832F9">
              <w:rPr>
                <w:noProof/>
                <w:webHidden/>
              </w:rPr>
              <w:fldChar w:fldCharType="separate"/>
            </w:r>
            <w:r w:rsidR="00C9149F">
              <w:rPr>
                <w:noProof/>
                <w:webHidden/>
              </w:rPr>
              <w:t>71</w:t>
            </w:r>
            <w:r w:rsidR="002A7B67" w:rsidRPr="004832F9">
              <w:rPr>
                <w:noProof/>
                <w:webHidden/>
              </w:rPr>
              <w:fldChar w:fldCharType="end"/>
            </w:r>
          </w:hyperlink>
        </w:p>
        <w:p w14:paraId="4BFAB4F8" w14:textId="3C71EE97" w:rsidR="002A7B67" w:rsidRDefault="00000000" w:rsidP="00A824A4">
          <w:pPr>
            <w:pStyle w:val="Verzeichnis2"/>
            <w:rPr>
              <w:rFonts w:eastAsiaTheme="minorEastAsia" w:cstheme="minorBidi"/>
              <w:noProof/>
              <w:kern w:val="2"/>
              <w:lang w:eastAsia="de-DE"/>
              <w14:ligatures w14:val="standardContextual"/>
            </w:rPr>
          </w:pPr>
          <w:hyperlink w:anchor="_Toc154652666" w:history="1">
            <w:r w:rsidR="002A7B67" w:rsidRPr="00BA6ED6">
              <w:rPr>
                <w:rStyle w:val="Hyperlink"/>
                <w:noProof/>
              </w:rPr>
              <w:t>9.7</w:t>
            </w:r>
            <w:r w:rsidR="002A7B67">
              <w:rPr>
                <w:rFonts w:eastAsiaTheme="minorEastAsia" w:cstheme="minorBidi"/>
                <w:noProof/>
                <w:kern w:val="2"/>
                <w:lang w:eastAsia="de-DE"/>
                <w14:ligatures w14:val="standardContextual"/>
              </w:rPr>
              <w:tab/>
            </w:r>
            <w:r w:rsidR="002A7B67" w:rsidRPr="00BA6ED6">
              <w:rPr>
                <w:rStyle w:val="Hyperlink"/>
                <w:noProof/>
              </w:rPr>
              <w:t>Braucht man für Pseudonymisierung oder Anonymisierung eine Rechtsgrundlage?</w:t>
            </w:r>
            <w:r w:rsidR="002A7B67">
              <w:rPr>
                <w:noProof/>
                <w:webHidden/>
              </w:rPr>
              <w:tab/>
            </w:r>
            <w:r w:rsidR="002A7B67">
              <w:rPr>
                <w:noProof/>
                <w:webHidden/>
              </w:rPr>
              <w:fldChar w:fldCharType="begin"/>
            </w:r>
            <w:r w:rsidR="002A7B67">
              <w:rPr>
                <w:noProof/>
                <w:webHidden/>
              </w:rPr>
              <w:instrText xml:space="preserve"> PAGEREF _Toc154652666 \h </w:instrText>
            </w:r>
            <w:r w:rsidR="002A7B67">
              <w:rPr>
                <w:noProof/>
                <w:webHidden/>
              </w:rPr>
            </w:r>
            <w:r w:rsidR="002A7B67">
              <w:rPr>
                <w:noProof/>
                <w:webHidden/>
              </w:rPr>
              <w:fldChar w:fldCharType="separate"/>
            </w:r>
            <w:r w:rsidR="00C9149F">
              <w:rPr>
                <w:noProof/>
                <w:webHidden/>
              </w:rPr>
              <w:t>72</w:t>
            </w:r>
            <w:r w:rsidR="002A7B67">
              <w:rPr>
                <w:noProof/>
                <w:webHidden/>
              </w:rPr>
              <w:fldChar w:fldCharType="end"/>
            </w:r>
          </w:hyperlink>
        </w:p>
        <w:p w14:paraId="6BFD5F2A" w14:textId="5F489D4E" w:rsidR="002A7B67" w:rsidRDefault="00000000" w:rsidP="00A824A4">
          <w:pPr>
            <w:pStyle w:val="Verzeichnis2"/>
            <w:rPr>
              <w:rFonts w:eastAsiaTheme="minorEastAsia" w:cstheme="minorBidi"/>
              <w:noProof/>
              <w:kern w:val="2"/>
              <w:lang w:eastAsia="de-DE"/>
              <w14:ligatures w14:val="standardContextual"/>
            </w:rPr>
          </w:pPr>
          <w:hyperlink w:anchor="_Toc154652667" w:history="1">
            <w:r w:rsidR="002A7B67" w:rsidRPr="00BA6ED6">
              <w:rPr>
                <w:rStyle w:val="Hyperlink"/>
                <w:noProof/>
              </w:rPr>
              <w:t>9.8</w:t>
            </w:r>
            <w:r w:rsidR="002A7B67">
              <w:rPr>
                <w:rFonts w:eastAsiaTheme="minorEastAsia" w:cstheme="minorBidi"/>
                <w:noProof/>
                <w:kern w:val="2"/>
                <w:lang w:eastAsia="de-DE"/>
                <w14:ligatures w14:val="standardContextual"/>
              </w:rPr>
              <w:tab/>
            </w:r>
            <w:r w:rsidR="002A7B67" w:rsidRPr="00BA6ED6">
              <w:rPr>
                <w:rStyle w:val="Hyperlink"/>
                <w:noProof/>
              </w:rPr>
              <w:t>Muss die Pseudonymisierung extern durchgeführt werden oder kann ein Verantwortlicher diese selbst durchführen?</w:t>
            </w:r>
            <w:r w:rsidR="002A7B67">
              <w:rPr>
                <w:noProof/>
                <w:webHidden/>
              </w:rPr>
              <w:tab/>
            </w:r>
            <w:r w:rsidR="002A7B67" w:rsidRPr="004832F9">
              <w:rPr>
                <w:noProof/>
                <w:webHidden/>
              </w:rPr>
              <w:fldChar w:fldCharType="begin"/>
            </w:r>
            <w:r w:rsidR="002A7B67" w:rsidRPr="004832F9">
              <w:rPr>
                <w:noProof/>
                <w:webHidden/>
              </w:rPr>
              <w:instrText xml:space="preserve"> PAGEREF _Toc154652667 \h </w:instrText>
            </w:r>
            <w:r w:rsidR="002A7B67" w:rsidRPr="004832F9">
              <w:rPr>
                <w:noProof/>
                <w:webHidden/>
              </w:rPr>
            </w:r>
            <w:r w:rsidR="002A7B67" w:rsidRPr="004832F9">
              <w:rPr>
                <w:noProof/>
                <w:webHidden/>
              </w:rPr>
              <w:fldChar w:fldCharType="separate"/>
            </w:r>
            <w:r w:rsidR="00C9149F">
              <w:rPr>
                <w:noProof/>
                <w:webHidden/>
              </w:rPr>
              <w:t>72</w:t>
            </w:r>
            <w:r w:rsidR="002A7B67" w:rsidRPr="004832F9">
              <w:rPr>
                <w:noProof/>
                <w:webHidden/>
              </w:rPr>
              <w:fldChar w:fldCharType="end"/>
            </w:r>
          </w:hyperlink>
        </w:p>
        <w:p w14:paraId="7238BCA0" w14:textId="0A3F589C" w:rsidR="002A7B67" w:rsidRDefault="00000000" w:rsidP="00A824A4">
          <w:pPr>
            <w:pStyle w:val="Verzeichnis2"/>
            <w:rPr>
              <w:rFonts w:eastAsiaTheme="minorEastAsia" w:cstheme="minorBidi"/>
              <w:noProof/>
              <w:kern w:val="2"/>
              <w:lang w:eastAsia="de-DE"/>
              <w14:ligatures w14:val="standardContextual"/>
            </w:rPr>
          </w:pPr>
          <w:hyperlink w:anchor="_Toc154652668" w:history="1">
            <w:r w:rsidR="002A7B67" w:rsidRPr="00BA6ED6">
              <w:rPr>
                <w:rStyle w:val="Hyperlink"/>
                <w:noProof/>
              </w:rPr>
              <w:t>9.9</w:t>
            </w:r>
            <w:r w:rsidR="002A7B67">
              <w:rPr>
                <w:rFonts w:eastAsiaTheme="minorEastAsia" w:cstheme="minorBidi"/>
                <w:noProof/>
                <w:kern w:val="2"/>
                <w:lang w:eastAsia="de-DE"/>
                <w14:ligatures w14:val="standardContextual"/>
              </w:rPr>
              <w:tab/>
            </w:r>
            <w:r w:rsidR="002A7B67" w:rsidRPr="00BA6ED6">
              <w:rPr>
                <w:rStyle w:val="Hyperlink"/>
                <w:noProof/>
              </w:rPr>
              <w:t>VIP-Patient &amp; Co.: Maskierung Name = Pseudonymisierung</w:t>
            </w:r>
            <w:r w:rsidR="002A7B67">
              <w:rPr>
                <w:noProof/>
                <w:webHidden/>
              </w:rPr>
              <w:tab/>
            </w:r>
            <w:r w:rsidR="002A7B67">
              <w:rPr>
                <w:noProof/>
                <w:webHidden/>
              </w:rPr>
              <w:fldChar w:fldCharType="begin"/>
            </w:r>
            <w:r w:rsidR="002A7B67">
              <w:rPr>
                <w:noProof/>
                <w:webHidden/>
              </w:rPr>
              <w:instrText xml:space="preserve"> PAGEREF _Toc154652668 \h </w:instrText>
            </w:r>
            <w:r w:rsidR="002A7B67">
              <w:rPr>
                <w:noProof/>
                <w:webHidden/>
              </w:rPr>
            </w:r>
            <w:r w:rsidR="002A7B67">
              <w:rPr>
                <w:noProof/>
                <w:webHidden/>
              </w:rPr>
              <w:fldChar w:fldCharType="separate"/>
            </w:r>
            <w:r w:rsidR="00C9149F">
              <w:rPr>
                <w:noProof/>
                <w:webHidden/>
              </w:rPr>
              <w:t>72</w:t>
            </w:r>
            <w:r w:rsidR="002A7B67">
              <w:rPr>
                <w:noProof/>
                <w:webHidden/>
              </w:rPr>
              <w:fldChar w:fldCharType="end"/>
            </w:r>
          </w:hyperlink>
        </w:p>
        <w:p w14:paraId="05A93566" w14:textId="09451CF4" w:rsidR="002A7B67" w:rsidRDefault="00000000" w:rsidP="00A824A4">
          <w:pPr>
            <w:pStyle w:val="Verzeichnis2"/>
            <w:rPr>
              <w:rFonts w:eastAsiaTheme="minorEastAsia" w:cstheme="minorBidi"/>
              <w:noProof/>
              <w:kern w:val="2"/>
              <w:lang w:eastAsia="de-DE"/>
              <w14:ligatures w14:val="standardContextual"/>
            </w:rPr>
          </w:pPr>
          <w:hyperlink w:anchor="_Toc154652669" w:history="1">
            <w:r w:rsidR="002A7B67" w:rsidRPr="00BA6ED6">
              <w:rPr>
                <w:rStyle w:val="Hyperlink"/>
                <w:noProof/>
              </w:rPr>
              <w:t>9.10</w:t>
            </w:r>
            <w:r w:rsidR="002A7B67">
              <w:rPr>
                <w:rFonts w:eastAsiaTheme="minorEastAsia" w:cstheme="minorBidi"/>
                <w:noProof/>
                <w:kern w:val="2"/>
                <w:lang w:eastAsia="de-DE"/>
                <w14:ligatures w14:val="standardContextual"/>
              </w:rPr>
              <w:tab/>
            </w:r>
            <w:r w:rsidR="002A7B67" w:rsidRPr="00BA6ED6">
              <w:rPr>
                <w:rStyle w:val="Hyperlink"/>
                <w:noProof/>
              </w:rPr>
              <w:t>Stellt eine Anonymisierung eine Löschung dar?</w:t>
            </w:r>
            <w:r w:rsidR="002A7B67">
              <w:rPr>
                <w:noProof/>
                <w:webHidden/>
              </w:rPr>
              <w:tab/>
            </w:r>
            <w:r w:rsidR="002A7B67">
              <w:rPr>
                <w:noProof/>
                <w:webHidden/>
              </w:rPr>
              <w:fldChar w:fldCharType="begin"/>
            </w:r>
            <w:r w:rsidR="002A7B67">
              <w:rPr>
                <w:noProof/>
                <w:webHidden/>
              </w:rPr>
              <w:instrText xml:space="preserve"> PAGEREF _Toc154652669 \h </w:instrText>
            </w:r>
            <w:r w:rsidR="002A7B67">
              <w:rPr>
                <w:noProof/>
                <w:webHidden/>
              </w:rPr>
            </w:r>
            <w:r w:rsidR="002A7B67">
              <w:rPr>
                <w:noProof/>
                <w:webHidden/>
              </w:rPr>
              <w:fldChar w:fldCharType="separate"/>
            </w:r>
            <w:r w:rsidR="00C9149F">
              <w:rPr>
                <w:noProof/>
                <w:webHidden/>
              </w:rPr>
              <w:t>73</w:t>
            </w:r>
            <w:r w:rsidR="002A7B67">
              <w:rPr>
                <w:noProof/>
                <w:webHidden/>
              </w:rPr>
              <w:fldChar w:fldCharType="end"/>
            </w:r>
          </w:hyperlink>
        </w:p>
        <w:p w14:paraId="4772337D" w14:textId="1C19590E" w:rsidR="002A7B67" w:rsidRDefault="00000000" w:rsidP="00A824A4">
          <w:pPr>
            <w:pStyle w:val="Verzeichnis2"/>
            <w:rPr>
              <w:rFonts w:eastAsiaTheme="minorEastAsia" w:cstheme="minorBidi"/>
              <w:noProof/>
              <w:kern w:val="2"/>
              <w:lang w:eastAsia="de-DE"/>
              <w14:ligatures w14:val="standardContextual"/>
            </w:rPr>
          </w:pPr>
          <w:hyperlink w:anchor="_Toc154652670" w:history="1">
            <w:r w:rsidR="002A7B67" w:rsidRPr="00BA6ED6">
              <w:rPr>
                <w:rStyle w:val="Hyperlink"/>
                <w:noProof/>
              </w:rPr>
              <w:t>9.11</w:t>
            </w:r>
            <w:r w:rsidR="002A7B67">
              <w:rPr>
                <w:rFonts w:eastAsiaTheme="minorEastAsia" w:cstheme="minorBidi"/>
                <w:noProof/>
                <w:kern w:val="2"/>
                <w:lang w:eastAsia="de-DE"/>
                <w14:ligatures w14:val="standardContextual"/>
              </w:rPr>
              <w:tab/>
            </w:r>
            <w:r w:rsidR="002A7B67" w:rsidRPr="00BA6ED6">
              <w:rPr>
                <w:rStyle w:val="Hyperlink"/>
                <w:noProof/>
              </w:rPr>
              <w:t>Meine Daten sind nicht länger anonym: Was tun?</w:t>
            </w:r>
            <w:r w:rsidR="002A7B67">
              <w:rPr>
                <w:noProof/>
                <w:webHidden/>
              </w:rPr>
              <w:tab/>
            </w:r>
            <w:r w:rsidR="002A7B67" w:rsidRPr="004832F9">
              <w:rPr>
                <w:noProof/>
                <w:webHidden/>
              </w:rPr>
              <w:fldChar w:fldCharType="begin"/>
            </w:r>
            <w:r w:rsidR="002A7B67" w:rsidRPr="004832F9">
              <w:rPr>
                <w:noProof/>
                <w:webHidden/>
              </w:rPr>
              <w:instrText xml:space="preserve"> PAGEREF _Toc154652670 \h </w:instrText>
            </w:r>
            <w:r w:rsidR="002A7B67" w:rsidRPr="004832F9">
              <w:rPr>
                <w:noProof/>
                <w:webHidden/>
              </w:rPr>
            </w:r>
            <w:r w:rsidR="002A7B67" w:rsidRPr="004832F9">
              <w:rPr>
                <w:noProof/>
                <w:webHidden/>
              </w:rPr>
              <w:fldChar w:fldCharType="separate"/>
            </w:r>
            <w:r w:rsidR="00C9149F">
              <w:rPr>
                <w:noProof/>
                <w:webHidden/>
              </w:rPr>
              <w:t>75</w:t>
            </w:r>
            <w:r w:rsidR="002A7B67" w:rsidRPr="004832F9">
              <w:rPr>
                <w:noProof/>
                <w:webHidden/>
              </w:rPr>
              <w:fldChar w:fldCharType="end"/>
            </w:r>
          </w:hyperlink>
        </w:p>
        <w:p w14:paraId="032E2D69" w14:textId="2F696451" w:rsidR="002A7B67" w:rsidRDefault="00000000" w:rsidP="00A824A4">
          <w:pPr>
            <w:pStyle w:val="Verzeichnis2"/>
            <w:rPr>
              <w:rFonts w:eastAsiaTheme="minorEastAsia" w:cstheme="minorBidi"/>
              <w:noProof/>
              <w:kern w:val="2"/>
              <w:lang w:eastAsia="de-DE"/>
              <w14:ligatures w14:val="standardContextual"/>
            </w:rPr>
          </w:pPr>
          <w:hyperlink w:anchor="_Toc154652671" w:history="1">
            <w:r w:rsidR="002A7B67" w:rsidRPr="00BA6ED6">
              <w:rPr>
                <w:rStyle w:val="Hyperlink"/>
                <w:noProof/>
              </w:rPr>
              <w:t>9.12</w:t>
            </w:r>
            <w:r w:rsidR="002A7B67">
              <w:rPr>
                <w:rFonts w:eastAsiaTheme="minorEastAsia" w:cstheme="minorBidi"/>
                <w:noProof/>
                <w:kern w:val="2"/>
                <w:lang w:eastAsia="de-DE"/>
                <w14:ligatures w14:val="standardContextual"/>
              </w:rPr>
              <w:tab/>
            </w:r>
            <w:r w:rsidR="002A7B67" w:rsidRPr="00BA6ED6">
              <w:rPr>
                <w:rStyle w:val="Hyperlink"/>
                <w:noProof/>
              </w:rPr>
              <w:t>Daten wurden „anonym“ weitergegeben, jetzt erfolgte eine Re-Identifizierung: wer ist verantwortlich?</w:t>
            </w:r>
            <w:r w:rsidR="002A7B67">
              <w:rPr>
                <w:noProof/>
                <w:webHidden/>
              </w:rPr>
              <w:tab/>
            </w:r>
            <w:r w:rsidR="002A7B67" w:rsidRPr="004832F9">
              <w:rPr>
                <w:noProof/>
                <w:webHidden/>
              </w:rPr>
              <w:fldChar w:fldCharType="begin"/>
            </w:r>
            <w:r w:rsidR="002A7B67" w:rsidRPr="004832F9">
              <w:rPr>
                <w:noProof/>
                <w:webHidden/>
              </w:rPr>
              <w:instrText xml:space="preserve"> PAGEREF _Toc154652671 \h </w:instrText>
            </w:r>
            <w:r w:rsidR="002A7B67" w:rsidRPr="004832F9">
              <w:rPr>
                <w:noProof/>
                <w:webHidden/>
              </w:rPr>
            </w:r>
            <w:r w:rsidR="002A7B67" w:rsidRPr="004832F9">
              <w:rPr>
                <w:noProof/>
                <w:webHidden/>
              </w:rPr>
              <w:fldChar w:fldCharType="separate"/>
            </w:r>
            <w:r w:rsidR="00C9149F">
              <w:rPr>
                <w:noProof/>
                <w:webHidden/>
              </w:rPr>
              <w:t>75</w:t>
            </w:r>
            <w:r w:rsidR="002A7B67" w:rsidRPr="004832F9">
              <w:rPr>
                <w:noProof/>
                <w:webHidden/>
              </w:rPr>
              <w:fldChar w:fldCharType="end"/>
            </w:r>
          </w:hyperlink>
        </w:p>
        <w:p w14:paraId="1D90D74F" w14:textId="78C1C267" w:rsidR="002A7B67" w:rsidRDefault="00000000" w:rsidP="00A824A4">
          <w:pPr>
            <w:pStyle w:val="Verzeichnis2"/>
            <w:rPr>
              <w:rFonts w:eastAsiaTheme="minorEastAsia" w:cstheme="minorBidi"/>
              <w:noProof/>
              <w:kern w:val="2"/>
              <w:lang w:eastAsia="de-DE"/>
              <w14:ligatures w14:val="standardContextual"/>
            </w:rPr>
          </w:pPr>
          <w:hyperlink w:anchor="_Toc154652672" w:history="1">
            <w:r w:rsidR="002A7B67" w:rsidRPr="00BA6ED6">
              <w:rPr>
                <w:rStyle w:val="Hyperlink"/>
                <w:noProof/>
              </w:rPr>
              <w:t>9.13</w:t>
            </w:r>
            <w:r w:rsidR="002A7B67">
              <w:rPr>
                <w:rFonts w:eastAsiaTheme="minorEastAsia" w:cstheme="minorBidi"/>
                <w:noProof/>
                <w:kern w:val="2"/>
                <w:lang w:eastAsia="de-DE"/>
                <w14:ligatures w14:val="standardContextual"/>
              </w:rPr>
              <w:tab/>
            </w:r>
            <w:r w:rsidR="002A7B67" w:rsidRPr="00BA6ED6">
              <w:rPr>
                <w:rStyle w:val="Hyperlink"/>
                <w:noProof/>
              </w:rPr>
              <w:t>Anonymisierung und „Big Data“: Geht das?</w:t>
            </w:r>
            <w:r w:rsidR="002A7B67">
              <w:rPr>
                <w:noProof/>
                <w:webHidden/>
              </w:rPr>
              <w:tab/>
            </w:r>
            <w:r w:rsidR="002A7B67">
              <w:rPr>
                <w:noProof/>
                <w:webHidden/>
              </w:rPr>
              <w:fldChar w:fldCharType="begin"/>
            </w:r>
            <w:r w:rsidR="002A7B67">
              <w:rPr>
                <w:noProof/>
                <w:webHidden/>
              </w:rPr>
              <w:instrText xml:space="preserve"> PAGEREF _Toc154652672 \h </w:instrText>
            </w:r>
            <w:r w:rsidR="002A7B67">
              <w:rPr>
                <w:noProof/>
                <w:webHidden/>
              </w:rPr>
            </w:r>
            <w:r w:rsidR="002A7B67">
              <w:rPr>
                <w:noProof/>
                <w:webHidden/>
              </w:rPr>
              <w:fldChar w:fldCharType="separate"/>
            </w:r>
            <w:r w:rsidR="00C9149F">
              <w:rPr>
                <w:noProof/>
                <w:webHidden/>
              </w:rPr>
              <w:t>75</w:t>
            </w:r>
            <w:r w:rsidR="002A7B67">
              <w:rPr>
                <w:noProof/>
                <w:webHidden/>
              </w:rPr>
              <w:fldChar w:fldCharType="end"/>
            </w:r>
          </w:hyperlink>
        </w:p>
        <w:p w14:paraId="58A0B416" w14:textId="68A8878C" w:rsidR="002A7B67" w:rsidRDefault="00000000" w:rsidP="00A824A4">
          <w:pPr>
            <w:pStyle w:val="Verzeichnis2"/>
            <w:rPr>
              <w:rFonts w:eastAsiaTheme="minorEastAsia" w:cstheme="minorBidi"/>
              <w:noProof/>
              <w:kern w:val="2"/>
              <w:lang w:eastAsia="de-DE"/>
              <w14:ligatures w14:val="standardContextual"/>
            </w:rPr>
          </w:pPr>
          <w:hyperlink w:anchor="_Toc154652673" w:history="1">
            <w:r w:rsidR="002A7B67" w:rsidRPr="00BA6ED6">
              <w:rPr>
                <w:rStyle w:val="Hyperlink"/>
                <w:noProof/>
              </w:rPr>
              <w:t>9.14</w:t>
            </w:r>
            <w:r w:rsidR="002A7B67">
              <w:rPr>
                <w:rFonts w:eastAsiaTheme="minorEastAsia" w:cstheme="minorBidi"/>
                <w:noProof/>
                <w:kern w:val="2"/>
                <w:lang w:eastAsia="de-DE"/>
                <w14:ligatures w14:val="standardContextual"/>
              </w:rPr>
              <w:tab/>
            </w:r>
            <w:r w:rsidR="002A7B67" w:rsidRPr="00BA6ED6">
              <w:rPr>
                <w:rStyle w:val="Hyperlink"/>
                <w:noProof/>
              </w:rPr>
              <w:t>Stand der Technik und Anonymisierung</w:t>
            </w:r>
            <w:r w:rsidR="002A7B67">
              <w:rPr>
                <w:noProof/>
                <w:webHidden/>
              </w:rPr>
              <w:tab/>
            </w:r>
            <w:r w:rsidR="002A7B67">
              <w:rPr>
                <w:noProof/>
                <w:webHidden/>
              </w:rPr>
              <w:fldChar w:fldCharType="begin"/>
            </w:r>
            <w:r w:rsidR="002A7B67">
              <w:rPr>
                <w:noProof/>
                <w:webHidden/>
              </w:rPr>
              <w:instrText xml:space="preserve"> PAGEREF _Toc154652673 \h </w:instrText>
            </w:r>
            <w:r w:rsidR="002A7B67">
              <w:rPr>
                <w:noProof/>
                <w:webHidden/>
              </w:rPr>
            </w:r>
            <w:r w:rsidR="002A7B67">
              <w:rPr>
                <w:noProof/>
                <w:webHidden/>
              </w:rPr>
              <w:fldChar w:fldCharType="separate"/>
            </w:r>
            <w:r w:rsidR="00C9149F">
              <w:rPr>
                <w:noProof/>
                <w:webHidden/>
              </w:rPr>
              <w:t>77</w:t>
            </w:r>
            <w:r w:rsidR="002A7B67">
              <w:rPr>
                <w:noProof/>
                <w:webHidden/>
              </w:rPr>
              <w:fldChar w:fldCharType="end"/>
            </w:r>
          </w:hyperlink>
        </w:p>
        <w:p w14:paraId="28299E4A" w14:textId="02AD9EC4" w:rsidR="002A7B67" w:rsidRDefault="00000000" w:rsidP="00A824A4">
          <w:pPr>
            <w:pStyle w:val="Verzeichnis2"/>
            <w:rPr>
              <w:rFonts w:eastAsiaTheme="minorEastAsia" w:cstheme="minorBidi"/>
              <w:noProof/>
              <w:kern w:val="2"/>
              <w:lang w:eastAsia="de-DE"/>
              <w14:ligatures w14:val="standardContextual"/>
            </w:rPr>
          </w:pPr>
          <w:hyperlink w:anchor="_Toc154652674" w:history="1">
            <w:r w:rsidR="002A7B67" w:rsidRPr="00BA6ED6">
              <w:rPr>
                <w:rStyle w:val="Hyperlink"/>
                <w:noProof/>
              </w:rPr>
              <w:t>9.15</w:t>
            </w:r>
            <w:r w:rsidR="002A7B67">
              <w:rPr>
                <w:rFonts w:eastAsiaTheme="minorEastAsia" w:cstheme="minorBidi"/>
                <w:noProof/>
                <w:kern w:val="2"/>
                <w:lang w:eastAsia="de-DE"/>
                <w14:ligatures w14:val="standardContextual"/>
              </w:rPr>
              <w:tab/>
            </w:r>
            <w:r w:rsidR="002A7B67" w:rsidRPr="00BA6ED6">
              <w:rPr>
                <w:rStyle w:val="Hyperlink"/>
                <w:noProof/>
              </w:rPr>
              <w:t xml:space="preserve">Werden Quantencomputer und </w:t>
            </w:r>
            <w:r w:rsidR="002A7B67" w:rsidRPr="004832F9">
              <w:rPr>
                <w:rStyle w:val="Hyperlink"/>
                <w:noProof/>
              </w:rPr>
              <w:t>Quantenkryptographie</w:t>
            </w:r>
            <w:r w:rsidR="002A7B67" w:rsidRPr="00BA6ED6">
              <w:rPr>
                <w:rStyle w:val="Hyperlink"/>
                <w:noProof/>
              </w:rPr>
              <w:t xml:space="preserve"> eine Bewertung hinsichtlich Anonymisierung oder Pseudonymisierung beeinflussen?</w:t>
            </w:r>
            <w:r w:rsidR="002A7B67">
              <w:rPr>
                <w:noProof/>
                <w:webHidden/>
              </w:rPr>
              <w:tab/>
            </w:r>
            <w:r w:rsidR="002A7B67" w:rsidRPr="004832F9">
              <w:rPr>
                <w:noProof/>
                <w:webHidden/>
              </w:rPr>
              <w:fldChar w:fldCharType="begin"/>
            </w:r>
            <w:r w:rsidR="002A7B67" w:rsidRPr="004832F9">
              <w:rPr>
                <w:noProof/>
                <w:webHidden/>
              </w:rPr>
              <w:instrText xml:space="preserve"> PAGEREF _Toc154652674 \h </w:instrText>
            </w:r>
            <w:r w:rsidR="002A7B67" w:rsidRPr="004832F9">
              <w:rPr>
                <w:noProof/>
                <w:webHidden/>
              </w:rPr>
            </w:r>
            <w:r w:rsidR="002A7B67" w:rsidRPr="004832F9">
              <w:rPr>
                <w:noProof/>
                <w:webHidden/>
              </w:rPr>
              <w:fldChar w:fldCharType="separate"/>
            </w:r>
            <w:r w:rsidR="00C9149F">
              <w:rPr>
                <w:noProof/>
                <w:webHidden/>
              </w:rPr>
              <w:t>80</w:t>
            </w:r>
            <w:r w:rsidR="002A7B67" w:rsidRPr="004832F9">
              <w:rPr>
                <w:noProof/>
                <w:webHidden/>
              </w:rPr>
              <w:fldChar w:fldCharType="end"/>
            </w:r>
          </w:hyperlink>
        </w:p>
        <w:p w14:paraId="5FAA3EBE" w14:textId="7E2CEE3E"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675" w:history="1">
            <w:r w:rsidR="002A7B67" w:rsidRPr="00BA6ED6">
              <w:rPr>
                <w:rStyle w:val="Hyperlink"/>
                <w:noProof/>
              </w:rPr>
              <w:t>10</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Checkliste</w:t>
            </w:r>
            <w:r w:rsidR="002A7B67">
              <w:rPr>
                <w:noProof/>
                <w:webHidden/>
              </w:rPr>
              <w:tab/>
            </w:r>
            <w:r w:rsidR="002A7B67">
              <w:rPr>
                <w:noProof/>
                <w:webHidden/>
              </w:rPr>
              <w:fldChar w:fldCharType="begin"/>
            </w:r>
            <w:r w:rsidR="002A7B67">
              <w:rPr>
                <w:noProof/>
                <w:webHidden/>
              </w:rPr>
              <w:instrText xml:space="preserve"> PAGEREF _Toc154652675 \h </w:instrText>
            </w:r>
            <w:r w:rsidR="002A7B67">
              <w:rPr>
                <w:noProof/>
                <w:webHidden/>
              </w:rPr>
            </w:r>
            <w:r w:rsidR="002A7B67">
              <w:rPr>
                <w:noProof/>
                <w:webHidden/>
              </w:rPr>
              <w:fldChar w:fldCharType="separate"/>
            </w:r>
            <w:r w:rsidR="00C9149F">
              <w:rPr>
                <w:noProof/>
                <w:webHidden/>
              </w:rPr>
              <w:t>81</w:t>
            </w:r>
            <w:r w:rsidR="002A7B67">
              <w:rPr>
                <w:noProof/>
                <w:webHidden/>
              </w:rPr>
              <w:fldChar w:fldCharType="end"/>
            </w:r>
          </w:hyperlink>
        </w:p>
        <w:p w14:paraId="2135F244" w14:textId="55955161" w:rsidR="002A7B67" w:rsidRDefault="00000000" w:rsidP="00A824A4">
          <w:pPr>
            <w:pStyle w:val="Verzeichnis2"/>
            <w:rPr>
              <w:rFonts w:eastAsiaTheme="minorEastAsia" w:cstheme="minorBidi"/>
              <w:noProof/>
              <w:kern w:val="2"/>
              <w:lang w:eastAsia="de-DE"/>
              <w14:ligatures w14:val="standardContextual"/>
            </w:rPr>
          </w:pPr>
          <w:hyperlink w:anchor="_Toc154652676" w:history="1">
            <w:r w:rsidR="002A7B67" w:rsidRPr="00BA6ED6">
              <w:rPr>
                <w:rStyle w:val="Hyperlink"/>
                <w:noProof/>
              </w:rPr>
              <w:t>10.1</w:t>
            </w:r>
            <w:r w:rsidR="002A7B67">
              <w:rPr>
                <w:rFonts w:eastAsiaTheme="minorEastAsia" w:cstheme="minorBidi"/>
                <w:noProof/>
                <w:kern w:val="2"/>
                <w:lang w:eastAsia="de-DE"/>
                <w14:ligatures w14:val="standardContextual"/>
              </w:rPr>
              <w:tab/>
            </w:r>
            <w:r w:rsidR="002A7B67" w:rsidRPr="00BA6ED6">
              <w:rPr>
                <w:rStyle w:val="Hyperlink"/>
                <w:noProof/>
              </w:rPr>
              <w:t>Rechtliche Anforderungen</w:t>
            </w:r>
            <w:r w:rsidR="002A7B67">
              <w:rPr>
                <w:noProof/>
                <w:webHidden/>
              </w:rPr>
              <w:tab/>
            </w:r>
            <w:r w:rsidR="002A7B67">
              <w:rPr>
                <w:noProof/>
                <w:webHidden/>
              </w:rPr>
              <w:fldChar w:fldCharType="begin"/>
            </w:r>
            <w:r w:rsidR="002A7B67">
              <w:rPr>
                <w:noProof/>
                <w:webHidden/>
              </w:rPr>
              <w:instrText xml:space="preserve"> PAGEREF _Toc154652676 \h </w:instrText>
            </w:r>
            <w:r w:rsidR="002A7B67">
              <w:rPr>
                <w:noProof/>
                <w:webHidden/>
              </w:rPr>
            </w:r>
            <w:r w:rsidR="002A7B67">
              <w:rPr>
                <w:noProof/>
                <w:webHidden/>
              </w:rPr>
              <w:fldChar w:fldCharType="separate"/>
            </w:r>
            <w:r w:rsidR="00C9149F">
              <w:rPr>
                <w:noProof/>
                <w:webHidden/>
              </w:rPr>
              <w:t>81</w:t>
            </w:r>
            <w:r w:rsidR="002A7B67">
              <w:rPr>
                <w:noProof/>
                <w:webHidden/>
              </w:rPr>
              <w:fldChar w:fldCharType="end"/>
            </w:r>
          </w:hyperlink>
        </w:p>
        <w:p w14:paraId="2D9BDC1E" w14:textId="1EF9BDE4" w:rsidR="002A7B67" w:rsidRDefault="00000000" w:rsidP="00A824A4">
          <w:pPr>
            <w:pStyle w:val="Verzeichnis2"/>
            <w:rPr>
              <w:rFonts w:eastAsiaTheme="minorEastAsia" w:cstheme="minorBidi"/>
              <w:noProof/>
              <w:kern w:val="2"/>
              <w:lang w:eastAsia="de-DE"/>
              <w14:ligatures w14:val="standardContextual"/>
            </w:rPr>
          </w:pPr>
          <w:hyperlink w:anchor="_Toc154652677" w:history="1">
            <w:r w:rsidR="002A7B67" w:rsidRPr="00BA6ED6">
              <w:rPr>
                <w:rStyle w:val="Hyperlink"/>
                <w:noProof/>
              </w:rPr>
              <w:t>10.2</w:t>
            </w:r>
            <w:r w:rsidR="002A7B67">
              <w:rPr>
                <w:rFonts w:eastAsiaTheme="minorEastAsia" w:cstheme="minorBidi"/>
                <w:noProof/>
                <w:kern w:val="2"/>
                <w:lang w:eastAsia="de-DE"/>
                <w14:ligatures w14:val="standardContextual"/>
              </w:rPr>
              <w:tab/>
            </w:r>
            <w:r w:rsidR="002A7B67" w:rsidRPr="00BA6ED6">
              <w:rPr>
                <w:rStyle w:val="Hyperlink"/>
                <w:noProof/>
              </w:rPr>
              <w:t>Inhaltliche Anforderungen</w:t>
            </w:r>
            <w:r w:rsidR="002A7B67">
              <w:rPr>
                <w:noProof/>
                <w:webHidden/>
              </w:rPr>
              <w:tab/>
            </w:r>
            <w:r w:rsidR="002A7B67">
              <w:rPr>
                <w:noProof/>
                <w:webHidden/>
              </w:rPr>
              <w:fldChar w:fldCharType="begin"/>
            </w:r>
            <w:r w:rsidR="002A7B67">
              <w:rPr>
                <w:noProof/>
                <w:webHidden/>
              </w:rPr>
              <w:instrText xml:space="preserve"> PAGEREF _Toc154652677 \h </w:instrText>
            </w:r>
            <w:r w:rsidR="002A7B67">
              <w:rPr>
                <w:noProof/>
                <w:webHidden/>
              </w:rPr>
            </w:r>
            <w:r w:rsidR="002A7B67">
              <w:rPr>
                <w:noProof/>
                <w:webHidden/>
              </w:rPr>
              <w:fldChar w:fldCharType="separate"/>
            </w:r>
            <w:r w:rsidR="00C9149F">
              <w:rPr>
                <w:noProof/>
                <w:webHidden/>
              </w:rPr>
              <w:t>81</w:t>
            </w:r>
            <w:r w:rsidR="002A7B67">
              <w:rPr>
                <w:noProof/>
                <w:webHidden/>
              </w:rPr>
              <w:fldChar w:fldCharType="end"/>
            </w:r>
          </w:hyperlink>
        </w:p>
        <w:p w14:paraId="4F583454" w14:textId="07EBD2EE" w:rsidR="002A7B67" w:rsidRDefault="00000000" w:rsidP="00A824A4">
          <w:pPr>
            <w:pStyle w:val="Verzeichnis2"/>
            <w:rPr>
              <w:rFonts w:eastAsiaTheme="minorEastAsia" w:cstheme="minorBidi"/>
              <w:noProof/>
              <w:kern w:val="2"/>
              <w:lang w:eastAsia="de-DE"/>
              <w14:ligatures w14:val="standardContextual"/>
            </w:rPr>
          </w:pPr>
          <w:hyperlink w:anchor="_Toc154652678" w:history="1">
            <w:r w:rsidR="002A7B67" w:rsidRPr="00BA6ED6">
              <w:rPr>
                <w:rStyle w:val="Hyperlink"/>
                <w:noProof/>
              </w:rPr>
              <w:t>10.3</w:t>
            </w:r>
            <w:r w:rsidR="002A7B67">
              <w:rPr>
                <w:rFonts w:eastAsiaTheme="minorEastAsia" w:cstheme="minorBidi"/>
                <w:noProof/>
                <w:kern w:val="2"/>
                <w:lang w:eastAsia="de-DE"/>
                <w14:ligatures w14:val="standardContextual"/>
              </w:rPr>
              <w:tab/>
            </w:r>
            <w:r w:rsidR="002A7B67" w:rsidRPr="00BA6ED6">
              <w:rPr>
                <w:rStyle w:val="Hyperlink"/>
                <w:noProof/>
              </w:rPr>
              <w:t>Organisatorische Anforderungen</w:t>
            </w:r>
            <w:r w:rsidR="002A7B67">
              <w:rPr>
                <w:noProof/>
                <w:webHidden/>
              </w:rPr>
              <w:tab/>
            </w:r>
            <w:r w:rsidR="002A7B67">
              <w:rPr>
                <w:noProof/>
                <w:webHidden/>
              </w:rPr>
              <w:fldChar w:fldCharType="begin"/>
            </w:r>
            <w:r w:rsidR="002A7B67">
              <w:rPr>
                <w:noProof/>
                <w:webHidden/>
              </w:rPr>
              <w:instrText xml:space="preserve"> PAGEREF _Toc154652678 \h </w:instrText>
            </w:r>
            <w:r w:rsidR="002A7B67">
              <w:rPr>
                <w:noProof/>
                <w:webHidden/>
              </w:rPr>
            </w:r>
            <w:r w:rsidR="002A7B67">
              <w:rPr>
                <w:noProof/>
                <w:webHidden/>
              </w:rPr>
              <w:fldChar w:fldCharType="separate"/>
            </w:r>
            <w:r w:rsidR="00C9149F">
              <w:rPr>
                <w:noProof/>
                <w:webHidden/>
              </w:rPr>
              <w:t>82</w:t>
            </w:r>
            <w:r w:rsidR="002A7B67">
              <w:rPr>
                <w:noProof/>
                <w:webHidden/>
              </w:rPr>
              <w:fldChar w:fldCharType="end"/>
            </w:r>
          </w:hyperlink>
        </w:p>
        <w:p w14:paraId="05DC54A9" w14:textId="4C5BE142" w:rsidR="002A7B67" w:rsidRDefault="00000000" w:rsidP="00A824A4">
          <w:pPr>
            <w:pStyle w:val="Verzeichnis2"/>
            <w:rPr>
              <w:rFonts w:eastAsiaTheme="minorEastAsia" w:cstheme="minorBidi"/>
              <w:noProof/>
              <w:kern w:val="2"/>
              <w:lang w:eastAsia="de-DE"/>
              <w14:ligatures w14:val="standardContextual"/>
            </w:rPr>
          </w:pPr>
          <w:hyperlink w:anchor="_Toc154652679" w:history="1">
            <w:r w:rsidR="002A7B67" w:rsidRPr="00BA6ED6">
              <w:rPr>
                <w:rStyle w:val="Hyperlink"/>
                <w:noProof/>
              </w:rPr>
              <w:t>10.4</w:t>
            </w:r>
            <w:r w:rsidR="002A7B67">
              <w:rPr>
                <w:rFonts w:eastAsiaTheme="minorEastAsia" w:cstheme="minorBidi"/>
                <w:noProof/>
                <w:kern w:val="2"/>
                <w:lang w:eastAsia="de-DE"/>
                <w14:ligatures w14:val="standardContextual"/>
              </w:rPr>
              <w:tab/>
            </w:r>
            <w:r w:rsidR="002A7B67" w:rsidRPr="00BA6ED6">
              <w:rPr>
                <w:rStyle w:val="Hyperlink"/>
                <w:noProof/>
              </w:rPr>
              <w:t>Vorgaben für das Verfahren</w:t>
            </w:r>
            <w:r w:rsidR="002A7B67">
              <w:rPr>
                <w:noProof/>
                <w:webHidden/>
              </w:rPr>
              <w:tab/>
            </w:r>
            <w:r w:rsidR="002A7B67">
              <w:rPr>
                <w:noProof/>
                <w:webHidden/>
              </w:rPr>
              <w:fldChar w:fldCharType="begin"/>
            </w:r>
            <w:r w:rsidR="002A7B67">
              <w:rPr>
                <w:noProof/>
                <w:webHidden/>
              </w:rPr>
              <w:instrText xml:space="preserve"> PAGEREF _Toc154652679 \h </w:instrText>
            </w:r>
            <w:r w:rsidR="002A7B67">
              <w:rPr>
                <w:noProof/>
                <w:webHidden/>
              </w:rPr>
            </w:r>
            <w:r w:rsidR="002A7B67">
              <w:rPr>
                <w:noProof/>
                <w:webHidden/>
              </w:rPr>
              <w:fldChar w:fldCharType="separate"/>
            </w:r>
            <w:r w:rsidR="00C9149F">
              <w:rPr>
                <w:noProof/>
                <w:webHidden/>
              </w:rPr>
              <w:t>82</w:t>
            </w:r>
            <w:r w:rsidR="002A7B67">
              <w:rPr>
                <w:noProof/>
                <w:webHidden/>
              </w:rPr>
              <w:fldChar w:fldCharType="end"/>
            </w:r>
          </w:hyperlink>
        </w:p>
        <w:p w14:paraId="70A87836" w14:textId="71C742EF" w:rsidR="002A7B67" w:rsidRDefault="00000000" w:rsidP="00A824A4">
          <w:pPr>
            <w:pStyle w:val="Verzeichnis2"/>
            <w:rPr>
              <w:rFonts w:eastAsiaTheme="minorEastAsia" w:cstheme="minorBidi"/>
              <w:noProof/>
              <w:kern w:val="2"/>
              <w:lang w:eastAsia="de-DE"/>
              <w14:ligatures w14:val="standardContextual"/>
            </w:rPr>
          </w:pPr>
          <w:hyperlink w:anchor="_Toc154652680" w:history="1">
            <w:r w:rsidR="002A7B67" w:rsidRPr="00BA6ED6">
              <w:rPr>
                <w:rStyle w:val="Hyperlink"/>
                <w:noProof/>
              </w:rPr>
              <w:t>10.5</w:t>
            </w:r>
            <w:r w:rsidR="002A7B67">
              <w:rPr>
                <w:rFonts w:eastAsiaTheme="minorEastAsia" w:cstheme="minorBidi"/>
                <w:noProof/>
                <w:kern w:val="2"/>
                <w:lang w:eastAsia="de-DE"/>
                <w14:ligatures w14:val="standardContextual"/>
              </w:rPr>
              <w:tab/>
            </w:r>
            <w:r w:rsidR="002A7B67" w:rsidRPr="00BA6ED6">
              <w:rPr>
                <w:rStyle w:val="Hyperlink"/>
                <w:noProof/>
              </w:rPr>
              <w:t>Nichtangabe</w:t>
            </w:r>
            <w:r w:rsidR="002A7B67">
              <w:rPr>
                <w:noProof/>
                <w:webHidden/>
              </w:rPr>
              <w:tab/>
            </w:r>
            <w:r w:rsidR="002A7B67">
              <w:rPr>
                <w:noProof/>
                <w:webHidden/>
              </w:rPr>
              <w:fldChar w:fldCharType="begin"/>
            </w:r>
            <w:r w:rsidR="002A7B67">
              <w:rPr>
                <w:noProof/>
                <w:webHidden/>
              </w:rPr>
              <w:instrText xml:space="preserve"> PAGEREF _Toc154652680 \h </w:instrText>
            </w:r>
            <w:r w:rsidR="002A7B67">
              <w:rPr>
                <w:noProof/>
                <w:webHidden/>
              </w:rPr>
            </w:r>
            <w:r w:rsidR="002A7B67">
              <w:rPr>
                <w:noProof/>
                <w:webHidden/>
              </w:rPr>
              <w:fldChar w:fldCharType="separate"/>
            </w:r>
            <w:r w:rsidR="00C9149F">
              <w:rPr>
                <w:noProof/>
                <w:webHidden/>
              </w:rPr>
              <w:t>82</w:t>
            </w:r>
            <w:r w:rsidR="002A7B67">
              <w:rPr>
                <w:noProof/>
                <w:webHidden/>
              </w:rPr>
              <w:fldChar w:fldCharType="end"/>
            </w:r>
          </w:hyperlink>
        </w:p>
        <w:p w14:paraId="0A189EE4" w14:textId="4FF3E704" w:rsidR="002A7B67" w:rsidRDefault="00000000" w:rsidP="00A824A4">
          <w:pPr>
            <w:pStyle w:val="Verzeichnis2"/>
            <w:rPr>
              <w:rFonts w:eastAsiaTheme="minorEastAsia" w:cstheme="minorBidi"/>
              <w:noProof/>
              <w:kern w:val="2"/>
              <w:lang w:eastAsia="de-DE"/>
              <w14:ligatures w14:val="standardContextual"/>
            </w:rPr>
          </w:pPr>
          <w:hyperlink w:anchor="_Toc154652681" w:history="1">
            <w:r w:rsidR="002A7B67" w:rsidRPr="00BA6ED6">
              <w:rPr>
                <w:rStyle w:val="Hyperlink"/>
                <w:noProof/>
              </w:rPr>
              <w:t>10.6</w:t>
            </w:r>
            <w:r w:rsidR="002A7B67">
              <w:rPr>
                <w:rFonts w:eastAsiaTheme="minorEastAsia" w:cstheme="minorBidi"/>
                <w:noProof/>
                <w:kern w:val="2"/>
                <w:lang w:eastAsia="de-DE"/>
                <w14:ligatures w14:val="standardContextual"/>
              </w:rPr>
              <w:tab/>
            </w:r>
            <w:r w:rsidR="002A7B67" w:rsidRPr="00BA6ED6">
              <w:rPr>
                <w:rStyle w:val="Hyperlink"/>
                <w:noProof/>
              </w:rPr>
              <w:t>Maskierung/Ersetzung</w:t>
            </w:r>
            <w:r w:rsidR="002A7B67">
              <w:rPr>
                <w:noProof/>
                <w:webHidden/>
              </w:rPr>
              <w:tab/>
            </w:r>
            <w:r w:rsidR="002A7B67">
              <w:rPr>
                <w:noProof/>
                <w:webHidden/>
              </w:rPr>
              <w:fldChar w:fldCharType="begin"/>
            </w:r>
            <w:r w:rsidR="002A7B67">
              <w:rPr>
                <w:noProof/>
                <w:webHidden/>
              </w:rPr>
              <w:instrText xml:space="preserve"> PAGEREF _Toc154652681 \h </w:instrText>
            </w:r>
            <w:r w:rsidR="002A7B67">
              <w:rPr>
                <w:noProof/>
                <w:webHidden/>
              </w:rPr>
            </w:r>
            <w:r w:rsidR="002A7B67">
              <w:rPr>
                <w:noProof/>
                <w:webHidden/>
              </w:rPr>
              <w:fldChar w:fldCharType="separate"/>
            </w:r>
            <w:r w:rsidR="00C9149F">
              <w:rPr>
                <w:noProof/>
                <w:webHidden/>
              </w:rPr>
              <w:t>82</w:t>
            </w:r>
            <w:r w:rsidR="002A7B67">
              <w:rPr>
                <w:noProof/>
                <w:webHidden/>
              </w:rPr>
              <w:fldChar w:fldCharType="end"/>
            </w:r>
          </w:hyperlink>
        </w:p>
        <w:p w14:paraId="6D943A43" w14:textId="04D88023" w:rsidR="002A7B67" w:rsidRDefault="00000000" w:rsidP="00A824A4">
          <w:pPr>
            <w:pStyle w:val="Verzeichnis2"/>
            <w:rPr>
              <w:rFonts w:eastAsiaTheme="minorEastAsia" w:cstheme="minorBidi"/>
              <w:noProof/>
              <w:kern w:val="2"/>
              <w:lang w:eastAsia="de-DE"/>
              <w14:ligatures w14:val="standardContextual"/>
            </w:rPr>
          </w:pPr>
          <w:hyperlink w:anchor="_Toc154652682" w:history="1">
            <w:r w:rsidR="002A7B67" w:rsidRPr="00BA6ED6">
              <w:rPr>
                <w:rStyle w:val="Hyperlink"/>
                <w:noProof/>
              </w:rPr>
              <w:t>10.7</w:t>
            </w:r>
            <w:r w:rsidR="002A7B67">
              <w:rPr>
                <w:rFonts w:eastAsiaTheme="minorEastAsia" w:cstheme="minorBidi"/>
                <w:noProof/>
                <w:kern w:val="2"/>
                <w:lang w:eastAsia="de-DE"/>
                <w14:ligatures w14:val="standardContextual"/>
              </w:rPr>
              <w:tab/>
            </w:r>
            <w:r w:rsidR="002A7B67" w:rsidRPr="00BA6ED6">
              <w:rPr>
                <w:rStyle w:val="Hyperlink"/>
                <w:noProof/>
              </w:rPr>
              <w:t>Mischung/</w:t>
            </w:r>
            <w:r w:rsidR="002A7B67" w:rsidRPr="004832F9">
              <w:rPr>
                <w:rStyle w:val="Hyperlink"/>
                <w:noProof/>
              </w:rPr>
              <w:t>Shuffeling</w:t>
            </w:r>
            <w:r w:rsidR="002A7B67">
              <w:rPr>
                <w:noProof/>
                <w:webHidden/>
              </w:rPr>
              <w:tab/>
            </w:r>
            <w:r w:rsidR="002A7B67">
              <w:rPr>
                <w:noProof/>
                <w:webHidden/>
              </w:rPr>
              <w:fldChar w:fldCharType="begin"/>
            </w:r>
            <w:r w:rsidR="002A7B67">
              <w:rPr>
                <w:noProof/>
                <w:webHidden/>
              </w:rPr>
              <w:instrText xml:space="preserve"> PAGEREF _Toc154652682 \h </w:instrText>
            </w:r>
            <w:r w:rsidR="002A7B67">
              <w:rPr>
                <w:noProof/>
                <w:webHidden/>
              </w:rPr>
            </w:r>
            <w:r w:rsidR="002A7B67">
              <w:rPr>
                <w:noProof/>
                <w:webHidden/>
              </w:rPr>
              <w:fldChar w:fldCharType="separate"/>
            </w:r>
            <w:r w:rsidR="00C9149F">
              <w:rPr>
                <w:noProof/>
                <w:webHidden/>
              </w:rPr>
              <w:t>83</w:t>
            </w:r>
            <w:r w:rsidR="002A7B67">
              <w:rPr>
                <w:noProof/>
                <w:webHidden/>
              </w:rPr>
              <w:fldChar w:fldCharType="end"/>
            </w:r>
          </w:hyperlink>
        </w:p>
        <w:p w14:paraId="6A8C0756" w14:textId="17F2FD1A" w:rsidR="002A7B67" w:rsidRDefault="00000000" w:rsidP="00A824A4">
          <w:pPr>
            <w:pStyle w:val="Verzeichnis2"/>
            <w:rPr>
              <w:rFonts w:eastAsiaTheme="minorEastAsia" w:cstheme="minorBidi"/>
              <w:noProof/>
              <w:kern w:val="2"/>
              <w:lang w:eastAsia="de-DE"/>
              <w14:ligatures w14:val="standardContextual"/>
            </w:rPr>
          </w:pPr>
          <w:hyperlink w:anchor="_Toc154652683" w:history="1">
            <w:r w:rsidR="002A7B67" w:rsidRPr="00BA6ED6">
              <w:rPr>
                <w:rStyle w:val="Hyperlink"/>
                <w:noProof/>
              </w:rPr>
              <w:t>10.8</w:t>
            </w:r>
            <w:r w:rsidR="002A7B67">
              <w:rPr>
                <w:rFonts w:eastAsiaTheme="minorEastAsia" w:cstheme="minorBidi"/>
                <w:noProof/>
                <w:kern w:val="2"/>
                <w:lang w:eastAsia="de-DE"/>
                <w14:ligatures w14:val="standardContextual"/>
              </w:rPr>
              <w:tab/>
            </w:r>
            <w:r w:rsidR="002A7B67" w:rsidRPr="00BA6ED6">
              <w:rPr>
                <w:rStyle w:val="Hyperlink"/>
                <w:noProof/>
              </w:rPr>
              <w:t>Varianzmethode</w:t>
            </w:r>
            <w:r w:rsidR="002A7B67">
              <w:rPr>
                <w:noProof/>
                <w:webHidden/>
              </w:rPr>
              <w:tab/>
            </w:r>
            <w:r w:rsidR="002A7B67">
              <w:rPr>
                <w:noProof/>
                <w:webHidden/>
              </w:rPr>
              <w:fldChar w:fldCharType="begin"/>
            </w:r>
            <w:r w:rsidR="002A7B67">
              <w:rPr>
                <w:noProof/>
                <w:webHidden/>
              </w:rPr>
              <w:instrText xml:space="preserve"> PAGEREF _Toc154652683 \h </w:instrText>
            </w:r>
            <w:r w:rsidR="002A7B67">
              <w:rPr>
                <w:noProof/>
                <w:webHidden/>
              </w:rPr>
            </w:r>
            <w:r w:rsidR="002A7B67">
              <w:rPr>
                <w:noProof/>
                <w:webHidden/>
              </w:rPr>
              <w:fldChar w:fldCharType="separate"/>
            </w:r>
            <w:r w:rsidR="00C9149F">
              <w:rPr>
                <w:noProof/>
                <w:webHidden/>
              </w:rPr>
              <w:t>83</w:t>
            </w:r>
            <w:r w:rsidR="002A7B67">
              <w:rPr>
                <w:noProof/>
                <w:webHidden/>
              </w:rPr>
              <w:fldChar w:fldCharType="end"/>
            </w:r>
          </w:hyperlink>
        </w:p>
        <w:p w14:paraId="190256C5" w14:textId="75873D93" w:rsidR="002A7B67" w:rsidRDefault="00000000" w:rsidP="00A824A4">
          <w:pPr>
            <w:pStyle w:val="Verzeichnis2"/>
            <w:rPr>
              <w:rFonts w:eastAsiaTheme="minorEastAsia" w:cstheme="minorBidi"/>
              <w:noProof/>
              <w:kern w:val="2"/>
              <w:lang w:eastAsia="de-DE"/>
              <w14:ligatures w14:val="standardContextual"/>
            </w:rPr>
          </w:pPr>
          <w:hyperlink w:anchor="_Toc154652684" w:history="1">
            <w:r w:rsidR="002A7B67" w:rsidRPr="00BA6ED6">
              <w:rPr>
                <w:rStyle w:val="Hyperlink"/>
                <w:noProof/>
              </w:rPr>
              <w:t>10.9</w:t>
            </w:r>
            <w:r w:rsidR="002A7B67">
              <w:rPr>
                <w:rFonts w:eastAsiaTheme="minorEastAsia" w:cstheme="minorBidi"/>
                <w:noProof/>
                <w:kern w:val="2"/>
                <w:lang w:eastAsia="de-DE"/>
                <w14:ligatures w14:val="standardContextual"/>
              </w:rPr>
              <w:tab/>
            </w:r>
            <w:r w:rsidR="002A7B67" w:rsidRPr="00BA6ED6">
              <w:rPr>
                <w:rStyle w:val="Hyperlink"/>
                <w:noProof/>
              </w:rPr>
              <w:t>Kryptografische Methoden</w:t>
            </w:r>
            <w:r w:rsidR="002A7B67">
              <w:rPr>
                <w:noProof/>
                <w:webHidden/>
              </w:rPr>
              <w:tab/>
            </w:r>
            <w:r w:rsidR="002A7B67">
              <w:rPr>
                <w:noProof/>
                <w:webHidden/>
              </w:rPr>
              <w:fldChar w:fldCharType="begin"/>
            </w:r>
            <w:r w:rsidR="002A7B67">
              <w:rPr>
                <w:noProof/>
                <w:webHidden/>
              </w:rPr>
              <w:instrText xml:space="preserve"> PAGEREF _Toc154652684 \h </w:instrText>
            </w:r>
            <w:r w:rsidR="002A7B67">
              <w:rPr>
                <w:noProof/>
                <w:webHidden/>
              </w:rPr>
            </w:r>
            <w:r w:rsidR="002A7B67">
              <w:rPr>
                <w:noProof/>
                <w:webHidden/>
              </w:rPr>
              <w:fldChar w:fldCharType="separate"/>
            </w:r>
            <w:r w:rsidR="00C9149F">
              <w:rPr>
                <w:noProof/>
                <w:webHidden/>
              </w:rPr>
              <w:t>83</w:t>
            </w:r>
            <w:r w:rsidR="002A7B67">
              <w:rPr>
                <w:noProof/>
                <w:webHidden/>
              </w:rPr>
              <w:fldChar w:fldCharType="end"/>
            </w:r>
          </w:hyperlink>
        </w:p>
        <w:p w14:paraId="09C785F5" w14:textId="6F12DC47" w:rsidR="002A7B67" w:rsidRDefault="00000000">
          <w:pPr>
            <w:pStyle w:val="Verzeichnis3"/>
            <w:rPr>
              <w:rFonts w:eastAsiaTheme="minorEastAsia" w:cstheme="minorBidi"/>
              <w:noProof/>
              <w:kern w:val="2"/>
              <w:sz w:val="22"/>
              <w:szCs w:val="22"/>
              <w:lang w:eastAsia="de-DE"/>
              <w14:ligatures w14:val="standardContextual"/>
            </w:rPr>
          </w:pPr>
          <w:hyperlink w:anchor="_Toc154652685" w:history="1">
            <w:r w:rsidR="002A7B67" w:rsidRPr="00BA6ED6">
              <w:rPr>
                <w:rStyle w:val="Hyperlink"/>
                <w:noProof/>
              </w:rPr>
              <w:t>10.9.1</w:t>
            </w:r>
            <w:r w:rsidR="002A7B67">
              <w:rPr>
                <w:rFonts w:eastAsiaTheme="minorEastAsia" w:cstheme="minorBidi"/>
                <w:noProof/>
                <w:kern w:val="2"/>
                <w:sz w:val="22"/>
                <w:szCs w:val="22"/>
                <w:lang w:eastAsia="de-DE"/>
                <w14:ligatures w14:val="standardContextual"/>
              </w:rPr>
              <w:tab/>
            </w:r>
            <w:r w:rsidR="002A7B67" w:rsidRPr="00BA6ED6">
              <w:rPr>
                <w:rStyle w:val="Hyperlink"/>
                <w:noProof/>
              </w:rPr>
              <w:t>Verschlüsselung</w:t>
            </w:r>
            <w:r w:rsidR="002A7B67">
              <w:rPr>
                <w:noProof/>
                <w:webHidden/>
              </w:rPr>
              <w:tab/>
            </w:r>
            <w:r w:rsidR="002A7B67">
              <w:rPr>
                <w:noProof/>
                <w:webHidden/>
              </w:rPr>
              <w:fldChar w:fldCharType="begin"/>
            </w:r>
            <w:r w:rsidR="002A7B67">
              <w:rPr>
                <w:noProof/>
                <w:webHidden/>
              </w:rPr>
              <w:instrText xml:space="preserve"> PAGEREF _Toc154652685 \h </w:instrText>
            </w:r>
            <w:r w:rsidR="002A7B67">
              <w:rPr>
                <w:noProof/>
                <w:webHidden/>
              </w:rPr>
            </w:r>
            <w:r w:rsidR="002A7B67">
              <w:rPr>
                <w:noProof/>
                <w:webHidden/>
              </w:rPr>
              <w:fldChar w:fldCharType="separate"/>
            </w:r>
            <w:r w:rsidR="00C9149F">
              <w:rPr>
                <w:noProof/>
                <w:webHidden/>
              </w:rPr>
              <w:t>83</w:t>
            </w:r>
            <w:r w:rsidR="002A7B67">
              <w:rPr>
                <w:noProof/>
                <w:webHidden/>
              </w:rPr>
              <w:fldChar w:fldCharType="end"/>
            </w:r>
          </w:hyperlink>
        </w:p>
        <w:p w14:paraId="466AB8EF" w14:textId="2C62A6E9" w:rsidR="002A7B67" w:rsidRDefault="00000000">
          <w:pPr>
            <w:pStyle w:val="Verzeichnis3"/>
            <w:rPr>
              <w:rFonts w:eastAsiaTheme="minorEastAsia" w:cstheme="minorBidi"/>
              <w:noProof/>
              <w:kern w:val="2"/>
              <w:sz w:val="22"/>
              <w:szCs w:val="22"/>
              <w:lang w:eastAsia="de-DE"/>
              <w14:ligatures w14:val="standardContextual"/>
            </w:rPr>
          </w:pPr>
          <w:hyperlink w:anchor="_Toc154652686" w:history="1">
            <w:r w:rsidR="002A7B67" w:rsidRPr="00BA6ED6">
              <w:rPr>
                <w:rStyle w:val="Hyperlink"/>
                <w:noProof/>
              </w:rPr>
              <w:t>10.9.2</w:t>
            </w:r>
            <w:r w:rsidR="002A7B67">
              <w:rPr>
                <w:rFonts w:eastAsiaTheme="minorEastAsia" w:cstheme="minorBidi"/>
                <w:noProof/>
                <w:kern w:val="2"/>
                <w:sz w:val="22"/>
                <w:szCs w:val="22"/>
                <w:lang w:eastAsia="de-DE"/>
                <w14:ligatures w14:val="standardContextual"/>
              </w:rPr>
              <w:tab/>
            </w:r>
            <w:r w:rsidR="002A7B67" w:rsidRPr="00BA6ED6">
              <w:rPr>
                <w:rStyle w:val="Hyperlink"/>
                <w:noProof/>
              </w:rPr>
              <w:t>Hash-Funktionen</w:t>
            </w:r>
            <w:r w:rsidR="002A7B67">
              <w:rPr>
                <w:noProof/>
                <w:webHidden/>
              </w:rPr>
              <w:tab/>
            </w:r>
            <w:r w:rsidR="002A7B67">
              <w:rPr>
                <w:noProof/>
                <w:webHidden/>
              </w:rPr>
              <w:fldChar w:fldCharType="begin"/>
            </w:r>
            <w:r w:rsidR="002A7B67">
              <w:rPr>
                <w:noProof/>
                <w:webHidden/>
              </w:rPr>
              <w:instrText xml:space="preserve"> PAGEREF _Toc154652686 \h </w:instrText>
            </w:r>
            <w:r w:rsidR="002A7B67">
              <w:rPr>
                <w:noProof/>
                <w:webHidden/>
              </w:rPr>
            </w:r>
            <w:r w:rsidR="002A7B67">
              <w:rPr>
                <w:noProof/>
                <w:webHidden/>
              </w:rPr>
              <w:fldChar w:fldCharType="separate"/>
            </w:r>
            <w:r w:rsidR="00C9149F">
              <w:rPr>
                <w:noProof/>
                <w:webHidden/>
              </w:rPr>
              <w:t>84</w:t>
            </w:r>
            <w:r w:rsidR="002A7B67">
              <w:rPr>
                <w:noProof/>
                <w:webHidden/>
              </w:rPr>
              <w:fldChar w:fldCharType="end"/>
            </w:r>
          </w:hyperlink>
        </w:p>
        <w:p w14:paraId="074573C2" w14:textId="673E5D3C" w:rsidR="002A7B67" w:rsidRDefault="00000000" w:rsidP="00A824A4">
          <w:pPr>
            <w:pStyle w:val="Verzeichnis2"/>
            <w:rPr>
              <w:rFonts w:eastAsiaTheme="minorEastAsia" w:cstheme="minorBidi"/>
              <w:noProof/>
              <w:kern w:val="2"/>
              <w:lang w:eastAsia="de-DE"/>
              <w14:ligatures w14:val="standardContextual"/>
            </w:rPr>
          </w:pPr>
          <w:hyperlink w:anchor="_Toc154652687" w:history="1">
            <w:r w:rsidR="002A7B67" w:rsidRPr="00BA6ED6">
              <w:rPr>
                <w:rStyle w:val="Hyperlink"/>
                <w:noProof/>
              </w:rPr>
              <w:t>10.10</w:t>
            </w:r>
            <w:r w:rsidR="002A7B67">
              <w:rPr>
                <w:rFonts w:eastAsiaTheme="minorEastAsia" w:cstheme="minorBidi"/>
                <w:noProof/>
                <w:kern w:val="2"/>
                <w:lang w:eastAsia="de-DE"/>
                <w14:ligatures w14:val="standardContextual"/>
              </w:rPr>
              <w:tab/>
            </w:r>
            <w:r w:rsidR="002A7B67" w:rsidRPr="00BA6ED6">
              <w:rPr>
                <w:rStyle w:val="Hyperlink"/>
                <w:noProof/>
              </w:rPr>
              <w:t>Risikobewertung</w:t>
            </w:r>
            <w:r w:rsidR="002A7B67">
              <w:rPr>
                <w:noProof/>
                <w:webHidden/>
              </w:rPr>
              <w:tab/>
            </w:r>
            <w:r w:rsidR="002A7B67">
              <w:rPr>
                <w:noProof/>
                <w:webHidden/>
              </w:rPr>
              <w:fldChar w:fldCharType="begin"/>
            </w:r>
            <w:r w:rsidR="002A7B67">
              <w:rPr>
                <w:noProof/>
                <w:webHidden/>
              </w:rPr>
              <w:instrText xml:space="preserve"> PAGEREF _Toc154652687 \h </w:instrText>
            </w:r>
            <w:r w:rsidR="002A7B67">
              <w:rPr>
                <w:noProof/>
                <w:webHidden/>
              </w:rPr>
            </w:r>
            <w:r w:rsidR="002A7B67">
              <w:rPr>
                <w:noProof/>
                <w:webHidden/>
              </w:rPr>
              <w:fldChar w:fldCharType="separate"/>
            </w:r>
            <w:r w:rsidR="00C9149F">
              <w:rPr>
                <w:noProof/>
                <w:webHidden/>
              </w:rPr>
              <w:t>84</w:t>
            </w:r>
            <w:r w:rsidR="002A7B67">
              <w:rPr>
                <w:noProof/>
                <w:webHidden/>
              </w:rPr>
              <w:fldChar w:fldCharType="end"/>
            </w:r>
          </w:hyperlink>
        </w:p>
        <w:p w14:paraId="0E767F2B" w14:textId="6AAC6ECD" w:rsidR="002A7B67" w:rsidRDefault="002A7B67">
          <w:pPr>
            <w:pStyle w:val="Verzeichnis1"/>
            <w:rPr>
              <w:rFonts w:eastAsiaTheme="minorEastAsia" w:cstheme="minorBidi"/>
              <w:b w:val="0"/>
              <w:bCs w:val="0"/>
              <w:iCs w:val="0"/>
              <w:noProof/>
              <w:kern w:val="2"/>
              <w:sz w:val="22"/>
              <w:szCs w:val="22"/>
              <w:lang w:eastAsia="de-DE"/>
              <w14:ligatures w14:val="standardContextual"/>
            </w:rPr>
          </w:pPr>
          <w:r>
            <w:rPr>
              <w:rStyle w:val="Hyperlink"/>
              <w:noProof/>
            </w:rPr>
            <w:br w:type="column"/>
          </w:r>
          <w:hyperlink w:anchor="_Toc154652688" w:history="1">
            <w:r w:rsidRPr="00BA6ED6">
              <w:rPr>
                <w:rStyle w:val="Hyperlink"/>
                <w:noProof/>
              </w:rPr>
              <w:t>11</w:t>
            </w:r>
            <w:r>
              <w:rPr>
                <w:rFonts w:eastAsiaTheme="minorEastAsia" w:cstheme="minorBidi"/>
                <w:b w:val="0"/>
                <w:bCs w:val="0"/>
                <w:iCs w:val="0"/>
                <w:noProof/>
                <w:kern w:val="2"/>
                <w:sz w:val="22"/>
                <w:szCs w:val="22"/>
                <w:lang w:eastAsia="de-DE"/>
                <w14:ligatures w14:val="standardContextual"/>
              </w:rPr>
              <w:tab/>
            </w:r>
            <w:r w:rsidRPr="00BA6ED6">
              <w:rPr>
                <w:rStyle w:val="Hyperlink"/>
                <w:noProof/>
              </w:rPr>
              <w:t>Gerichtsurteile</w:t>
            </w:r>
            <w:r>
              <w:rPr>
                <w:noProof/>
                <w:webHidden/>
              </w:rPr>
              <w:tab/>
            </w:r>
            <w:r>
              <w:rPr>
                <w:noProof/>
                <w:webHidden/>
              </w:rPr>
              <w:fldChar w:fldCharType="begin"/>
            </w:r>
            <w:r>
              <w:rPr>
                <w:noProof/>
                <w:webHidden/>
              </w:rPr>
              <w:instrText xml:space="preserve"> PAGEREF _Toc154652688 \h </w:instrText>
            </w:r>
            <w:r>
              <w:rPr>
                <w:noProof/>
                <w:webHidden/>
              </w:rPr>
            </w:r>
            <w:r>
              <w:rPr>
                <w:noProof/>
                <w:webHidden/>
              </w:rPr>
              <w:fldChar w:fldCharType="separate"/>
            </w:r>
            <w:r w:rsidR="00C9149F">
              <w:rPr>
                <w:noProof/>
                <w:webHidden/>
              </w:rPr>
              <w:t>85</w:t>
            </w:r>
            <w:r>
              <w:rPr>
                <w:noProof/>
                <w:webHidden/>
              </w:rPr>
              <w:fldChar w:fldCharType="end"/>
            </w:r>
          </w:hyperlink>
        </w:p>
        <w:p w14:paraId="72F9561B" w14:textId="08E30D34"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689" w:history="1">
            <w:r w:rsidR="002A7B67" w:rsidRPr="00BA6ED6">
              <w:rPr>
                <w:rStyle w:val="Hyperlink"/>
                <w:noProof/>
              </w:rPr>
              <w:t>12</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Abkürzungen</w:t>
            </w:r>
            <w:r w:rsidR="002A7B67">
              <w:rPr>
                <w:noProof/>
                <w:webHidden/>
              </w:rPr>
              <w:tab/>
            </w:r>
            <w:r w:rsidR="002A7B67">
              <w:rPr>
                <w:noProof/>
                <w:webHidden/>
              </w:rPr>
              <w:fldChar w:fldCharType="begin"/>
            </w:r>
            <w:r w:rsidR="002A7B67">
              <w:rPr>
                <w:noProof/>
                <w:webHidden/>
              </w:rPr>
              <w:instrText xml:space="preserve"> PAGEREF _Toc154652689 \h </w:instrText>
            </w:r>
            <w:r w:rsidR="002A7B67">
              <w:rPr>
                <w:noProof/>
                <w:webHidden/>
              </w:rPr>
            </w:r>
            <w:r w:rsidR="002A7B67">
              <w:rPr>
                <w:noProof/>
                <w:webHidden/>
              </w:rPr>
              <w:fldChar w:fldCharType="separate"/>
            </w:r>
            <w:r w:rsidR="00C9149F">
              <w:rPr>
                <w:noProof/>
                <w:webHidden/>
              </w:rPr>
              <w:t>89</w:t>
            </w:r>
            <w:r w:rsidR="002A7B67">
              <w:rPr>
                <w:noProof/>
                <w:webHidden/>
              </w:rPr>
              <w:fldChar w:fldCharType="end"/>
            </w:r>
          </w:hyperlink>
        </w:p>
        <w:p w14:paraId="62694091" w14:textId="50476A93"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690" w:history="1">
            <w:r w:rsidR="002A7B67" w:rsidRPr="00BA6ED6">
              <w:rPr>
                <w:rStyle w:val="Hyperlink"/>
                <w:noProof/>
              </w:rPr>
              <w:t>13</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Glossar</w:t>
            </w:r>
            <w:r w:rsidR="002A7B67">
              <w:rPr>
                <w:noProof/>
                <w:webHidden/>
              </w:rPr>
              <w:tab/>
            </w:r>
            <w:r w:rsidR="002A7B67">
              <w:rPr>
                <w:noProof/>
                <w:webHidden/>
              </w:rPr>
              <w:fldChar w:fldCharType="begin"/>
            </w:r>
            <w:r w:rsidR="002A7B67">
              <w:rPr>
                <w:noProof/>
                <w:webHidden/>
              </w:rPr>
              <w:instrText xml:space="preserve"> PAGEREF _Toc154652690 \h </w:instrText>
            </w:r>
            <w:r w:rsidR="002A7B67">
              <w:rPr>
                <w:noProof/>
                <w:webHidden/>
              </w:rPr>
            </w:r>
            <w:r w:rsidR="002A7B67">
              <w:rPr>
                <w:noProof/>
                <w:webHidden/>
              </w:rPr>
              <w:fldChar w:fldCharType="separate"/>
            </w:r>
            <w:r w:rsidR="00C9149F">
              <w:rPr>
                <w:noProof/>
                <w:webHidden/>
              </w:rPr>
              <w:t>91</w:t>
            </w:r>
            <w:r w:rsidR="002A7B67">
              <w:rPr>
                <w:noProof/>
                <w:webHidden/>
              </w:rPr>
              <w:fldChar w:fldCharType="end"/>
            </w:r>
          </w:hyperlink>
        </w:p>
        <w:p w14:paraId="7ADEF721" w14:textId="7A708058" w:rsidR="002A7B67" w:rsidRDefault="00000000">
          <w:pPr>
            <w:pStyle w:val="Verzeichnis1"/>
            <w:rPr>
              <w:rFonts w:eastAsiaTheme="minorEastAsia" w:cstheme="minorBidi"/>
              <w:b w:val="0"/>
              <w:bCs w:val="0"/>
              <w:iCs w:val="0"/>
              <w:noProof/>
              <w:kern w:val="2"/>
              <w:sz w:val="22"/>
              <w:szCs w:val="22"/>
              <w:lang w:eastAsia="de-DE"/>
              <w14:ligatures w14:val="standardContextual"/>
            </w:rPr>
          </w:pPr>
          <w:hyperlink w:anchor="_Toc154652691" w:history="1">
            <w:r w:rsidR="002A7B67" w:rsidRPr="00BA6ED6">
              <w:rPr>
                <w:rStyle w:val="Hyperlink"/>
                <w:noProof/>
              </w:rPr>
              <w:t>14</w:t>
            </w:r>
            <w:r w:rsidR="002A7B67">
              <w:rPr>
                <w:rFonts w:eastAsiaTheme="minorEastAsia" w:cstheme="minorBidi"/>
                <w:b w:val="0"/>
                <w:bCs w:val="0"/>
                <w:iCs w:val="0"/>
                <w:noProof/>
                <w:kern w:val="2"/>
                <w:sz w:val="22"/>
                <w:szCs w:val="22"/>
                <w:lang w:eastAsia="de-DE"/>
                <w14:ligatures w14:val="standardContextual"/>
              </w:rPr>
              <w:tab/>
            </w:r>
            <w:r w:rsidR="002A7B67" w:rsidRPr="00BA6ED6">
              <w:rPr>
                <w:rStyle w:val="Hyperlink"/>
                <w:noProof/>
              </w:rPr>
              <w:t>Literatur</w:t>
            </w:r>
            <w:r w:rsidR="002A7B67">
              <w:rPr>
                <w:noProof/>
                <w:webHidden/>
              </w:rPr>
              <w:tab/>
            </w:r>
            <w:r w:rsidR="002A7B67">
              <w:rPr>
                <w:noProof/>
                <w:webHidden/>
              </w:rPr>
              <w:fldChar w:fldCharType="begin"/>
            </w:r>
            <w:r w:rsidR="002A7B67">
              <w:rPr>
                <w:noProof/>
                <w:webHidden/>
              </w:rPr>
              <w:instrText xml:space="preserve"> PAGEREF _Toc154652691 \h </w:instrText>
            </w:r>
            <w:r w:rsidR="002A7B67">
              <w:rPr>
                <w:noProof/>
                <w:webHidden/>
              </w:rPr>
            </w:r>
            <w:r w:rsidR="002A7B67">
              <w:rPr>
                <w:noProof/>
                <w:webHidden/>
              </w:rPr>
              <w:fldChar w:fldCharType="separate"/>
            </w:r>
            <w:r w:rsidR="00C9149F">
              <w:rPr>
                <w:noProof/>
                <w:webHidden/>
              </w:rPr>
              <w:t>94</w:t>
            </w:r>
            <w:r w:rsidR="002A7B67">
              <w:rPr>
                <w:noProof/>
                <w:webHidden/>
              </w:rPr>
              <w:fldChar w:fldCharType="end"/>
            </w:r>
          </w:hyperlink>
        </w:p>
        <w:p w14:paraId="56BBA1E0" w14:textId="532EFAF3" w:rsidR="002A7B67" w:rsidRDefault="00000000" w:rsidP="00A824A4">
          <w:pPr>
            <w:pStyle w:val="Verzeichnis2"/>
            <w:rPr>
              <w:rFonts w:eastAsiaTheme="minorEastAsia" w:cstheme="minorBidi"/>
              <w:noProof/>
              <w:kern w:val="2"/>
              <w:lang w:eastAsia="de-DE"/>
              <w14:ligatures w14:val="standardContextual"/>
            </w:rPr>
          </w:pPr>
          <w:hyperlink w:anchor="_Toc154652692" w:history="1">
            <w:r w:rsidR="002A7B67" w:rsidRPr="00BA6ED6">
              <w:rPr>
                <w:rStyle w:val="Hyperlink"/>
                <w:noProof/>
              </w:rPr>
              <w:t>14.1</w:t>
            </w:r>
            <w:r w:rsidR="002A7B67">
              <w:rPr>
                <w:rFonts w:eastAsiaTheme="minorEastAsia" w:cstheme="minorBidi"/>
                <w:noProof/>
                <w:kern w:val="2"/>
                <w:lang w:eastAsia="de-DE"/>
                <w14:ligatures w14:val="standardContextual"/>
              </w:rPr>
              <w:tab/>
            </w:r>
            <w:r w:rsidR="002A7B67" w:rsidRPr="00BA6ED6">
              <w:rPr>
                <w:rStyle w:val="Hyperlink"/>
                <w:noProof/>
              </w:rPr>
              <w:t>Bücher</w:t>
            </w:r>
            <w:r w:rsidR="002A7B67">
              <w:rPr>
                <w:noProof/>
                <w:webHidden/>
              </w:rPr>
              <w:tab/>
            </w:r>
            <w:r w:rsidR="002A7B67">
              <w:rPr>
                <w:noProof/>
                <w:webHidden/>
              </w:rPr>
              <w:fldChar w:fldCharType="begin"/>
            </w:r>
            <w:r w:rsidR="002A7B67">
              <w:rPr>
                <w:noProof/>
                <w:webHidden/>
              </w:rPr>
              <w:instrText xml:space="preserve"> PAGEREF _Toc154652692 \h </w:instrText>
            </w:r>
            <w:r w:rsidR="002A7B67">
              <w:rPr>
                <w:noProof/>
                <w:webHidden/>
              </w:rPr>
            </w:r>
            <w:r w:rsidR="002A7B67">
              <w:rPr>
                <w:noProof/>
                <w:webHidden/>
              </w:rPr>
              <w:fldChar w:fldCharType="separate"/>
            </w:r>
            <w:r w:rsidR="00C9149F">
              <w:rPr>
                <w:noProof/>
                <w:webHidden/>
              </w:rPr>
              <w:t>94</w:t>
            </w:r>
            <w:r w:rsidR="002A7B67">
              <w:rPr>
                <w:noProof/>
                <w:webHidden/>
              </w:rPr>
              <w:fldChar w:fldCharType="end"/>
            </w:r>
          </w:hyperlink>
        </w:p>
        <w:p w14:paraId="773DF5FF" w14:textId="636FC865" w:rsidR="002A7B67" w:rsidRDefault="00000000" w:rsidP="00A824A4">
          <w:pPr>
            <w:pStyle w:val="Verzeichnis2"/>
            <w:rPr>
              <w:rFonts w:eastAsiaTheme="minorEastAsia" w:cstheme="minorBidi"/>
              <w:noProof/>
              <w:kern w:val="2"/>
              <w:lang w:eastAsia="de-DE"/>
              <w14:ligatures w14:val="standardContextual"/>
            </w:rPr>
          </w:pPr>
          <w:hyperlink w:anchor="_Toc154652693" w:history="1">
            <w:r w:rsidR="002A7B67" w:rsidRPr="00BA6ED6">
              <w:rPr>
                <w:rStyle w:val="Hyperlink"/>
                <w:noProof/>
              </w:rPr>
              <w:t>14.2</w:t>
            </w:r>
            <w:r w:rsidR="002A7B67">
              <w:rPr>
                <w:rFonts w:eastAsiaTheme="minorEastAsia" w:cstheme="minorBidi"/>
                <w:noProof/>
                <w:kern w:val="2"/>
                <w:lang w:eastAsia="de-DE"/>
                <w14:ligatures w14:val="standardContextual"/>
              </w:rPr>
              <w:tab/>
            </w:r>
            <w:r w:rsidR="002A7B67" w:rsidRPr="00BA6ED6">
              <w:rPr>
                <w:rStyle w:val="Hyperlink"/>
                <w:noProof/>
              </w:rPr>
              <w:t>Online</w:t>
            </w:r>
            <w:r w:rsidR="002A7B67">
              <w:rPr>
                <w:noProof/>
                <w:webHidden/>
              </w:rPr>
              <w:tab/>
            </w:r>
            <w:r w:rsidR="002A7B67">
              <w:rPr>
                <w:noProof/>
                <w:webHidden/>
              </w:rPr>
              <w:fldChar w:fldCharType="begin"/>
            </w:r>
            <w:r w:rsidR="002A7B67">
              <w:rPr>
                <w:noProof/>
                <w:webHidden/>
              </w:rPr>
              <w:instrText xml:space="preserve"> PAGEREF _Toc154652693 \h </w:instrText>
            </w:r>
            <w:r w:rsidR="002A7B67">
              <w:rPr>
                <w:noProof/>
                <w:webHidden/>
              </w:rPr>
            </w:r>
            <w:r w:rsidR="002A7B67">
              <w:rPr>
                <w:noProof/>
                <w:webHidden/>
              </w:rPr>
              <w:fldChar w:fldCharType="separate"/>
            </w:r>
            <w:r w:rsidR="00C9149F">
              <w:rPr>
                <w:noProof/>
                <w:webHidden/>
              </w:rPr>
              <w:t>94</w:t>
            </w:r>
            <w:r w:rsidR="002A7B67">
              <w:rPr>
                <w:noProof/>
                <w:webHidden/>
              </w:rPr>
              <w:fldChar w:fldCharType="end"/>
            </w:r>
          </w:hyperlink>
        </w:p>
        <w:p w14:paraId="1F133FDC" w14:textId="339AE58F" w:rsidR="002A7B67" w:rsidRDefault="00000000" w:rsidP="00A824A4">
          <w:pPr>
            <w:pStyle w:val="Verzeichnis2"/>
            <w:rPr>
              <w:rFonts w:eastAsiaTheme="minorEastAsia" w:cstheme="minorBidi"/>
              <w:noProof/>
              <w:kern w:val="2"/>
              <w:lang w:eastAsia="de-DE"/>
              <w14:ligatures w14:val="standardContextual"/>
            </w:rPr>
          </w:pPr>
          <w:hyperlink w:anchor="_Toc154652694" w:history="1">
            <w:r w:rsidR="002A7B67" w:rsidRPr="00BA6ED6">
              <w:rPr>
                <w:rStyle w:val="Hyperlink"/>
                <w:noProof/>
              </w:rPr>
              <w:t>14.3</w:t>
            </w:r>
            <w:r w:rsidR="002A7B67">
              <w:rPr>
                <w:rFonts w:eastAsiaTheme="minorEastAsia" w:cstheme="minorBidi"/>
                <w:noProof/>
                <w:kern w:val="2"/>
                <w:lang w:eastAsia="de-DE"/>
                <w14:ligatures w14:val="standardContextual"/>
              </w:rPr>
              <w:tab/>
            </w:r>
            <w:r w:rsidR="002A7B67" w:rsidRPr="00BA6ED6">
              <w:rPr>
                <w:rStyle w:val="Hyperlink"/>
                <w:noProof/>
              </w:rPr>
              <w:t>Zeitschriften</w:t>
            </w:r>
            <w:r w:rsidR="002A7B67">
              <w:rPr>
                <w:noProof/>
                <w:webHidden/>
              </w:rPr>
              <w:tab/>
            </w:r>
            <w:r w:rsidR="002A7B67">
              <w:rPr>
                <w:noProof/>
                <w:webHidden/>
              </w:rPr>
              <w:fldChar w:fldCharType="begin"/>
            </w:r>
            <w:r w:rsidR="002A7B67">
              <w:rPr>
                <w:noProof/>
                <w:webHidden/>
              </w:rPr>
              <w:instrText xml:space="preserve"> PAGEREF _Toc154652694 \h </w:instrText>
            </w:r>
            <w:r w:rsidR="002A7B67">
              <w:rPr>
                <w:noProof/>
                <w:webHidden/>
              </w:rPr>
            </w:r>
            <w:r w:rsidR="002A7B67">
              <w:rPr>
                <w:noProof/>
                <w:webHidden/>
              </w:rPr>
              <w:fldChar w:fldCharType="separate"/>
            </w:r>
            <w:r w:rsidR="00C9149F">
              <w:rPr>
                <w:noProof/>
                <w:webHidden/>
              </w:rPr>
              <w:t>97</w:t>
            </w:r>
            <w:r w:rsidR="002A7B67">
              <w:rPr>
                <w:noProof/>
                <w:webHidden/>
              </w:rPr>
              <w:fldChar w:fldCharType="end"/>
            </w:r>
          </w:hyperlink>
        </w:p>
        <w:p w14:paraId="3B008509" w14:textId="40859717" w:rsidR="00CA188B" w:rsidRDefault="00D720C3" w:rsidP="00521649">
          <w:pPr>
            <w:pStyle w:val="Verzeichnis1"/>
          </w:pPr>
          <w:r>
            <w:fldChar w:fldCharType="end"/>
          </w:r>
        </w:p>
      </w:sdtContent>
    </w:sdt>
    <w:p w14:paraId="451123F5" w14:textId="3D9D3B1B" w:rsidR="00CA188B" w:rsidRDefault="00CA188B">
      <w:pPr>
        <w:spacing w:after="0" w:line="240" w:lineRule="auto"/>
        <w:jc w:val="left"/>
      </w:pPr>
      <w:r>
        <w:br w:type="page"/>
      </w:r>
    </w:p>
    <w:p w14:paraId="6BAE2B22" w14:textId="77777777" w:rsidR="00CA188B" w:rsidRDefault="00CA188B" w:rsidP="00CA188B">
      <w:pPr>
        <w:pStyle w:val="Untertitel"/>
      </w:pPr>
      <w:bookmarkStart w:id="59" w:name="_Toc512158336"/>
      <w:r>
        <w:t>Tabellenverzeichnis</w:t>
      </w:r>
      <w:bookmarkEnd w:id="59"/>
    </w:p>
    <w:p w14:paraId="170EAC69" w14:textId="6A473C8A" w:rsidR="004D05D2" w:rsidRDefault="002227A5">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r>
        <w:rPr>
          <w:b w:val="0"/>
          <w:bCs/>
          <w:i/>
          <w:iCs w:val="0"/>
          <w:sz w:val="24"/>
        </w:rPr>
        <w:fldChar w:fldCharType="begin"/>
      </w:r>
      <w:r>
        <w:rPr>
          <w:b w:val="0"/>
          <w:bCs/>
          <w:i/>
          <w:iCs w:val="0"/>
          <w:sz w:val="24"/>
        </w:rPr>
        <w:instrText xml:space="preserve"> TOC \h \z \c "Tabelle" </w:instrText>
      </w:r>
      <w:r>
        <w:rPr>
          <w:b w:val="0"/>
          <w:bCs/>
          <w:i/>
          <w:iCs w:val="0"/>
          <w:sz w:val="24"/>
        </w:rPr>
        <w:fldChar w:fldCharType="separate"/>
      </w:r>
      <w:hyperlink w:anchor="_Toc154606718" w:history="1">
        <w:r w:rsidR="004D05D2" w:rsidRPr="00AC7BF5">
          <w:rPr>
            <w:rStyle w:val="Hyperlink"/>
            <w:noProof/>
          </w:rPr>
          <w:t>Tabelle 1: Beispieldaten mit onkologischen Erkrankungen</w:t>
        </w:r>
        <w:r w:rsidR="004D05D2">
          <w:rPr>
            <w:noProof/>
            <w:webHidden/>
          </w:rPr>
          <w:tab/>
        </w:r>
        <w:r w:rsidR="004D05D2">
          <w:rPr>
            <w:noProof/>
            <w:webHidden/>
          </w:rPr>
          <w:fldChar w:fldCharType="begin"/>
        </w:r>
        <w:r w:rsidR="004D05D2">
          <w:rPr>
            <w:noProof/>
            <w:webHidden/>
          </w:rPr>
          <w:instrText xml:space="preserve"> PAGEREF _Toc154606718 \h </w:instrText>
        </w:r>
        <w:r w:rsidR="004D05D2">
          <w:rPr>
            <w:noProof/>
            <w:webHidden/>
          </w:rPr>
        </w:r>
        <w:r w:rsidR="004D05D2">
          <w:rPr>
            <w:noProof/>
            <w:webHidden/>
          </w:rPr>
          <w:fldChar w:fldCharType="separate"/>
        </w:r>
        <w:r w:rsidR="00C9149F">
          <w:rPr>
            <w:noProof/>
            <w:webHidden/>
          </w:rPr>
          <w:t>5</w:t>
        </w:r>
        <w:r w:rsidR="004D05D2">
          <w:rPr>
            <w:noProof/>
            <w:webHidden/>
          </w:rPr>
          <w:fldChar w:fldCharType="end"/>
        </w:r>
      </w:hyperlink>
    </w:p>
    <w:p w14:paraId="28F8F151" w14:textId="00828A66"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19" w:history="1">
        <w:r w:rsidR="004D05D2" w:rsidRPr="00AC7BF5">
          <w:rPr>
            <w:rStyle w:val="Hyperlink"/>
            <w:noProof/>
          </w:rPr>
          <w:t>Tabelle 2: Zeitpunkt, wann eine Anonymisierung/Pseudonymisierung erfolgt</w:t>
        </w:r>
        <w:r w:rsidR="004D05D2">
          <w:rPr>
            <w:noProof/>
            <w:webHidden/>
          </w:rPr>
          <w:tab/>
        </w:r>
        <w:r w:rsidR="004D05D2" w:rsidRPr="004832F9">
          <w:rPr>
            <w:noProof/>
            <w:webHidden/>
          </w:rPr>
          <w:fldChar w:fldCharType="begin"/>
        </w:r>
        <w:r w:rsidR="004D05D2" w:rsidRPr="004832F9">
          <w:rPr>
            <w:noProof/>
            <w:webHidden/>
          </w:rPr>
          <w:instrText xml:space="preserve"> PAGEREF _Toc154606719 \h </w:instrText>
        </w:r>
        <w:r w:rsidR="004D05D2" w:rsidRPr="004832F9">
          <w:rPr>
            <w:noProof/>
            <w:webHidden/>
          </w:rPr>
        </w:r>
        <w:r w:rsidR="004D05D2" w:rsidRPr="004832F9">
          <w:rPr>
            <w:noProof/>
            <w:webHidden/>
          </w:rPr>
          <w:fldChar w:fldCharType="separate"/>
        </w:r>
        <w:r w:rsidR="00C9149F">
          <w:rPr>
            <w:noProof/>
            <w:webHidden/>
          </w:rPr>
          <w:t>35</w:t>
        </w:r>
        <w:r w:rsidR="004D05D2" w:rsidRPr="004832F9">
          <w:rPr>
            <w:noProof/>
            <w:webHidden/>
          </w:rPr>
          <w:fldChar w:fldCharType="end"/>
        </w:r>
      </w:hyperlink>
    </w:p>
    <w:p w14:paraId="714E7A9A" w14:textId="0557697F"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0" w:history="1">
        <w:r w:rsidR="004D05D2" w:rsidRPr="00AC7BF5">
          <w:rPr>
            <w:rStyle w:val="Hyperlink"/>
            <w:noProof/>
          </w:rPr>
          <w:t>Tabelle 3: Entpersonalisierung von Daten durch Nutzung der Methode der Nichtangabe</w:t>
        </w:r>
        <w:r w:rsidR="004D05D2">
          <w:rPr>
            <w:noProof/>
            <w:webHidden/>
          </w:rPr>
          <w:tab/>
        </w:r>
        <w:r w:rsidR="004D05D2">
          <w:rPr>
            <w:noProof/>
            <w:webHidden/>
          </w:rPr>
          <w:fldChar w:fldCharType="begin"/>
        </w:r>
        <w:r w:rsidR="004D05D2">
          <w:rPr>
            <w:noProof/>
            <w:webHidden/>
          </w:rPr>
          <w:instrText xml:space="preserve"> PAGEREF _Toc154606720 \h </w:instrText>
        </w:r>
        <w:r w:rsidR="004D05D2">
          <w:rPr>
            <w:noProof/>
            <w:webHidden/>
          </w:rPr>
        </w:r>
        <w:r w:rsidR="004D05D2">
          <w:rPr>
            <w:noProof/>
            <w:webHidden/>
          </w:rPr>
          <w:fldChar w:fldCharType="separate"/>
        </w:r>
        <w:r w:rsidR="00C9149F">
          <w:rPr>
            <w:noProof/>
            <w:webHidden/>
          </w:rPr>
          <w:t>39</w:t>
        </w:r>
        <w:r w:rsidR="004D05D2">
          <w:rPr>
            <w:noProof/>
            <w:webHidden/>
          </w:rPr>
          <w:fldChar w:fldCharType="end"/>
        </w:r>
      </w:hyperlink>
    </w:p>
    <w:p w14:paraId="6AC25F67" w14:textId="4A74BE8E"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1" w:history="1">
        <w:r w:rsidR="004D05D2" w:rsidRPr="00AC7BF5">
          <w:rPr>
            <w:rStyle w:val="Hyperlink"/>
            <w:noProof/>
          </w:rPr>
          <w:t>Tabelle 4: Änderung des Informationswertes einer Diagnose bei Änderung des ICD durch Nichtangabe</w:t>
        </w:r>
        <w:r w:rsidR="004D05D2">
          <w:rPr>
            <w:noProof/>
            <w:webHidden/>
          </w:rPr>
          <w:tab/>
        </w:r>
        <w:r w:rsidR="004D05D2">
          <w:rPr>
            <w:noProof/>
            <w:webHidden/>
          </w:rPr>
          <w:fldChar w:fldCharType="begin"/>
        </w:r>
        <w:r w:rsidR="004D05D2">
          <w:rPr>
            <w:noProof/>
            <w:webHidden/>
          </w:rPr>
          <w:instrText xml:space="preserve"> PAGEREF _Toc154606721 \h </w:instrText>
        </w:r>
        <w:r w:rsidR="004D05D2">
          <w:rPr>
            <w:noProof/>
            <w:webHidden/>
          </w:rPr>
        </w:r>
        <w:r w:rsidR="004D05D2">
          <w:rPr>
            <w:noProof/>
            <w:webHidden/>
          </w:rPr>
          <w:fldChar w:fldCharType="separate"/>
        </w:r>
        <w:r w:rsidR="00C9149F">
          <w:rPr>
            <w:noProof/>
            <w:webHidden/>
          </w:rPr>
          <w:t>40</w:t>
        </w:r>
        <w:r w:rsidR="004D05D2">
          <w:rPr>
            <w:noProof/>
            <w:webHidden/>
          </w:rPr>
          <w:fldChar w:fldCharType="end"/>
        </w:r>
      </w:hyperlink>
    </w:p>
    <w:p w14:paraId="3DD2DD31" w14:textId="3513C82E"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2" w:history="1">
        <w:r w:rsidR="004D05D2" w:rsidRPr="00AC7BF5">
          <w:rPr>
            <w:rStyle w:val="Hyperlink"/>
            <w:noProof/>
          </w:rPr>
          <w:t xml:space="preserve">Tabelle 5: </w:t>
        </w:r>
        <w:r w:rsidR="004D05D2" w:rsidRPr="004832F9">
          <w:rPr>
            <w:rStyle w:val="Hyperlink"/>
            <w:noProof/>
          </w:rPr>
          <w:t>Maskiertes</w:t>
        </w:r>
        <w:r w:rsidR="004D05D2" w:rsidRPr="00AC7BF5">
          <w:rPr>
            <w:rStyle w:val="Hyperlink"/>
            <w:noProof/>
          </w:rPr>
          <w:t xml:space="preserve"> Geburtsdatum</w:t>
        </w:r>
        <w:r w:rsidR="004D05D2">
          <w:rPr>
            <w:noProof/>
            <w:webHidden/>
          </w:rPr>
          <w:tab/>
        </w:r>
        <w:r w:rsidR="004D05D2">
          <w:rPr>
            <w:noProof/>
            <w:webHidden/>
          </w:rPr>
          <w:fldChar w:fldCharType="begin"/>
        </w:r>
        <w:r w:rsidR="004D05D2">
          <w:rPr>
            <w:noProof/>
            <w:webHidden/>
          </w:rPr>
          <w:instrText xml:space="preserve"> PAGEREF _Toc154606722 \h </w:instrText>
        </w:r>
        <w:r w:rsidR="004D05D2">
          <w:rPr>
            <w:noProof/>
            <w:webHidden/>
          </w:rPr>
        </w:r>
        <w:r w:rsidR="004D05D2">
          <w:rPr>
            <w:noProof/>
            <w:webHidden/>
          </w:rPr>
          <w:fldChar w:fldCharType="separate"/>
        </w:r>
        <w:r w:rsidR="00C9149F">
          <w:rPr>
            <w:noProof/>
            <w:webHidden/>
          </w:rPr>
          <w:t>40</w:t>
        </w:r>
        <w:r w:rsidR="004D05D2">
          <w:rPr>
            <w:noProof/>
            <w:webHidden/>
          </w:rPr>
          <w:fldChar w:fldCharType="end"/>
        </w:r>
      </w:hyperlink>
    </w:p>
    <w:p w14:paraId="5D7C746B" w14:textId="7E43C988"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3" w:history="1">
        <w:r w:rsidR="004D05D2" w:rsidRPr="00AC7BF5">
          <w:rPr>
            <w:rStyle w:val="Hyperlink"/>
            <w:noProof/>
          </w:rPr>
          <w:t>Tabelle 6: Vermischung der Datensätze, sodass eine Identifizierung nicht möglich ist</w:t>
        </w:r>
        <w:r w:rsidR="004D05D2">
          <w:rPr>
            <w:noProof/>
            <w:webHidden/>
          </w:rPr>
          <w:tab/>
        </w:r>
        <w:r w:rsidR="004D05D2" w:rsidRPr="004832F9">
          <w:rPr>
            <w:noProof/>
            <w:webHidden/>
          </w:rPr>
          <w:fldChar w:fldCharType="begin"/>
        </w:r>
        <w:r w:rsidR="004D05D2" w:rsidRPr="004832F9">
          <w:rPr>
            <w:noProof/>
            <w:webHidden/>
          </w:rPr>
          <w:instrText xml:space="preserve"> PAGEREF _Toc154606723 \h </w:instrText>
        </w:r>
        <w:r w:rsidR="004D05D2" w:rsidRPr="004832F9">
          <w:rPr>
            <w:noProof/>
            <w:webHidden/>
          </w:rPr>
        </w:r>
        <w:r w:rsidR="004D05D2" w:rsidRPr="004832F9">
          <w:rPr>
            <w:noProof/>
            <w:webHidden/>
          </w:rPr>
          <w:fldChar w:fldCharType="separate"/>
        </w:r>
        <w:r w:rsidR="00C9149F">
          <w:rPr>
            <w:noProof/>
            <w:webHidden/>
          </w:rPr>
          <w:t>41</w:t>
        </w:r>
        <w:r w:rsidR="004D05D2" w:rsidRPr="004832F9">
          <w:rPr>
            <w:noProof/>
            <w:webHidden/>
          </w:rPr>
          <w:fldChar w:fldCharType="end"/>
        </w:r>
      </w:hyperlink>
    </w:p>
    <w:p w14:paraId="0A8B21FD" w14:textId="60079370"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4" w:history="1">
        <w:r w:rsidR="004D05D2" w:rsidRPr="00AC7BF5">
          <w:rPr>
            <w:rStyle w:val="Hyperlink"/>
            <w:noProof/>
          </w:rPr>
          <w:t>Tabelle 7: Anpassung des Geburtsdatums durch die Varianzmethode</w:t>
        </w:r>
        <w:r w:rsidR="004D05D2">
          <w:rPr>
            <w:noProof/>
            <w:webHidden/>
          </w:rPr>
          <w:tab/>
        </w:r>
        <w:r w:rsidR="004D05D2">
          <w:rPr>
            <w:noProof/>
            <w:webHidden/>
          </w:rPr>
          <w:fldChar w:fldCharType="begin"/>
        </w:r>
        <w:r w:rsidR="004D05D2">
          <w:rPr>
            <w:noProof/>
            <w:webHidden/>
          </w:rPr>
          <w:instrText xml:space="preserve"> PAGEREF _Toc154606724 \h </w:instrText>
        </w:r>
        <w:r w:rsidR="004D05D2">
          <w:rPr>
            <w:noProof/>
            <w:webHidden/>
          </w:rPr>
        </w:r>
        <w:r w:rsidR="004D05D2">
          <w:rPr>
            <w:noProof/>
            <w:webHidden/>
          </w:rPr>
          <w:fldChar w:fldCharType="separate"/>
        </w:r>
        <w:r w:rsidR="00C9149F">
          <w:rPr>
            <w:noProof/>
            <w:webHidden/>
          </w:rPr>
          <w:t>42</w:t>
        </w:r>
        <w:r w:rsidR="004D05D2">
          <w:rPr>
            <w:noProof/>
            <w:webHidden/>
          </w:rPr>
          <w:fldChar w:fldCharType="end"/>
        </w:r>
      </w:hyperlink>
    </w:p>
    <w:p w14:paraId="16A396B8" w14:textId="3DAC43BC"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5" w:history="1">
        <w:r w:rsidR="004D05D2" w:rsidRPr="00AC7BF5">
          <w:rPr>
            <w:rStyle w:val="Hyperlink"/>
            <w:noProof/>
          </w:rPr>
          <w:t>Tabelle 8: Beispiel bzgl. Ersetzen von Datentypen</w:t>
        </w:r>
        <w:r w:rsidR="004D05D2">
          <w:rPr>
            <w:noProof/>
            <w:webHidden/>
          </w:rPr>
          <w:tab/>
        </w:r>
        <w:r w:rsidR="004D05D2" w:rsidRPr="004832F9">
          <w:rPr>
            <w:noProof/>
            <w:webHidden/>
          </w:rPr>
          <w:fldChar w:fldCharType="begin"/>
        </w:r>
        <w:r w:rsidR="004D05D2" w:rsidRPr="004832F9">
          <w:rPr>
            <w:noProof/>
            <w:webHidden/>
          </w:rPr>
          <w:instrText xml:space="preserve"> PAGEREF _Toc154606725 \h </w:instrText>
        </w:r>
        <w:r w:rsidR="004D05D2" w:rsidRPr="004832F9">
          <w:rPr>
            <w:noProof/>
            <w:webHidden/>
          </w:rPr>
        </w:r>
        <w:r w:rsidR="004D05D2" w:rsidRPr="004832F9">
          <w:rPr>
            <w:noProof/>
            <w:webHidden/>
          </w:rPr>
          <w:fldChar w:fldCharType="separate"/>
        </w:r>
        <w:r w:rsidR="00C9149F">
          <w:rPr>
            <w:noProof/>
            <w:webHidden/>
          </w:rPr>
          <w:t>48</w:t>
        </w:r>
        <w:r w:rsidR="004D05D2" w:rsidRPr="004832F9">
          <w:rPr>
            <w:noProof/>
            <w:webHidden/>
          </w:rPr>
          <w:fldChar w:fldCharType="end"/>
        </w:r>
      </w:hyperlink>
    </w:p>
    <w:p w14:paraId="1CD9BFFA" w14:textId="6620C8F3"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6" w:history="1">
        <w:r w:rsidR="004D05D2" w:rsidRPr="00AC7BF5">
          <w:rPr>
            <w:rStyle w:val="Hyperlink"/>
            <w:noProof/>
          </w:rPr>
          <w:t xml:space="preserve">Tabelle 9: Patientendaten für Beispiel bei einem </w:t>
        </w:r>
        <w:r w:rsidR="004D05D2" w:rsidRPr="004832F9">
          <w:rPr>
            <w:rStyle w:val="Hyperlink"/>
            <w:noProof/>
          </w:rPr>
          <w:t>Unsorted</w:t>
        </w:r>
        <w:r w:rsidR="004D05D2" w:rsidRPr="00AC7BF5">
          <w:rPr>
            <w:rStyle w:val="Hyperlink"/>
            <w:noProof/>
          </w:rPr>
          <w:t xml:space="preserve"> Matching Angriff</w:t>
        </w:r>
        <w:r w:rsidR="004D05D2">
          <w:rPr>
            <w:noProof/>
            <w:webHidden/>
          </w:rPr>
          <w:tab/>
        </w:r>
        <w:r w:rsidR="004D05D2">
          <w:rPr>
            <w:noProof/>
            <w:webHidden/>
          </w:rPr>
          <w:fldChar w:fldCharType="begin"/>
        </w:r>
        <w:r w:rsidR="004D05D2">
          <w:rPr>
            <w:noProof/>
            <w:webHidden/>
          </w:rPr>
          <w:instrText xml:space="preserve"> PAGEREF _Toc154606726 \h </w:instrText>
        </w:r>
        <w:r w:rsidR="004D05D2">
          <w:rPr>
            <w:noProof/>
            <w:webHidden/>
          </w:rPr>
        </w:r>
        <w:r w:rsidR="004D05D2">
          <w:rPr>
            <w:noProof/>
            <w:webHidden/>
          </w:rPr>
          <w:fldChar w:fldCharType="separate"/>
        </w:r>
        <w:r w:rsidR="00C9149F">
          <w:rPr>
            <w:noProof/>
            <w:webHidden/>
          </w:rPr>
          <w:t>56</w:t>
        </w:r>
        <w:r w:rsidR="004D05D2">
          <w:rPr>
            <w:noProof/>
            <w:webHidden/>
          </w:rPr>
          <w:fldChar w:fldCharType="end"/>
        </w:r>
      </w:hyperlink>
    </w:p>
    <w:p w14:paraId="68A696F6" w14:textId="2D906BEC"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7" w:history="1">
        <w:r w:rsidR="004D05D2" w:rsidRPr="00AC7BF5">
          <w:rPr>
            <w:rStyle w:val="Hyperlink"/>
            <w:noProof/>
          </w:rPr>
          <w:t xml:space="preserve">Tabelle 10: Re-Identifikation durch einen </w:t>
        </w:r>
        <w:r w:rsidR="004D05D2" w:rsidRPr="004832F9">
          <w:rPr>
            <w:rStyle w:val="Hyperlink"/>
            <w:noProof/>
          </w:rPr>
          <w:t>Unsorted</w:t>
        </w:r>
        <w:r w:rsidR="004D05D2" w:rsidRPr="00AC7BF5">
          <w:rPr>
            <w:rStyle w:val="Hyperlink"/>
            <w:noProof/>
          </w:rPr>
          <w:t xml:space="preserve"> Matching Angriff</w:t>
        </w:r>
        <w:r w:rsidR="004D05D2">
          <w:rPr>
            <w:noProof/>
            <w:webHidden/>
          </w:rPr>
          <w:tab/>
        </w:r>
        <w:r w:rsidR="004D05D2" w:rsidRPr="004832F9">
          <w:rPr>
            <w:noProof/>
            <w:webHidden/>
          </w:rPr>
          <w:fldChar w:fldCharType="begin"/>
        </w:r>
        <w:r w:rsidR="004D05D2" w:rsidRPr="004832F9">
          <w:rPr>
            <w:noProof/>
            <w:webHidden/>
          </w:rPr>
          <w:instrText xml:space="preserve"> PAGEREF _Toc154606727 \h </w:instrText>
        </w:r>
        <w:r w:rsidR="004D05D2" w:rsidRPr="004832F9">
          <w:rPr>
            <w:noProof/>
            <w:webHidden/>
          </w:rPr>
        </w:r>
        <w:r w:rsidR="004D05D2" w:rsidRPr="004832F9">
          <w:rPr>
            <w:noProof/>
            <w:webHidden/>
          </w:rPr>
          <w:fldChar w:fldCharType="separate"/>
        </w:r>
        <w:r w:rsidR="00C9149F">
          <w:rPr>
            <w:noProof/>
            <w:webHidden/>
          </w:rPr>
          <w:t>56</w:t>
        </w:r>
        <w:r w:rsidR="004D05D2" w:rsidRPr="004832F9">
          <w:rPr>
            <w:noProof/>
            <w:webHidden/>
          </w:rPr>
          <w:fldChar w:fldCharType="end"/>
        </w:r>
      </w:hyperlink>
    </w:p>
    <w:p w14:paraId="59FA3D99" w14:textId="6FF55E4B"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8" w:history="1">
        <w:r w:rsidR="004D05D2" w:rsidRPr="00AC7BF5">
          <w:rPr>
            <w:rStyle w:val="Hyperlink"/>
            <w:noProof/>
          </w:rPr>
          <w:t>Tabelle 11: Datenanalyse bei einem Angriff unter Nutzung von Komplementärveröffentlichungen</w:t>
        </w:r>
        <w:r w:rsidR="004D05D2">
          <w:rPr>
            <w:noProof/>
            <w:webHidden/>
          </w:rPr>
          <w:tab/>
        </w:r>
        <w:r w:rsidR="004D05D2">
          <w:rPr>
            <w:noProof/>
            <w:webHidden/>
          </w:rPr>
          <w:fldChar w:fldCharType="begin"/>
        </w:r>
        <w:r w:rsidR="004D05D2">
          <w:rPr>
            <w:noProof/>
            <w:webHidden/>
          </w:rPr>
          <w:instrText xml:space="preserve"> PAGEREF _Toc154606728 \h </w:instrText>
        </w:r>
        <w:r w:rsidR="004D05D2">
          <w:rPr>
            <w:noProof/>
            <w:webHidden/>
          </w:rPr>
        </w:r>
        <w:r w:rsidR="004D05D2">
          <w:rPr>
            <w:noProof/>
            <w:webHidden/>
          </w:rPr>
          <w:fldChar w:fldCharType="separate"/>
        </w:r>
        <w:r w:rsidR="00C9149F">
          <w:rPr>
            <w:noProof/>
            <w:webHidden/>
          </w:rPr>
          <w:t>57</w:t>
        </w:r>
        <w:r w:rsidR="004D05D2">
          <w:rPr>
            <w:noProof/>
            <w:webHidden/>
          </w:rPr>
          <w:fldChar w:fldCharType="end"/>
        </w:r>
      </w:hyperlink>
    </w:p>
    <w:p w14:paraId="7019F570" w14:textId="54330A3D"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29" w:history="1">
        <w:r w:rsidR="004D05D2" w:rsidRPr="00AC7BF5">
          <w:rPr>
            <w:rStyle w:val="Hyperlink"/>
            <w:noProof/>
          </w:rPr>
          <w:t xml:space="preserve">Tabelle 12: </w:t>
        </w:r>
        <w:r w:rsidR="004D05D2" w:rsidRPr="004832F9">
          <w:rPr>
            <w:rStyle w:val="Hyperlink"/>
            <w:noProof/>
          </w:rPr>
          <w:t>Auf</w:t>
        </w:r>
        <w:r w:rsidR="004D05D2" w:rsidRPr="00AC7BF5">
          <w:rPr>
            <w:rStyle w:val="Hyperlink"/>
            <w:noProof/>
          </w:rPr>
          <w:t xml:space="preserve"> Anonymität zu prüfendes Ergebnis</w:t>
        </w:r>
        <w:r w:rsidR="004D05D2">
          <w:rPr>
            <w:noProof/>
            <w:webHidden/>
          </w:rPr>
          <w:tab/>
        </w:r>
        <w:r w:rsidR="004D05D2" w:rsidRPr="004832F9">
          <w:rPr>
            <w:noProof/>
            <w:webHidden/>
          </w:rPr>
          <w:fldChar w:fldCharType="begin"/>
        </w:r>
        <w:r w:rsidR="004D05D2" w:rsidRPr="004832F9">
          <w:rPr>
            <w:noProof/>
            <w:webHidden/>
          </w:rPr>
          <w:instrText xml:space="preserve"> PAGEREF _Toc154606729 \h </w:instrText>
        </w:r>
        <w:r w:rsidR="004D05D2" w:rsidRPr="004832F9">
          <w:rPr>
            <w:noProof/>
            <w:webHidden/>
          </w:rPr>
        </w:r>
        <w:r w:rsidR="004D05D2" w:rsidRPr="004832F9">
          <w:rPr>
            <w:noProof/>
            <w:webHidden/>
          </w:rPr>
          <w:fldChar w:fldCharType="separate"/>
        </w:r>
        <w:r w:rsidR="00C9149F">
          <w:rPr>
            <w:noProof/>
            <w:webHidden/>
          </w:rPr>
          <w:t>58</w:t>
        </w:r>
        <w:r w:rsidR="004D05D2" w:rsidRPr="004832F9">
          <w:rPr>
            <w:noProof/>
            <w:webHidden/>
          </w:rPr>
          <w:fldChar w:fldCharType="end"/>
        </w:r>
      </w:hyperlink>
    </w:p>
    <w:p w14:paraId="2EE9C83E" w14:textId="0512FCFD" w:rsidR="004D05D2" w:rsidRDefault="00000000">
      <w:pPr>
        <w:pStyle w:val="Abbildungsverzeichnis"/>
        <w:tabs>
          <w:tab w:val="right" w:leader="underscore" w:pos="9062"/>
        </w:tabs>
        <w:rPr>
          <w:rFonts w:eastAsiaTheme="minorEastAsia" w:cstheme="minorBidi"/>
          <w:b w:val="0"/>
          <w:iCs w:val="0"/>
          <w:noProof/>
          <w:kern w:val="2"/>
          <w:sz w:val="22"/>
          <w:szCs w:val="22"/>
          <w:lang w:eastAsia="de-DE"/>
          <w14:ligatures w14:val="standardContextual"/>
        </w:rPr>
      </w:pPr>
      <w:hyperlink w:anchor="_Toc154606730" w:history="1">
        <w:r w:rsidR="004D05D2" w:rsidRPr="00AC7BF5">
          <w:rPr>
            <w:rStyle w:val="Hyperlink"/>
            <w:noProof/>
          </w:rPr>
          <w:t>Tabelle 13: Zuordnungsmöglichkeiten durch die Originaldaten</w:t>
        </w:r>
        <w:r w:rsidR="004D05D2">
          <w:rPr>
            <w:noProof/>
            <w:webHidden/>
          </w:rPr>
          <w:tab/>
        </w:r>
        <w:r w:rsidR="004D05D2">
          <w:rPr>
            <w:noProof/>
            <w:webHidden/>
          </w:rPr>
          <w:fldChar w:fldCharType="begin"/>
        </w:r>
        <w:r w:rsidR="004D05D2">
          <w:rPr>
            <w:noProof/>
            <w:webHidden/>
          </w:rPr>
          <w:instrText xml:space="preserve"> PAGEREF _Toc154606730 \h </w:instrText>
        </w:r>
        <w:r w:rsidR="004D05D2">
          <w:rPr>
            <w:noProof/>
            <w:webHidden/>
          </w:rPr>
        </w:r>
        <w:r w:rsidR="004D05D2">
          <w:rPr>
            <w:noProof/>
            <w:webHidden/>
          </w:rPr>
          <w:fldChar w:fldCharType="separate"/>
        </w:r>
        <w:r w:rsidR="00C9149F">
          <w:rPr>
            <w:noProof/>
            <w:webHidden/>
          </w:rPr>
          <w:t>58</w:t>
        </w:r>
        <w:r w:rsidR="004D05D2">
          <w:rPr>
            <w:noProof/>
            <w:webHidden/>
          </w:rPr>
          <w:fldChar w:fldCharType="end"/>
        </w:r>
      </w:hyperlink>
    </w:p>
    <w:p w14:paraId="4AD9E070" w14:textId="59B3C46B" w:rsidR="00A53A68" w:rsidRDefault="002227A5" w:rsidP="00A53A68">
      <w:r>
        <w:rPr>
          <w:rFonts w:cstheme="minorHAnsi"/>
          <w:b/>
          <w:bCs/>
          <w:i/>
          <w:iCs/>
          <w:sz w:val="24"/>
          <w:szCs w:val="20"/>
        </w:rPr>
        <w:fldChar w:fldCharType="end"/>
      </w:r>
    </w:p>
    <w:p w14:paraId="3ED1CA83" w14:textId="77777777" w:rsidR="00A53A68" w:rsidRDefault="00A53A68" w:rsidP="00CA188B"/>
    <w:p w14:paraId="13D7A14E" w14:textId="77777777" w:rsidR="00CA188B" w:rsidRDefault="00CA188B">
      <w:pPr>
        <w:jc w:val="center"/>
        <w:rPr>
          <w:sz w:val="21"/>
          <w:szCs w:val="21"/>
        </w:rPr>
        <w:sectPr w:rsidR="00CA188B" w:rsidSect="00665230">
          <w:footerReference w:type="default" r:id="rId20"/>
          <w:pgSz w:w="11906" w:h="16838"/>
          <w:pgMar w:top="1417" w:right="1417" w:bottom="1134" w:left="1417" w:header="708" w:footer="708" w:gutter="0"/>
          <w:pgNumType w:fmt="upperRoman" w:start="1"/>
          <w:cols w:space="720"/>
          <w:formProt w:val="0"/>
          <w:docGrid w:linePitch="360" w:charSpace="4096"/>
        </w:sectPr>
      </w:pPr>
    </w:p>
    <w:p w14:paraId="7EDDB920" w14:textId="77777777" w:rsidR="00AE4EA7" w:rsidRDefault="00000000">
      <w:pPr>
        <w:pStyle w:val="berschrift1"/>
        <w:numPr>
          <w:ilvl w:val="0"/>
          <w:numId w:val="0"/>
        </w:numPr>
      </w:pPr>
      <w:bookmarkStart w:id="60" w:name="_Toc154652579"/>
      <w:r>
        <w:t>Zusammenfassung</w:t>
      </w:r>
      <w:bookmarkEnd w:id="60"/>
    </w:p>
    <w:p w14:paraId="1B13F7B0" w14:textId="5750C820" w:rsidR="00AE4EA7" w:rsidRDefault="00000000">
      <w:r>
        <w:t xml:space="preserve">Personenbezogene Daten sind „alle Informationen, die sich auf eine identifizierte oder identifizierbare natürliche Person beziehen“. Dieser Begriff ist somit sehr </w:t>
      </w:r>
      <w:r w:rsidR="00F37D05">
        <w:t>weit gefasst</w:t>
      </w:r>
      <w:r w:rsidR="006330C9">
        <w:t>.</w:t>
      </w:r>
      <w:r>
        <w:t xml:space="preserve"> </w:t>
      </w:r>
      <w:r w:rsidR="006330C9">
        <w:t>E</w:t>
      </w:r>
      <w:r>
        <w:t xml:space="preserve">r </w:t>
      </w:r>
      <w:r w:rsidR="006330C9">
        <w:t xml:space="preserve">umfasst </w:t>
      </w:r>
      <w:r>
        <w:t>alle Daten, die einer individuellen</w:t>
      </w:r>
      <w:r w:rsidR="00E027A5">
        <w:t xml:space="preserve"> natürlichen</w:t>
      </w:r>
      <w:r>
        <w:t xml:space="preserve"> Person direkt oder indirekt zu</w:t>
      </w:r>
      <w:r w:rsidR="00E027A5">
        <w:t>geordnet werden können</w:t>
      </w:r>
      <w:r>
        <w:t>.</w:t>
      </w:r>
    </w:p>
    <w:p w14:paraId="6811E68A" w14:textId="38644253" w:rsidR="00AE4EA7" w:rsidRDefault="00000000">
      <w:r>
        <w:t xml:space="preserve">Wie die </w:t>
      </w:r>
      <w:r w:rsidR="006330C9">
        <w:t>früheren</w:t>
      </w:r>
      <w:r>
        <w:t xml:space="preserve"> nationalen Datenschutzregelungen enthält auch die EU-Datenschutz-Grundverordnung (DS-GVO) ein grundsätzliches Verbot der Verarbeitung personenbezogener Daten. Daher gilt nach wie vor, dass jede Verarbeitung personenbezogener Daten verboten ist</w:t>
      </w:r>
      <w:r w:rsidR="006330C9">
        <w:t xml:space="preserve">, es sei denn, es gibt </w:t>
      </w:r>
      <w:r>
        <w:t>einen gesetzlich geregelten Erlaubnistatbestand</w:t>
      </w:r>
      <w:r w:rsidR="004D05D2">
        <w:t xml:space="preserve"> (vgl. Art. 6 DS-GVO „Rechtmäßigkeit der Verarbeitung“)</w:t>
      </w:r>
      <w:r>
        <w:t>.</w:t>
      </w:r>
      <w:r w:rsidR="00E027A5">
        <w:t xml:space="preserve"> Dabei ist</w:t>
      </w:r>
      <w:r>
        <w:t xml:space="preserve"> </w:t>
      </w:r>
      <w:r w:rsidR="00E027A5">
        <w:t>i</w:t>
      </w:r>
      <w:r>
        <w:t xml:space="preserve">nsbesondere zu beachten, dass je sensibler die zu verarbeitenden Daten sind, desto notwendiger </w:t>
      </w:r>
      <w:r w:rsidR="006330C9">
        <w:t xml:space="preserve">ist </w:t>
      </w:r>
      <w:r>
        <w:t xml:space="preserve">die Gewährleistung eines angemessen hohen Schutzniveaus für diese Daten. Gewährleisten muss den Schutz personenbezogener Daten für die gesamte Dauer der Verarbeitung, also über den gesamten Lebenszyklus der Daten hinweg, der „Verantwortliche“. Art. 4 </w:t>
      </w:r>
      <w:r w:rsidRPr="004832F9">
        <w:t>Ziff</w:t>
      </w:r>
      <w:r>
        <w:t xml:space="preserve">. 7 DS-GVO definiert einen Verantwortlichen als „die natürliche oder juristische Person, Behörde, Einrichtung oder andere Stelle, die allein oder gemeinsam mit anderen über die Zwecke und Mittel der Verarbeitung von personenbezogenen Daten entscheidet“. </w:t>
      </w:r>
      <w:r w:rsidR="006330C9">
        <w:t>Folglich</w:t>
      </w:r>
      <w:r>
        <w:t xml:space="preserve"> ist derjenige, welcher über die Mittel und Zwecke der Verarbeitung entscheidet, vollumfänglich für alles verantwortlich, was mit diesen Daten geschieht.</w:t>
      </w:r>
    </w:p>
    <w:p w14:paraId="11C6208A" w14:textId="24624FFD" w:rsidR="00AE4EA7" w:rsidRDefault="00000000">
      <w:r>
        <w:t xml:space="preserve">Die DS-GVO sieht die Pseudonymisierung als eine mögliche Maßnahme an, deren Einsatz </w:t>
      </w:r>
      <w:r w:rsidR="00E027A5">
        <w:t>zur</w:t>
      </w:r>
      <w:r>
        <w:t xml:space="preserve"> Gewährleistung eines angemessenen Schutzniveaus </w:t>
      </w:r>
      <w:r w:rsidR="00E027A5">
        <w:t>beitragen</w:t>
      </w:r>
      <w:r>
        <w:t xml:space="preserve"> kann. Die DS-GVO verweist an verschiedenen Stellen</w:t>
      </w:r>
      <w:r w:rsidR="00E027A5" w:rsidRPr="00E027A5">
        <w:t xml:space="preserve"> </w:t>
      </w:r>
      <w:r w:rsidR="00E027A5">
        <w:t>auf die</w:t>
      </w:r>
      <w:r w:rsidR="00101F9A">
        <w:t xml:space="preserve"> Pseudonymisierung bzw. Anonymisierung al</w:t>
      </w:r>
      <w:r w:rsidR="00E027A5">
        <w:t xml:space="preserve">s </w:t>
      </w:r>
      <w:r w:rsidR="00101F9A">
        <w:t>Schutz</w:t>
      </w:r>
      <w:r w:rsidR="004D05D2">
        <w:t>m</w:t>
      </w:r>
      <w:r w:rsidR="00E027A5">
        <w:t>aßnahme</w:t>
      </w:r>
      <w:r>
        <w:t xml:space="preserve">, wie z. B. bei den Anforderungen </w:t>
      </w:r>
      <w:r w:rsidR="004D05D2">
        <w:t>zu</w:t>
      </w:r>
      <w:r>
        <w:t xml:space="preserve"> </w:t>
      </w:r>
      <w:r w:rsidRPr="004832F9">
        <w:t>Privacy</w:t>
      </w:r>
      <w:r>
        <w:t xml:space="preserve"> </w:t>
      </w:r>
      <w:r w:rsidRPr="004832F9">
        <w:t>by</w:t>
      </w:r>
      <w:r>
        <w:t xml:space="preserve"> Design/Default (Art. 25</w:t>
      </w:r>
      <w:r w:rsidR="004D05D2">
        <w:t xml:space="preserve"> DS-GVO</w:t>
      </w:r>
      <w:r>
        <w:t xml:space="preserve">) oder bei der Verarbeitung von </w:t>
      </w:r>
      <w:r w:rsidR="00723031">
        <w:t xml:space="preserve">personenbezogenen Daten zu </w:t>
      </w:r>
      <w:r>
        <w:t>Forschungs</w:t>
      </w:r>
      <w:r w:rsidR="00723031">
        <w:t>zwecken</w:t>
      </w:r>
      <w:r>
        <w:t>, auf diese Maßnahme.</w:t>
      </w:r>
    </w:p>
    <w:p w14:paraId="78DB10E4" w14:textId="26133D1B" w:rsidR="00AE4EA7" w:rsidRDefault="00000000">
      <w:r>
        <w:t xml:space="preserve">Der Begriff der Anonymisierung wird </w:t>
      </w:r>
      <w:r w:rsidR="00E027A5">
        <w:t>i</w:t>
      </w:r>
      <w:r>
        <w:t xml:space="preserve">n der DS-GVO nicht explizit definiert. </w:t>
      </w:r>
      <w:r w:rsidR="006330C9">
        <w:t xml:space="preserve">Dies </w:t>
      </w:r>
      <w:r>
        <w:t xml:space="preserve">bedeutet </w:t>
      </w:r>
      <w:r w:rsidR="006330C9">
        <w:t>jedoch</w:t>
      </w:r>
      <w:r>
        <w:t xml:space="preserve"> nicht, dass eine Anonymisierung mit Geltung der DS-GVO per se nicht mehr möglich ist. Vielmehr adressier</w:t>
      </w:r>
      <w:r w:rsidR="009B40DA">
        <w:t>e</w:t>
      </w:r>
      <w:r w:rsidR="006330C9">
        <w:t>n</w:t>
      </w:r>
      <w:r>
        <w:t xml:space="preserve"> sowohl die DS-GVO als auch etwaige nationale Regelungen an mehreren Stellen die Möglichkeit</w:t>
      </w:r>
      <w:r w:rsidR="006330C9">
        <w:t xml:space="preserve"> einer Anonymisierung</w:t>
      </w:r>
      <w:r>
        <w:t xml:space="preserve">. </w:t>
      </w:r>
      <w:r w:rsidR="004C1658">
        <w:t>A</w:t>
      </w:r>
      <w:r w:rsidR="00E027A5">
        <w:t>us</w:t>
      </w:r>
      <w:r>
        <w:t xml:space="preserve"> de</w:t>
      </w:r>
      <w:r w:rsidR="00E027A5">
        <w:t>n</w:t>
      </w:r>
      <w:r>
        <w:t xml:space="preserve"> Regelungen der DS-GVO </w:t>
      </w:r>
      <w:r w:rsidRPr="004C1658">
        <w:t>bzgl. de</w:t>
      </w:r>
      <w:r w:rsidR="006330C9">
        <w:t>r</w:t>
      </w:r>
      <w:r w:rsidRPr="004C1658">
        <w:t xml:space="preserve"> Begrifflichkeiten</w:t>
      </w:r>
      <w:r>
        <w:t xml:space="preserve"> „personenbezogene Daten“ und „Pseudonymisierung“ </w:t>
      </w:r>
      <w:r w:rsidR="004C1658">
        <w:t xml:space="preserve">sowie der Definition der Anonymisierung in </w:t>
      </w:r>
      <w:r w:rsidR="004C1658" w:rsidRPr="004C1658">
        <w:t xml:space="preserve">Richtlinie (EU) 2019/1024 </w:t>
      </w:r>
      <w:r w:rsidR="008815C8">
        <w:t>e</w:t>
      </w:r>
      <w:r>
        <w:t xml:space="preserve">rgeben sich Anforderungen, </w:t>
      </w:r>
      <w:r w:rsidR="004C1658">
        <w:t>welche</w:t>
      </w:r>
      <w:r>
        <w:t xml:space="preserve"> an eine Anonymisierung bzw. Pseudonymisierung zu stellen sind.</w:t>
      </w:r>
    </w:p>
    <w:p w14:paraId="0723F4F7" w14:textId="732F828F" w:rsidR="00AE4EA7" w:rsidRDefault="00000000">
      <w:r>
        <w:t xml:space="preserve">Sowohl die Pseudonymisierung als auch die Anonymisierung können bzw. sollten daher </w:t>
      </w:r>
      <w:r w:rsidR="00E027A5">
        <w:t>ange</w:t>
      </w:r>
      <w:r>
        <w:t>wendet werden, wenn dies im Rahmen der Verarbeitung sinnvoll erscheint. Einerseits um die Risiken der Verarbeitung personenbezogener Daten für von dieser Verarbeitung betroffene Personen zu verringern, andererseits um den aus der DS-GVO resultierenden rechtlichen Anforderungen hinsichtlich eines angemessen hohen Schutzniveaus zu genügen.</w:t>
      </w:r>
    </w:p>
    <w:p w14:paraId="09795E35" w14:textId="6FC5E0E5" w:rsidR="00AE4EA7" w:rsidRDefault="00FC78BB">
      <w:r>
        <w:t xml:space="preserve">Dabei ist zu beachten, dass sowohl die Anonymisierung als auch die Pseudonymisierung eine Verarbeitung im Sinne der DS-GVO darstellen. Dies </w:t>
      </w:r>
      <w:r w:rsidR="00E027A5">
        <w:t>bedeutet,</w:t>
      </w:r>
      <w:r w:rsidR="008815C8">
        <w:t xml:space="preserve"> </w:t>
      </w:r>
      <w:r w:rsidR="00E027A5">
        <w:t xml:space="preserve">dass für die Durchführung einer Anonymisierung oder einer Pseudonymisierung </w:t>
      </w:r>
      <w:r w:rsidR="008815C8">
        <w:t xml:space="preserve">eine Rechtsgrundlage („Erlaubnistatbestand“) </w:t>
      </w:r>
      <w:r w:rsidR="00E027A5">
        <w:t>erforderlich ist</w:t>
      </w:r>
      <w:r w:rsidR="008815C8">
        <w:t>. Dies ist nur eine der datenschutzrechtlichen Rahmenbedingungen, welche in der DS-GVO zu finden sind.</w:t>
      </w:r>
    </w:p>
    <w:p w14:paraId="101FCCC2" w14:textId="01DC74D7" w:rsidR="00AE4EA7" w:rsidRDefault="00000000">
      <w:r>
        <w:t xml:space="preserve">In dieser Ausarbeitung werden verschiedene Rahmenbedingungen besprochen, die </w:t>
      </w:r>
      <w:r w:rsidR="00E027A5">
        <w:t>bei</w:t>
      </w:r>
      <w:r>
        <w:t xml:space="preserve"> eine</w:t>
      </w:r>
      <w:r w:rsidR="00E027A5">
        <w:t>r</w:t>
      </w:r>
      <w:r>
        <w:t xml:space="preserve"> Pseudonymisierung oder Anonymisierung zu beachten sind.</w:t>
      </w:r>
    </w:p>
    <w:p w14:paraId="0168F3C0" w14:textId="77777777" w:rsidR="00AE4EA7" w:rsidRDefault="00000000">
      <w:pPr>
        <w:pStyle w:val="berschrift1"/>
        <w:numPr>
          <w:ilvl w:val="0"/>
          <w:numId w:val="0"/>
        </w:numPr>
        <w:ind w:left="432" w:hanging="432"/>
      </w:pPr>
      <w:bookmarkStart w:id="61" w:name="_Toc154652580"/>
      <w:r>
        <w:t>Vorwort zur zweiten Fassung</w:t>
      </w:r>
      <w:bookmarkEnd w:id="61"/>
    </w:p>
    <w:p w14:paraId="01CFB0C7" w14:textId="2A110892" w:rsidR="00D720C3" w:rsidRDefault="00D720C3">
      <w:r>
        <w:t xml:space="preserve">Die erste </w:t>
      </w:r>
      <w:r w:rsidR="00E027A5">
        <w:t>Version</w:t>
      </w:r>
      <w:r>
        <w:t xml:space="preserve"> der „</w:t>
      </w:r>
      <w:r w:rsidR="007F605E">
        <w:t>Praxishilfe</w:t>
      </w:r>
      <w:r w:rsidRPr="00D720C3">
        <w:t xml:space="preserve"> zur Pseudonymisierung/Anonymisierung</w:t>
      </w:r>
      <w:r>
        <w:t xml:space="preserve">“ </w:t>
      </w:r>
      <w:r w:rsidR="00723031">
        <w:t>erschien</w:t>
      </w:r>
      <w:r>
        <w:t xml:space="preserve"> im Juni 2018</w:t>
      </w:r>
      <w:r w:rsidR="00E027A5">
        <w:t>.</w:t>
      </w:r>
      <w:r>
        <w:t xml:space="preserve"> </w:t>
      </w:r>
      <w:r w:rsidR="00723031">
        <w:t>Unmittelbar danach, ebenfalls im Juni 2019, wurde d</w:t>
      </w:r>
      <w:r>
        <w:t xml:space="preserve">ie </w:t>
      </w:r>
      <w:r w:rsidRPr="00D720C3">
        <w:t>Richtlinie (EU) 2019/1024</w:t>
      </w:r>
      <w:r>
        <w:t xml:space="preserve"> mit der darin enthaltenen europäischen </w:t>
      </w:r>
      <w:r w:rsidR="00E027A5">
        <w:t>Definition</w:t>
      </w:r>
      <w:r>
        <w:t xml:space="preserve"> </w:t>
      </w:r>
      <w:r w:rsidR="00E027A5">
        <w:t>der</w:t>
      </w:r>
      <w:r>
        <w:t xml:space="preserve"> Anonymisierung im </w:t>
      </w:r>
      <w:r w:rsidRPr="00D720C3">
        <w:t>Amtsblatt der Europäischen Union</w:t>
      </w:r>
      <w:r>
        <w:t xml:space="preserve"> veröffentlicht. Da einerseits die Zielrichtung d</w:t>
      </w:r>
      <w:r w:rsidR="00723031">
        <w:t>ies</w:t>
      </w:r>
      <w:r>
        <w:t xml:space="preserve">er </w:t>
      </w:r>
      <w:r w:rsidRPr="00D720C3">
        <w:t>Richtlinie (EU) 2019/1024</w:t>
      </w:r>
      <w:r>
        <w:t xml:space="preserve"> der öffentliche Sektor war, andererseits die in der Richtlinie enthaltene Definition weitestgehend de</w:t>
      </w:r>
      <w:r w:rsidR="00723031">
        <w:t>n</w:t>
      </w:r>
      <w:r>
        <w:t xml:space="preserve"> in der </w:t>
      </w:r>
      <w:r w:rsidR="007F605E">
        <w:t>Praxishilfe</w:t>
      </w:r>
      <w:r>
        <w:t xml:space="preserve"> enthaltenen Darstellungen </w:t>
      </w:r>
      <w:r w:rsidR="00E027A5">
        <w:t>entspricht</w:t>
      </w:r>
      <w:r>
        <w:t xml:space="preserve">, verzichteten wir 2019 auf eine Anpassung der gerade frisch veröffentlichten </w:t>
      </w:r>
      <w:r w:rsidR="007F605E">
        <w:t>Praxishilfe</w:t>
      </w:r>
      <w:r>
        <w:t>.</w:t>
      </w:r>
    </w:p>
    <w:p w14:paraId="0EB93CBC" w14:textId="5D17E5A6" w:rsidR="00D720C3" w:rsidRDefault="00D720C3">
      <w:r>
        <w:t xml:space="preserve">Seit Ende 2022 wird </w:t>
      </w:r>
      <w:r w:rsidR="00E027A5">
        <w:t>insbesondere</w:t>
      </w:r>
      <w:r>
        <w:t xml:space="preserve"> in Deutschland von verschiedenen Akteuren eine Definition des </w:t>
      </w:r>
      <w:r w:rsidR="004C1658" w:rsidRPr="004C1658">
        <w:t>B</w:t>
      </w:r>
      <w:r w:rsidRPr="004C1658">
        <w:t>egriffs</w:t>
      </w:r>
      <w:r>
        <w:t xml:space="preserve"> „Anonymisierung“ gefordert. Aufgrund de</w:t>
      </w:r>
      <w:r w:rsidR="00E027A5">
        <w:t>r Existenz</w:t>
      </w:r>
      <w:r>
        <w:t xml:space="preserve"> einer europäischen Definition ist eine rechtskonforme Definition, </w:t>
      </w:r>
      <w:r w:rsidRPr="004C1658">
        <w:t>d.</w:t>
      </w:r>
      <w:r w:rsidR="004C1658" w:rsidRPr="004C1658">
        <w:t> </w:t>
      </w:r>
      <w:r w:rsidRPr="004C1658">
        <w:t>h.</w:t>
      </w:r>
      <w:r>
        <w:t xml:space="preserve"> </w:t>
      </w:r>
      <w:r w:rsidR="00E027A5">
        <w:t>eine „deutsche“ Definition, die</w:t>
      </w:r>
      <w:r>
        <w:t xml:space="preserve"> weder den Regelungen der DS-GVO </w:t>
      </w:r>
      <w:r w:rsidR="00E027A5">
        <w:t>zu</w:t>
      </w:r>
      <w:r>
        <w:t xml:space="preserve"> „personenbezogenen Daten“ </w:t>
      </w:r>
      <w:r w:rsidR="00E027A5">
        <w:t xml:space="preserve">widerspricht </w:t>
      </w:r>
      <w:r>
        <w:t xml:space="preserve">noch im Widerspruch zur Begriffsbestimmung in der </w:t>
      </w:r>
      <w:r w:rsidRPr="00D720C3">
        <w:t>Richtlinie (EU) 2019/1024</w:t>
      </w:r>
      <w:r>
        <w:t xml:space="preserve"> </w:t>
      </w:r>
      <w:r w:rsidR="00E027A5">
        <w:t>steht,</w:t>
      </w:r>
      <w:r>
        <w:t xml:space="preserve"> nur schwer </w:t>
      </w:r>
      <w:r w:rsidR="00E027A5">
        <w:t>vorstellbar</w:t>
      </w:r>
      <w:r>
        <w:t xml:space="preserve">. Vermutlich ist den meisten, welche eine deutsche Definition fordern, die in der </w:t>
      </w:r>
      <w:r w:rsidRPr="00D720C3">
        <w:t>Richtlinie (EU) 2019/1024</w:t>
      </w:r>
      <w:r>
        <w:t xml:space="preserve"> enthaltene Definition unbekannt. Ein Grund, </w:t>
      </w:r>
      <w:r w:rsidR="00E027A5">
        <w:t>in dieser überarbeiteten Praxis</w:t>
      </w:r>
      <w:r w:rsidR="004D05D2">
        <w:t>hilfe ausdrücklich</w:t>
      </w:r>
      <w:r w:rsidR="00E027A5">
        <w:t xml:space="preserve"> </w:t>
      </w:r>
      <w:r>
        <w:t xml:space="preserve">auf diese </w:t>
      </w:r>
      <w:r w:rsidR="00E027A5">
        <w:t xml:space="preserve">bereits </w:t>
      </w:r>
      <w:r w:rsidR="00E027A5" w:rsidRPr="008444FB">
        <w:t>vorhande</w:t>
      </w:r>
      <w:r w:rsidR="008444FB" w:rsidRPr="008444FB">
        <w:t>ne</w:t>
      </w:r>
      <w:r w:rsidR="00E027A5">
        <w:t xml:space="preserve"> </w:t>
      </w:r>
      <w:r>
        <w:t xml:space="preserve">Definition </w:t>
      </w:r>
      <w:r w:rsidR="00E027A5">
        <w:t xml:space="preserve">des europäischen Gesetzgebers </w:t>
      </w:r>
      <w:r>
        <w:t>hinzuweisen</w:t>
      </w:r>
      <w:r w:rsidR="00E027A5">
        <w:t>, um so den Wunsch nach einer „deutschen“ Begriffsbestimmung mit der Existenz der europäischen Definition zu beantworten</w:t>
      </w:r>
      <w:r>
        <w:t>.</w:t>
      </w:r>
    </w:p>
    <w:p w14:paraId="788F015C" w14:textId="33D9752A" w:rsidR="00101F9A" w:rsidRDefault="00D720C3" w:rsidP="00101F9A">
      <w:r>
        <w:t>Immer wieder t</w:t>
      </w:r>
      <w:r w:rsidR="00E027A5">
        <w:t>auchen</w:t>
      </w:r>
      <w:r>
        <w:t xml:space="preserve"> auch Fragen </w:t>
      </w:r>
      <w:r w:rsidR="00E027A5">
        <w:t>nach</w:t>
      </w:r>
      <w:r>
        <w:t xml:space="preserve"> de</w:t>
      </w:r>
      <w:r w:rsidR="00E027A5">
        <w:t>m</w:t>
      </w:r>
      <w:r>
        <w:t xml:space="preserve"> Nachweis der Anonymität von Daten auf</w:t>
      </w:r>
      <w:r w:rsidR="00E027A5">
        <w:t>.</w:t>
      </w:r>
      <w:r>
        <w:t xml:space="preserve"> </w:t>
      </w:r>
      <w:r w:rsidR="00E027A5">
        <w:t>Dieser Nachweis kann</w:t>
      </w:r>
      <w:r>
        <w:t xml:space="preserve"> </w:t>
      </w:r>
      <w:r w:rsidRPr="004C1658">
        <w:t xml:space="preserve">in der </w:t>
      </w:r>
      <w:r w:rsidR="004C1658" w:rsidRPr="004C1658">
        <w:t>T</w:t>
      </w:r>
      <w:r w:rsidRPr="004C1658">
        <w:t>at</w:t>
      </w:r>
      <w:r>
        <w:t xml:space="preserve"> nicht immer leicht </w:t>
      </w:r>
      <w:r w:rsidR="00E027A5">
        <w:t>erbracht werden</w:t>
      </w:r>
      <w:r>
        <w:t xml:space="preserve">. </w:t>
      </w:r>
      <w:r w:rsidR="00101F9A">
        <w:t xml:space="preserve">Zwar sind personenbezogene und pseudonyme Daten in Art. 4 </w:t>
      </w:r>
      <w:r w:rsidR="00101F9A" w:rsidRPr="004832F9">
        <w:t>Ziff</w:t>
      </w:r>
      <w:r w:rsidR="00101F9A">
        <w:t xml:space="preserve">. 1 und 5 DS-GVO </w:t>
      </w:r>
      <w:r w:rsidR="00101F9A" w:rsidRPr="00101F9A">
        <w:t>legaldefiniert</w:t>
      </w:r>
      <w:r w:rsidR="00101F9A">
        <w:t>, jedoch erschweren die Offenheit der Begriffe und fehlende Konkretisierungen sowohl im Verordnungstext wie auch in den Erwägungsgründen der DS-GVO eine verlässliche Auslegung, insbesondere auch in Bezug auf anonyme Daten</w:t>
      </w:r>
      <w:r w:rsidR="00101F9A" w:rsidRPr="00101F9A">
        <w:t>.</w:t>
      </w:r>
      <w:r w:rsidR="00101F9A">
        <w:t xml:space="preserve"> Die Kriterien für </w:t>
      </w:r>
      <w:r w:rsidR="00101F9A" w:rsidRPr="00101F9A">
        <w:t>die Feststellung oder das Fehlen des Personenbezugs</w:t>
      </w:r>
      <w:r w:rsidR="00101F9A">
        <w:t xml:space="preserve"> sind somit nicht eindeutig festgelegt, was wiederum die Nachweismöglichkeit des Vorhandenseins oder Fehlens eines </w:t>
      </w:r>
      <w:r w:rsidR="00101F9A" w:rsidRPr="00101F9A">
        <w:t>Personenbezugs</w:t>
      </w:r>
      <w:r w:rsidR="00101F9A">
        <w:t xml:space="preserve"> ersch</w:t>
      </w:r>
      <w:r w:rsidR="00AF2176">
        <w:t>w</w:t>
      </w:r>
      <w:r w:rsidR="00101F9A">
        <w:t>ert.</w:t>
      </w:r>
    </w:p>
    <w:p w14:paraId="3BA70570" w14:textId="736E161E" w:rsidR="00D720C3" w:rsidRDefault="00E027A5">
      <w:r>
        <w:t>M</w:t>
      </w:r>
      <w:r w:rsidR="00D720C3">
        <w:t xml:space="preserve">it dem Thema „Künstliche Intelligenz“ </w:t>
      </w:r>
      <w:r w:rsidR="00F37D05">
        <w:t>wird</w:t>
      </w:r>
      <w:r w:rsidR="00D720C3">
        <w:t xml:space="preserve"> die Nachfrage nach Daten</w:t>
      </w:r>
      <w:r>
        <w:t xml:space="preserve"> </w:t>
      </w:r>
      <w:r w:rsidR="00F37D05">
        <w:t>immer größer</w:t>
      </w:r>
      <w:r w:rsidR="006330C9">
        <w:t>.</w:t>
      </w:r>
      <w:r w:rsidR="00D720C3">
        <w:t xml:space="preserve"> </w:t>
      </w:r>
      <w:r w:rsidR="006330C9">
        <w:t>I</w:t>
      </w:r>
      <w:r w:rsidR="00D720C3">
        <w:t xml:space="preserve">nwieweit hier anonymisierte Daten tatsächlich sinnvoll </w:t>
      </w:r>
      <w:r>
        <w:t>für das</w:t>
      </w:r>
      <w:r w:rsidR="00D720C3">
        <w:t xml:space="preserve"> Training </w:t>
      </w:r>
      <w:r>
        <w:t>von</w:t>
      </w:r>
      <w:r w:rsidR="00D720C3">
        <w:t xml:space="preserve"> KI-Modelle</w:t>
      </w:r>
      <w:r w:rsidR="00620905">
        <w:t>n</w:t>
      </w:r>
      <w:r w:rsidR="00D720C3">
        <w:t xml:space="preserve"> im medizinischen Kontext der Unterstützung bei individuellen </w:t>
      </w:r>
      <w:r w:rsidR="004C1658" w:rsidRPr="004C1658">
        <w:t>B</w:t>
      </w:r>
      <w:r w:rsidR="00D720C3" w:rsidRPr="004C1658">
        <w:t>ehandlungsfragen</w:t>
      </w:r>
      <w:r w:rsidR="00D720C3">
        <w:t xml:space="preserve"> genutzt werden können, sei dahingestellt.</w:t>
      </w:r>
      <w:r w:rsidR="00101F9A">
        <w:t xml:space="preserve"> Aber der Bedarf an </w:t>
      </w:r>
      <w:r w:rsidR="006330C9">
        <w:t>b</w:t>
      </w:r>
      <w:r w:rsidR="00101F9A">
        <w:t>ereit</w:t>
      </w:r>
      <w:r w:rsidR="006330C9">
        <w:t>ge</w:t>
      </w:r>
      <w:r w:rsidR="00101F9A">
        <w:t>stell</w:t>
      </w:r>
      <w:r w:rsidR="006330C9">
        <w:t>te</w:t>
      </w:r>
      <w:r w:rsidR="00101F9A">
        <w:t xml:space="preserve"> Daten und damit auch die laute Forderung nach Daten übt Druck auf politische Akteure aus, die sich diesem Druck oftmals beugen.</w:t>
      </w:r>
    </w:p>
    <w:p w14:paraId="06B07B3B" w14:textId="63E2DF3F" w:rsidR="00D720C3" w:rsidRDefault="00D720C3">
      <w:r>
        <w:t>Insgesamt</w:t>
      </w:r>
      <w:r w:rsidR="006330C9">
        <w:t xml:space="preserve"> gesehen</w:t>
      </w:r>
      <w:r>
        <w:t xml:space="preserve"> ergibt sich </w:t>
      </w:r>
      <w:r w:rsidR="006330C9">
        <w:t>aus den Entwicklungen der letzten Jahre</w:t>
      </w:r>
      <w:r>
        <w:t xml:space="preserve"> </w:t>
      </w:r>
      <w:r w:rsidR="006330C9">
        <w:t>eine</w:t>
      </w:r>
      <w:r>
        <w:t xml:space="preserve"> Nachfrage an eine Überarbeitung der Praxishilfe, </w:t>
      </w:r>
      <w:r w:rsidR="006330C9">
        <w:t>welch</w:t>
      </w:r>
      <w:r>
        <w:t>er wir hiermit nachkommen.</w:t>
      </w:r>
    </w:p>
    <w:p w14:paraId="7FB513B1" w14:textId="77777777" w:rsidR="00D720C3" w:rsidRDefault="00D720C3"/>
    <w:p w14:paraId="04B0C555"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0C8F121B" w14:textId="77777777" w:rsidR="00AE4EA7" w:rsidRDefault="00000000">
      <w:pPr>
        <w:pStyle w:val="berschrift1"/>
      </w:pPr>
      <w:bookmarkStart w:id="62" w:name="_Toc154652581"/>
      <w:r>
        <w:t>Einleitung</w:t>
      </w:r>
      <w:bookmarkEnd w:id="62"/>
    </w:p>
    <w:p w14:paraId="67B644D3" w14:textId="3D67A3ED" w:rsidR="00AE4EA7" w:rsidRDefault="00000000">
      <w:r>
        <w:t xml:space="preserve">Sowohl die Pseudonymisierung als auch die Anonymisierung wird </w:t>
      </w:r>
      <w:r w:rsidRPr="004C1658">
        <w:t>verwendet</w:t>
      </w:r>
      <w:r w:rsidR="00E027A5">
        <w:t>,</w:t>
      </w:r>
      <w:r>
        <w:t xml:space="preserve"> um Risiken der Verarbeitung für </w:t>
      </w:r>
      <w:r w:rsidR="006330C9">
        <w:t xml:space="preserve">die </w:t>
      </w:r>
      <w:r>
        <w:t xml:space="preserve">von der Verarbeitung </w:t>
      </w:r>
      <w:r w:rsidR="006330C9">
        <w:t xml:space="preserve">der personenbezogenen Daten </w:t>
      </w:r>
      <w:r>
        <w:t>betroffene</w:t>
      </w:r>
      <w:r w:rsidR="006330C9">
        <w:t>n</w:t>
      </w:r>
      <w:r>
        <w:t xml:space="preserve"> Personen zu </w:t>
      </w:r>
      <w:r w:rsidR="004D05D2" w:rsidRPr="004D05D2">
        <w:t>minimieren</w:t>
      </w:r>
      <w:r>
        <w:t>. </w:t>
      </w:r>
      <w:r w:rsidRPr="004832F9">
        <w:t>D. h.</w:t>
      </w:r>
      <w:r>
        <w:t xml:space="preserve"> die Methoden stellen Maßnahmen dar, welche dem Schutz von personenbezogenen Daten dienen. In Bezug auf die Pseudonymisierung schrieb der europäische Gesetzgeber in ErwGr. 28 DS-GVO: „Die Anwendung der Pseudonymisierung auf personenbezogene Daten kann […] die Verantwortlichen und die Auftragsverarbeiter bei der Einhaltung ihrer Datenschutzpflichten unterstützen“.</w:t>
      </w:r>
    </w:p>
    <w:p w14:paraId="567B3EE3" w14:textId="4F92DF83" w:rsidR="00AE4EA7" w:rsidRDefault="00000000">
      <w:r>
        <w:t xml:space="preserve">Art. 4 </w:t>
      </w:r>
      <w:r w:rsidRPr="004832F9">
        <w:t>Ziff</w:t>
      </w:r>
      <w:r>
        <w:t xml:space="preserve">. 7 DS-GVO definiert „Verantwortlicher“ als „die natürliche oder juristische Person, Behörde, Einrichtung oder andere Stelle, die allein oder gemeinsam mit anderen über die Zwecke und Mittel der Verarbeitung von personenbezogenen Daten entscheidet“. </w:t>
      </w:r>
      <w:r w:rsidR="00654C89">
        <w:t xml:space="preserve">Wie aus dieser Formulierung ersichtlich wird, kann es einen oder auch mehrere Verantwortliche geben. </w:t>
      </w:r>
      <w:r>
        <w:t xml:space="preserve">Entsprechend wird in Art. 26 DS-GVO erklärt, unter welchen Umständen eine Verarbeitung durch gemeinsam Verantwortliche erfolgen kann. Dies gilt selbstverständlich auch für die Pseudonymisierung oder auch die Anonymisierung, die jeweils eine Verarbeitung darstellen. </w:t>
      </w:r>
      <w:r w:rsidR="006330C9">
        <w:t>A</w:t>
      </w:r>
      <w:r>
        <w:t>uch diese Verarbeitungen können von einem oder auch von mehreren gemeinsam</w:t>
      </w:r>
      <w:r w:rsidR="006330C9">
        <w:t>en</w:t>
      </w:r>
      <w:r>
        <w:t xml:space="preserve"> Verantwortlichen durchgeführt und genutzt werden.</w:t>
      </w:r>
    </w:p>
    <w:p w14:paraId="51285FBC" w14:textId="77777777" w:rsidR="00AE4EA7" w:rsidRDefault="00000000">
      <w:pPr>
        <w:spacing w:after="0"/>
      </w:pPr>
      <w:r>
        <w:t>Eine Pseudonymisierung ersetzt nicht zwangsläufig andere Datenschutzmaßnahmen, sondern ist eher als begleitende Maßnahme zu verstehen (ErwGr. 28 S. 2 DS-GVO). Die DS-GVO nennt die Pseudonymisierung als begleitende Maßnahme an verschiedenen Stellen wie z. B.:</w:t>
      </w:r>
    </w:p>
    <w:p w14:paraId="14ED7DE6" w14:textId="77777777" w:rsidR="00AE4EA7" w:rsidRDefault="00000000">
      <w:pPr>
        <w:pStyle w:val="Listenabsatz"/>
        <w:numPr>
          <w:ilvl w:val="0"/>
          <w:numId w:val="17"/>
        </w:numPr>
      </w:pPr>
      <w:r>
        <w:t xml:space="preserve">Art. 6 Abs. 4 DS-GVO, um bei Zweckänderung geeignete Garantien für die Sicherheit </w:t>
      </w:r>
      <w:r w:rsidRPr="004832F9">
        <w:t>abzubilden</w:t>
      </w:r>
    </w:p>
    <w:p w14:paraId="7603A8C8" w14:textId="77777777" w:rsidR="00AE4EA7" w:rsidRDefault="00000000">
      <w:pPr>
        <w:pStyle w:val="Listenabsatz"/>
        <w:numPr>
          <w:ilvl w:val="0"/>
          <w:numId w:val="17"/>
        </w:numPr>
      </w:pPr>
      <w:r>
        <w:t>Art. 25 Abs. 1 DS-GVO, als eines der Mittel, um „Datenschutz durch Technikgestaltung und durch datenschutzfreundliche Voreinstellungen“ („</w:t>
      </w:r>
      <w:r w:rsidRPr="004832F9">
        <w:t>Privacy</w:t>
      </w:r>
      <w:r>
        <w:t xml:space="preserve"> </w:t>
      </w:r>
      <w:r w:rsidRPr="004832F9">
        <w:t>by</w:t>
      </w:r>
      <w:r>
        <w:t xml:space="preserve"> Design/</w:t>
      </w:r>
      <w:r w:rsidRPr="004832F9">
        <w:t>Privacy</w:t>
      </w:r>
      <w:r>
        <w:t xml:space="preserve"> </w:t>
      </w:r>
      <w:r w:rsidRPr="004832F9">
        <w:t>by</w:t>
      </w:r>
      <w:r>
        <w:t xml:space="preserve"> Default“) </w:t>
      </w:r>
      <w:r w:rsidRPr="004832F9">
        <w:t>umzusetzen</w:t>
      </w:r>
    </w:p>
    <w:p w14:paraId="056F04C2" w14:textId="77777777" w:rsidR="00AE4EA7" w:rsidRDefault="00000000">
      <w:pPr>
        <w:pStyle w:val="Listenabsatz"/>
        <w:numPr>
          <w:ilvl w:val="0"/>
          <w:numId w:val="17"/>
        </w:numPr>
      </w:pPr>
      <w:r>
        <w:t xml:space="preserve">Art. 32 Abs. 1 lit. a DS-GVO, als eine der zu berücksichtigenden Anforderungen bei der Gewährleistung eines angemessenen </w:t>
      </w:r>
      <w:r w:rsidRPr="004832F9">
        <w:t>Schutzniveaus</w:t>
      </w:r>
    </w:p>
    <w:p w14:paraId="0F1642F2" w14:textId="77777777" w:rsidR="00AE4EA7" w:rsidRDefault="00000000">
      <w:pPr>
        <w:pStyle w:val="Listenabsatz"/>
        <w:numPr>
          <w:ilvl w:val="0"/>
          <w:numId w:val="17"/>
        </w:numPr>
      </w:pPr>
      <w:r>
        <w:t>Art. 89 Abs. 1 DS-GVO, als eine mögliche Maßnahme, um Rechte und Freiheiten betroffener Person bei der Verarbeitung personenbezogener Daten von im öffentlichen Interesse liegenden Archivzwecken, zu wissenschaftlichen oder historischen Forschungszwecken oder zu statistischen Zwecken zu gewährleisten.</w:t>
      </w:r>
    </w:p>
    <w:p w14:paraId="641307CB" w14:textId="77777777" w:rsidR="00AE4EA7" w:rsidRDefault="00000000">
      <w:pPr>
        <w:spacing w:after="0"/>
      </w:pPr>
      <w:r>
        <w:t>Anonyme oder pseudonyme Daten können z. B. genutzt werden für:</w:t>
      </w:r>
    </w:p>
    <w:p w14:paraId="491ED455" w14:textId="77777777" w:rsidR="00AE4EA7" w:rsidRDefault="00000000">
      <w:pPr>
        <w:pStyle w:val="Listenabsatz"/>
        <w:numPr>
          <w:ilvl w:val="0"/>
          <w:numId w:val="14"/>
        </w:numPr>
      </w:pPr>
      <w:r>
        <w:t>Schulungszwecke</w:t>
      </w:r>
    </w:p>
    <w:p w14:paraId="3EC495B3" w14:textId="77777777" w:rsidR="00AE4EA7" w:rsidRDefault="00000000">
      <w:pPr>
        <w:pStyle w:val="Listenabsatz"/>
        <w:numPr>
          <w:ilvl w:val="0"/>
          <w:numId w:val="14"/>
        </w:numPr>
      </w:pPr>
      <w:r>
        <w:t>Krankheitsregister</w:t>
      </w:r>
    </w:p>
    <w:p w14:paraId="16AFBF2F" w14:textId="77777777" w:rsidR="00AE4EA7" w:rsidRDefault="00000000">
      <w:pPr>
        <w:pStyle w:val="Listenabsatz"/>
        <w:numPr>
          <w:ilvl w:val="0"/>
          <w:numId w:val="14"/>
        </w:numPr>
      </w:pPr>
      <w:r>
        <w:t>Klinische Studien</w:t>
      </w:r>
    </w:p>
    <w:p w14:paraId="6F4628AA" w14:textId="77777777" w:rsidR="00AE4EA7" w:rsidRDefault="00000000">
      <w:pPr>
        <w:pStyle w:val="Listenabsatz"/>
        <w:numPr>
          <w:ilvl w:val="0"/>
          <w:numId w:val="14"/>
        </w:numPr>
      </w:pPr>
      <w:r>
        <w:t>Statistische Auswertungen/Analysen.</w:t>
      </w:r>
    </w:p>
    <w:p w14:paraId="7193039B" w14:textId="0829502F" w:rsidR="00AE4EA7" w:rsidRDefault="006330C9">
      <w:r>
        <w:t xml:space="preserve">Die Vorgaben der </w:t>
      </w:r>
      <w:r w:rsidRPr="008444FB">
        <w:t>DS</w:t>
      </w:r>
      <w:r w:rsidR="008444FB">
        <w:t>-</w:t>
      </w:r>
      <w:r>
        <w:t>GVO enthalten die Rahmenbedingungen, unter welchen eine Pseudonymisierung anwendbar ist. Bzgl. der Ausgestaltung der Pseudonymisierung gibt es aber Bedarf an Auslegung. Art. 40</w:t>
      </w:r>
      <w:r w:rsidR="00E027A5">
        <w:t> </w:t>
      </w:r>
      <w:r>
        <w:t>Abs. 2</w:t>
      </w:r>
      <w:r w:rsidR="00E027A5">
        <w:t> </w:t>
      </w:r>
      <w:r>
        <w:t>lit. d</w:t>
      </w:r>
      <w:r w:rsidR="00E027A5">
        <w:t> </w:t>
      </w:r>
      <w:r>
        <w:t>DS-GVO verweist darauf, dass Verhaltensregeln die Pseudonymisierung personenbezogener Daten konkreter ausgestalten können. Dies</w:t>
      </w:r>
      <w:r w:rsidR="00A336B3">
        <w:t>e</w:t>
      </w:r>
      <w:r>
        <w:t xml:space="preserve"> Praxishilfe stellt keine Verhaltensregeln i. S. d. </w:t>
      </w:r>
      <w:r w:rsidR="008815C8">
        <w:t xml:space="preserve">DS-GVO </w:t>
      </w:r>
      <w:r>
        <w:t xml:space="preserve">dar, </w:t>
      </w:r>
      <w:r w:rsidR="00620905">
        <w:t xml:space="preserve">will </w:t>
      </w:r>
      <w:r>
        <w:t xml:space="preserve">aber einen Beitrag </w:t>
      </w:r>
      <w:r w:rsidR="00A336B3">
        <w:t xml:space="preserve">dazu </w:t>
      </w:r>
      <w:r>
        <w:t xml:space="preserve">leisten, wie mit Pseudonymisierung und Anonymisierung </w:t>
      </w:r>
      <w:r w:rsidR="008815C8">
        <w:t xml:space="preserve">unter </w:t>
      </w:r>
      <w:r>
        <w:t>Geltung der DS-GVO umzugehen ist.</w:t>
      </w:r>
    </w:p>
    <w:p w14:paraId="494DAE90" w14:textId="4985C2A6" w:rsidR="00AE4EA7" w:rsidRDefault="00000000">
      <w:pPr>
        <w:pStyle w:val="berschrift1"/>
      </w:pPr>
      <w:bookmarkStart w:id="63" w:name="_Toc154652582"/>
      <w:r>
        <w:t>Abgrenzung</w:t>
      </w:r>
      <w:r w:rsidR="004D05D2">
        <w:t>/Klarstellung</w:t>
      </w:r>
      <w:bookmarkEnd w:id="63"/>
    </w:p>
    <w:p w14:paraId="442EA3A1" w14:textId="549113E7" w:rsidR="00AE4EA7" w:rsidRDefault="00000000">
      <w:r>
        <w:t xml:space="preserve">Die vorliegende </w:t>
      </w:r>
      <w:r w:rsidR="007F605E">
        <w:t>Praxishilfe</w:t>
      </w:r>
      <w:r>
        <w:t xml:space="preserve"> bezieht sich auf Daten in der Gesundheitsversorgung, d. h. besondere Kategorien von Daten im Sinne </w:t>
      </w:r>
      <w:r w:rsidR="005E57FD">
        <w:t>von Art. 9 Abs. 1</w:t>
      </w:r>
      <w:r>
        <w:t xml:space="preserve"> DS-GVO. Grundsätzlich ist eine Pseudonymisierung oder Anonymisierung natürlich auch bei anderen Daten sinnvoll. Die vorliegend dargestellten Ausführungen</w:t>
      </w:r>
      <w:r w:rsidR="007F605E">
        <w:t xml:space="preserve"> und </w:t>
      </w:r>
      <w:r>
        <w:t xml:space="preserve">Methoden sind daher i. d. R. auch auf diese </w:t>
      </w:r>
      <w:r w:rsidR="005E57FD">
        <w:t>(</w:t>
      </w:r>
      <w:r w:rsidR="004D05D2" w:rsidRPr="004D05D2">
        <w:t>vielfach</w:t>
      </w:r>
      <w:r w:rsidR="005E57FD">
        <w:t xml:space="preserve"> weniger sensiblen) </w:t>
      </w:r>
      <w:r>
        <w:t>Daten übertragbar.</w:t>
      </w:r>
    </w:p>
    <w:p w14:paraId="4C481EBF" w14:textId="4E451A6A" w:rsidR="00AE4EA7" w:rsidRDefault="00620905">
      <w:r>
        <w:t xml:space="preserve">Diese </w:t>
      </w:r>
      <w:r w:rsidR="007F605E">
        <w:t>Praxishilfe</w:t>
      </w:r>
      <w:r>
        <w:t xml:space="preserve"> stellt keine Verhaltensregel i.S.v. Art. 40 Abs. 2 lit. d DS-GVO dar</w:t>
      </w:r>
      <w:r w:rsidR="00E87699">
        <w:rPr>
          <w:rStyle w:val="Funotenzeichen"/>
        </w:rPr>
        <w:footnoteReference w:id="1"/>
      </w:r>
      <w:r>
        <w:t xml:space="preserve">. </w:t>
      </w:r>
      <w:r w:rsidR="006330C9">
        <w:t>Sie</w:t>
      </w:r>
      <w:r>
        <w:t xml:space="preserve"> beschreibt</w:t>
      </w:r>
      <w:r w:rsidR="004D05D2">
        <w:t xml:space="preserve"> allerdings</w:t>
      </w:r>
      <w:r>
        <w:t>, welche Rahmenbedingungen beim Vorgehen bzgl. Anonymisierung oder Pseudonymisierung aus Sicht der DS-GVO mindestens beachtet werden sollten. Weiterhin werden einige Methoden zu diese</w:t>
      </w:r>
      <w:r w:rsidR="00E027A5">
        <w:t>m</w:t>
      </w:r>
      <w:r>
        <w:t xml:space="preserve"> Thema vorgestellt, ohne dass von den Verfassern ein Anspruch auf Vollständigkeit bzgl. der Darstellung erhoben wird.</w:t>
      </w:r>
    </w:p>
    <w:p w14:paraId="05D05544" w14:textId="77777777" w:rsidR="00AE4EA7" w:rsidRDefault="00AE4EA7"/>
    <w:p w14:paraId="2463B6F2"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206E1FF5" w14:textId="77777777" w:rsidR="00AE4EA7" w:rsidRDefault="00000000">
      <w:pPr>
        <w:pStyle w:val="berschrift1"/>
      </w:pPr>
      <w:bookmarkStart w:id="64" w:name="_Toc154652583"/>
      <w:r>
        <w:t>Allgemeines</w:t>
      </w:r>
      <w:bookmarkEnd w:id="64"/>
    </w:p>
    <w:p w14:paraId="3BCCBCC4" w14:textId="77777777" w:rsidR="00AE4EA7" w:rsidRDefault="00000000">
      <w:r>
        <w:t>Im Rahmen der folgenden Darstellung werden des Öfteren Beispiele zur Veranschaulichung genutzt. Alle Beispiele basieren auf dem folgenden onkologischen Beispieldatensatz:</w:t>
      </w:r>
    </w:p>
    <w:tbl>
      <w:tblPr>
        <w:tblW w:w="9156" w:type="dxa"/>
        <w:tblInd w:w="55" w:type="dxa"/>
        <w:tblLayout w:type="fixed"/>
        <w:tblCellMar>
          <w:left w:w="70" w:type="dxa"/>
          <w:right w:w="70" w:type="dxa"/>
        </w:tblCellMar>
        <w:tblLook w:val="04A0" w:firstRow="1" w:lastRow="0" w:firstColumn="1" w:lastColumn="0" w:noHBand="0" w:noVBand="1"/>
      </w:tblPr>
      <w:tblGrid>
        <w:gridCol w:w="1130"/>
        <w:gridCol w:w="1138"/>
        <w:gridCol w:w="1150"/>
        <w:gridCol w:w="1147"/>
        <w:gridCol w:w="747"/>
        <w:gridCol w:w="803"/>
        <w:gridCol w:w="3041"/>
      </w:tblGrid>
      <w:tr w:rsidR="00AE4EA7" w14:paraId="5AEDC589" w14:textId="77777777">
        <w:trPr>
          <w:trHeight w:val="315"/>
          <w:tblHeader/>
        </w:trPr>
        <w:tc>
          <w:tcPr>
            <w:tcW w:w="112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727EF9" w14:textId="77777777" w:rsidR="00AE4EA7" w:rsidRDefault="00000000">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Vorname</w:t>
            </w:r>
          </w:p>
        </w:tc>
        <w:tc>
          <w:tcPr>
            <w:tcW w:w="1138" w:type="dxa"/>
            <w:tcBorders>
              <w:top w:val="single" w:sz="8" w:space="0" w:color="000000"/>
              <w:bottom w:val="single" w:sz="8" w:space="0" w:color="000000"/>
              <w:right w:val="single" w:sz="8" w:space="0" w:color="000000"/>
            </w:tcBorders>
            <w:shd w:val="clear" w:color="auto" w:fill="auto"/>
            <w:vAlign w:val="center"/>
          </w:tcPr>
          <w:p w14:paraId="1B7DF325" w14:textId="77777777" w:rsidR="00AE4EA7" w:rsidRDefault="00000000">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Nachname</w:t>
            </w:r>
          </w:p>
        </w:tc>
        <w:tc>
          <w:tcPr>
            <w:tcW w:w="1150" w:type="dxa"/>
            <w:tcBorders>
              <w:top w:val="single" w:sz="8" w:space="0" w:color="000000"/>
              <w:bottom w:val="single" w:sz="8" w:space="0" w:color="000000"/>
              <w:right w:val="single" w:sz="8" w:space="0" w:color="000000"/>
            </w:tcBorders>
            <w:shd w:val="clear" w:color="auto" w:fill="auto"/>
            <w:vAlign w:val="center"/>
          </w:tcPr>
          <w:p w14:paraId="49E5A05E" w14:textId="77777777" w:rsidR="00AE4EA7" w:rsidRDefault="00000000">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Geschlecht</w:t>
            </w:r>
          </w:p>
        </w:tc>
        <w:tc>
          <w:tcPr>
            <w:tcW w:w="1147" w:type="dxa"/>
            <w:tcBorders>
              <w:top w:val="single" w:sz="8" w:space="0" w:color="000000"/>
              <w:bottom w:val="single" w:sz="8" w:space="0" w:color="000000"/>
              <w:right w:val="single" w:sz="8" w:space="0" w:color="000000"/>
            </w:tcBorders>
            <w:shd w:val="clear" w:color="auto" w:fill="auto"/>
            <w:vAlign w:val="center"/>
          </w:tcPr>
          <w:p w14:paraId="09460C65" w14:textId="77777777" w:rsidR="00AE4EA7" w:rsidRDefault="00000000">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Geb.-Datum</w:t>
            </w:r>
          </w:p>
        </w:tc>
        <w:tc>
          <w:tcPr>
            <w:tcW w:w="747" w:type="dxa"/>
            <w:tcBorders>
              <w:top w:val="single" w:sz="8" w:space="0" w:color="000000"/>
              <w:bottom w:val="single" w:sz="8" w:space="0" w:color="000000"/>
              <w:right w:val="single" w:sz="8" w:space="0" w:color="000000"/>
            </w:tcBorders>
            <w:shd w:val="clear" w:color="auto" w:fill="auto"/>
            <w:vAlign w:val="center"/>
          </w:tcPr>
          <w:p w14:paraId="5F5634CA" w14:textId="77777777" w:rsidR="00AE4EA7" w:rsidRDefault="00000000">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PLZ</w:t>
            </w:r>
          </w:p>
        </w:tc>
        <w:tc>
          <w:tcPr>
            <w:tcW w:w="803" w:type="dxa"/>
            <w:tcBorders>
              <w:top w:val="single" w:sz="8" w:space="0" w:color="000000"/>
              <w:bottom w:val="single" w:sz="8" w:space="0" w:color="000000"/>
              <w:right w:val="single" w:sz="8" w:space="0" w:color="000000"/>
            </w:tcBorders>
            <w:shd w:val="clear" w:color="auto" w:fill="auto"/>
            <w:vAlign w:val="center"/>
          </w:tcPr>
          <w:p w14:paraId="093408C5" w14:textId="7E57166E" w:rsidR="00AE4EA7" w:rsidRDefault="00000000">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ICD</w:t>
            </w:r>
            <w:r w:rsidR="007A1A5F">
              <w:rPr>
                <w:rFonts w:eastAsia="Times New Roman" w:cs="Times New Roman"/>
                <w:b/>
                <w:bCs/>
                <w:color w:val="000000"/>
                <w:sz w:val="20"/>
                <w:szCs w:val="20"/>
                <w:lang w:eastAsia="de-DE"/>
              </w:rPr>
              <w:t>-2019</w:t>
            </w:r>
            <w:r w:rsidR="007A1A5F">
              <w:rPr>
                <w:rStyle w:val="Funotenzeichen"/>
                <w:rFonts w:eastAsia="Times New Roman" w:cs="Times New Roman"/>
                <w:b/>
                <w:bCs/>
                <w:color w:val="000000"/>
                <w:sz w:val="20"/>
                <w:szCs w:val="20"/>
                <w:lang w:eastAsia="de-DE"/>
              </w:rPr>
              <w:footnoteReference w:id="2"/>
            </w:r>
          </w:p>
        </w:tc>
        <w:tc>
          <w:tcPr>
            <w:tcW w:w="3041" w:type="dxa"/>
            <w:tcBorders>
              <w:top w:val="single" w:sz="8" w:space="0" w:color="000000"/>
              <w:bottom w:val="single" w:sz="8" w:space="0" w:color="000000"/>
              <w:right w:val="single" w:sz="8" w:space="0" w:color="000000"/>
            </w:tcBorders>
            <w:shd w:val="clear" w:color="auto" w:fill="auto"/>
            <w:vAlign w:val="center"/>
          </w:tcPr>
          <w:p w14:paraId="2C4129CF" w14:textId="77777777" w:rsidR="00AE4EA7" w:rsidRDefault="00000000">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Diagnose</w:t>
            </w:r>
          </w:p>
        </w:tc>
      </w:tr>
      <w:tr w:rsidR="00AE4EA7" w14:paraId="49D6C3B8"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6EC002B7"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Heike</w:t>
            </w:r>
          </w:p>
        </w:tc>
        <w:tc>
          <w:tcPr>
            <w:tcW w:w="1138" w:type="dxa"/>
            <w:tcBorders>
              <w:bottom w:val="single" w:sz="8" w:space="0" w:color="000000"/>
              <w:right w:val="single" w:sz="8" w:space="0" w:color="000000"/>
            </w:tcBorders>
            <w:shd w:val="clear" w:color="auto" w:fill="auto"/>
          </w:tcPr>
          <w:p w14:paraId="5735208A"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Richter</w:t>
            </w:r>
          </w:p>
        </w:tc>
        <w:tc>
          <w:tcPr>
            <w:tcW w:w="1150" w:type="dxa"/>
            <w:tcBorders>
              <w:bottom w:val="single" w:sz="8" w:space="0" w:color="000000"/>
              <w:right w:val="single" w:sz="8" w:space="0" w:color="000000"/>
            </w:tcBorders>
            <w:shd w:val="clear" w:color="auto" w:fill="auto"/>
          </w:tcPr>
          <w:p w14:paraId="2C2E23ED"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147" w:type="dxa"/>
            <w:tcBorders>
              <w:bottom w:val="single" w:sz="8" w:space="0" w:color="000000"/>
              <w:right w:val="single" w:sz="8" w:space="0" w:color="000000"/>
            </w:tcBorders>
            <w:shd w:val="clear" w:color="auto" w:fill="auto"/>
          </w:tcPr>
          <w:p w14:paraId="0125141E"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11.05.1983</w:t>
            </w:r>
          </w:p>
        </w:tc>
        <w:tc>
          <w:tcPr>
            <w:tcW w:w="747" w:type="dxa"/>
            <w:tcBorders>
              <w:bottom w:val="single" w:sz="8" w:space="0" w:color="000000"/>
              <w:right w:val="single" w:sz="8" w:space="0" w:color="000000"/>
            </w:tcBorders>
            <w:shd w:val="clear" w:color="auto" w:fill="auto"/>
          </w:tcPr>
          <w:p w14:paraId="06816E49"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803" w:type="dxa"/>
            <w:tcBorders>
              <w:bottom w:val="single" w:sz="8" w:space="0" w:color="000000"/>
              <w:right w:val="single" w:sz="8" w:space="0" w:color="000000"/>
            </w:tcBorders>
            <w:shd w:val="clear" w:color="auto" w:fill="auto"/>
          </w:tcPr>
          <w:p w14:paraId="2E70A084"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C43.9</w:t>
            </w:r>
          </w:p>
        </w:tc>
        <w:tc>
          <w:tcPr>
            <w:tcW w:w="3041" w:type="dxa"/>
            <w:tcBorders>
              <w:bottom w:val="single" w:sz="8" w:space="0" w:color="000000"/>
              <w:right w:val="single" w:sz="8" w:space="0" w:color="000000"/>
            </w:tcBorders>
            <w:shd w:val="clear" w:color="auto" w:fill="auto"/>
          </w:tcPr>
          <w:p w14:paraId="31CABD8E"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Bösartiges Melanom der Haut, nicht näher </w:t>
            </w:r>
            <w:r w:rsidRPr="004832F9">
              <w:rPr>
                <w:rFonts w:eastAsia="Times New Roman" w:cs="Times New Roman"/>
                <w:color w:val="000000"/>
                <w:sz w:val="20"/>
                <w:szCs w:val="20"/>
                <w:lang w:eastAsia="de-DE"/>
              </w:rPr>
              <w:t>bezeichnet</w:t>
            </w:r>
          </w:p>
        </w:tc>
      </w:tr>
      <w:tr w:rsidR="00AE4EA7" w14:paraId="480EBF4C"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4F1F44D8"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Jan</w:t>
            </w:r>
          </w:p>
        </w:tc>
        <w:tc>
          <w:tcPr>
            <w:tcW w:w="1138" w:type="dxa"/>
            <w:tcBorders>
              <w:bottom w:val="single" w:sz="8" w:space="0" w:color="000000"/>
              <w:right w:val="single" w:sz="8" w:space="0" w:color="000000"/>
            </w:tcBorders>
            <w:shd w:val="clear" w:color="auto" w:fill="auto"/>
          </w:tcPr>
          <w:p w14:paraId="7DA0F047"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Schröder</w:t>
            </w:r>
          </w:p>
        </w:tc>
        <w:tc>
          <w:tcPr>
            <w:tcW w:w="1150" w:type="dxa"/>
            <w:tcBorders>
              <w:bottom w:val="single" w:sz="8" w:space="0" w:color="000000"/>
              <w:right w:val="single" w:sz="8" w:space="0" w:color="000000"/>
            </w:tcBorders>
            <w:shd w:val="clear" w:color="auto" w:fill="auto"/>
          </w:tcPr>
          <w:p w14:paraId="222EBD85"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147" w:type="dxa"/>
            <w:tcBorders>
              <w:bottom w:val="single" w:sz="8" w:space="0" w:color="000000"/>
              <w:right w:val="single" w:sz="8" w:space="0" w:color="000000"/>
            </w:tcBorders>
            <w:shd w:val="clear" w:color="auto" w:fill="auto"/>
          </w:tcPr>
          <w:p w14:paraId="7629562E"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03.12.1965</w:t>
            </w:r>
          </w:p>
        </w:tc>
        <w:tc>
          <w:tcPr>
            <w:tcW w:w="747" w:type="dxa"/>
            <w:tcBorders>
              <w:bottom w:val="single" w:sz="8" w:space="0" w:color="000000"/>
              <w:right w:val="single" w:sz="8" w:space="0" w:color="000000"/>
            </w:tcBorders>
            <w:shd w:val="clear" w:color="auto" w:fill="auto"/>
          </w:tcPr>
          <w:p w14:paraId="2ADC0BC3"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803" w:type="dxa"/>
            <w:tcBorders>
              <w:bottom w:val="single" w:sz="8" w:space="0" w:color="000000"/>
              <w:right w:val="single" w:sz="8" w:space="0" w:color="000000"/>
            </w:tcBorders>
            <w:shd w:val="clear" w:color="auto" w:fill="auto"/>
          </w:tcPr>
          <w:p w14:paraId="56BC04CA"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D22.9</w:t>
            </w:r>
          </w:p>
        </w:tc>
        <w:tc>
          <w:tcPr>
            <w:tcW w:w="3041" w:type="dxa"/>
            <w:tcBorders>
              <w:bottom w:val="single" w:sz="8" w:space="0" w:color="000000"/>
              <w:right w:val="single" w:sz="8" w:space="0" w:color="000000"/>
            </w:tcBorders>
            <w:shd w:val="clear" w:color="auto" w:fill="auto"/>
          </w:tcPr>
          <w:p w14:paraId="0610A821"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Melanozytennävus, nicht näher </w:t>
            </w:r>
            <w:r w:rsidRPr="004832F9">
              <w:rPr>
                <w:rFonts w:eastAsia="Times New Roman" w:cs="Times New Roman"/>
                <w:color w:val="000000"/>
                <w:sz w:val="20"/>
                <w:szCs w:val="20"/>
                <w:lang w:eastAsia="de-DE"/>
              </w:rPr>
              <w:t>bezeichnet</w:t>
            </w:r>
          </w:p>
        </w:tc>
      </w:tr>
      <w:tr w:rsidR="00AE4EA7" w14:paraId="47C52B0E"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78CDA11F"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Hugo-Egon</w:t>
            </w:r>
          </w:p>
        </w:tc>
        <w:tc>
          <w:tcPr>
            <w:tcW w:w="1138" w:type="dxa"/>
            <w:tcBorders>
              <w:bottom w:val="single" w:sz="8" w:space="0" w:color="000000"/>
              <w:right w:val="single" w:sz="8" w:space="0" w:color="000000"/>
            </w:tcBorders>
            <w:shd w:val="clear" w:color="auto" w:fill="auto"/>
          </w:tcPr>
          <w:p w14:paraId="03AB0C4A"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Meyer</w:t>
            </w:r>
          </w:p>
        </w:tc>
        <w:tc>
          <w:tcPr>
            <w:tcW w:w="1150" w:type="dxa"/>
            <w:tcBorders>
              <w:bottom w:val="single" w:sz="8" w:space="0" w:color="000000"/>
              <w:right w:val="single" w:sz="8" w:space="0" w:color="000000"/>
            </w:tcBorders>
            <w:shd w:val="clear" w:color="auto" w:fill="auto"/>
          </w:tcPr>
          <w:p w14:paraId="5403274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147" w:type="dxa"/>
            <w:tcBorders>
              <w:bottom w:val="single" w:sz="8" w:space="0" w:color="000000"/>
              <w:right w:val="single" w:sz="8" w:space="0" w:color="000000"/>
            </w:tcBorders>
            <w:shd w:val="clear" w:color="auto" w:fill="auto"/>
          </w:tcPr>
          <w:p w14:paraId="1805E78B"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27.08.1977</w:t>
            </w:r>
          </w:p>
        </w:tc>
        <w:tc>
          <w:tcPr>
            <w:tcW w:w="747" w:type="dxa"/>
            <w:tcBorders>
              <w:bottom w:val="single" w:sz="8" w:space="0" w:color="000000"/>
              <w:right w:val="single" w:sz="8" w:space="0" w:color="000000"/>
            </w:tcBorders>
            <w:shd w:val="clear" w:color="auto" w:fill="auto"/>
          </w:tcPr>
          <w:p w14:paraId="35908DCC"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10178</w:t>
            </w:r>
          </w:p>
        </w:tc>
        <w:tc>
          <w:tcPr>
            <w:tcW w:w="803" w:type="dxa"/>
            <w:tcBorders>
              <w:bottom w:val="single" w:sz="8" w:space="0" w:color="000000"/>
              <w:right w:val="single" w:sz="8" w:space="0" w:color="000000"/>
            </w:tcBorders>
            <w:shd w:val="clear" w:color="auto" w:fill="auto"/>
          </w:tcPr>
          <w:p w14:paraId="059C9DD6"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C85.9</w:t>
            </w:r>
          </w:p>
        </w:tc>
        <w:tc>
          <w:tcPr>
            <w:tcW w:w="3041" w:type="dxa"/>
            <w:tcBorders>
              <w:bottom w:val="single" w:sz="8" w:space="0" w:color="000000"/>
              <w:right w:val="single" w:sz="8" w:space="0" w:color="000000"/>
            </w:tcBorders>
            <w:shd w:val="clear" w:color="auto" w:fill="auto"/>
          </w:tcPr>
          <w:p w14:paraId="645FBC3C"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Non-Hodgkin-Lymphom, Typ nicht näher </w:t>
            </w:r>
            <w:r w:rsidRPr="004832F9">
              <w:rPr>
                <w:rFonts w:eastAsia="Times New Roman" w:cs="Times New Roman"/>
                <w:color w:val="000000"/>
                <w:sz w:val="20"/>
                <w:szCs w:val="20"/>
                <w:lang w:eastAsia="de-DE"/>
              </w:rPr>
              <w:t>bezeichnet</w:t>
            </w:r>
          </w:p>
        </w:tc>
      </w:tr>
      <w:tr w:rsidR="00AE4EA7" w14:paraId="73AF93EB"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72118915"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Eckbert</w:t>
            </w:r>
          </w:p>
        </w:tc>
        <w:tc>
          <w:tcPr>
            <w:tcW w:w="1138" w:type="dxa"/>
            <w:tcBorders>
              <w:bottom w:val="single" w:sz="8" w:space="0" w:color="000000"/>
              <w:right w:val="single" w:sz="8" w:space="0" w:color="000000"/>
            </w:tcBorders>
            <w:shd w:val="clear" w:color="auto" w:fill="auto"/>
          </w:tcPr>
          <w:p w14:paraId="25C4D208"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Schneider</w:t>
            </w:r>
          </w:p>
        </w:tc>
        <w:tc>
          <w:tcPr>
            <w:tcW w:w="1150" w:type="dxa"/>
            <w:tcBorders>
              <w:bottom w:val="single" w:sz="8" w:space="0" w:color="000000"/>
              <w:right w:val="single" w:sz="8" w:space="0" w:color="000000"/>
            </w:tcBorders>
            <w:shd w:val="clear" w:color="auto" w:fill="auto"/>
          </w:tcPr>
          <w:p w14:paraId="0ABA49DC"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147" w:type="dxa"/>
            <w:tcBorders>
              <w:bottom w:val="single" w:sz="8" w:space="0" w:color="000000"/>
              <w:right w:val="single" w:sz="8" w:space="0" w:color="000000"/>
            </w:tcBorders>
            <w:shd w:val="clear" w:color="auto" w:fill="auto"/>
          </w:tcPr>
          <w:p w14:paraId="27B0454E"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23.12.1981</w:t>
            </w:r>
          </w:p>
        </w:tc>
        <w:tc>
          <w:tcPr>
            <w:tcW w:w="747" w:type="dxa"/>
            <w:tcBorders>
              <w:bottom w:val="single" w:sz="8" w:space="0" w:color="000000"/>
              <w:right w:val="single" w:sz="8" w:space="0" w:color="000000"/>
            </w:tcBorders>
            <w:shd w:val="clear" w:color="auto" w:fill="auto"/>
          </w:tcPr>
          <w:p w14:paraId="305F86A5"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10247</w:t>
            </w:r>
          </w:p>
        </w:tc>
        <w:tc>
          <w:tcPr>
            <w:tcW w:w="803" w:type="dxa"/>
            <w:tcBorders>
              <w:bottom w:val="single" w:sz="8" w:space="0" w:color="000000"/>
              <w:right w:val="single" w:sz="8" w:space="0" w:color="000000"/>
            </w:tcBorders>
            <w:shd w:val="clear" w:color="auto" w:fill="auto"/>
          </w:tcPr>
          <w:p w14:paraId="5BBD4274"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D44.8</w:t>
            </w:r>
          </w:p>
        </w:tc>
        <w:tc>
          <w:tcPr>
            <w:tcW w:w="3041" w:type="dxa"/>
            <w:tcBorders>
              <w:bottom w:val="single" w:sz="8" w:space="0" w:color="000000"/>
              <w:right w:val="single" w:sz="8" w:space="0" w:color="000000"/>
            </w:tcBorders>
            <w:shd w:val="clear" w:color="auto" w:fill="auto"/>
          </w:tcPr>
          <w:p w14:paraId="06AB462B"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Neubildung unsicheren oder unbekannten Verhaltens: Beteiligung mehrerer endokriner Drüsen</w:t>
            </w:r>
          </w:p>
        </w:tc>
      </w:tr>
      <w:tr w:rsidR="00AE4EA7" w14:paraId="0556FF15"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31CA9655"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Jürgen</w:t>
            </w:r>
          </w:p>
        </w:tc>
        <w:tc>
          <w:tcPr>
            <w:tcW w:w="1138" w:type="dxa"/>
            <w:tcBorders>
              <w:bottom w:val="single" w:sz="8" w:space="0" w:color="000000"/>
              <w:right w:val="single" w:sz="8" w:space="0" w:color="000000"/>
            </w:tcBorders>
            <w:shd w:val="clear" w:color="auto" w:fill="auto"/>
          </w:tcPr>
          <w:p w14:paraId="43F60D60"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Stillstand</w:t>
            </w:r>
          </w:p>
        </w:tc>
        <w:tc>
          <w:tcPr>
            <w:tcW w:w="1150" w:type="dxa"/>
            <w:tcBorders>
              <w:bottom w:val="single" w:sz="8" w:space="0" w:color="000000"/>
              <w:right w:val="single" w:sz="8" w:space="0" w:color="000000"/>
            </w:tcBorders>
            <w:shd w:val="clear" w:color="auto" w:fill="auto"/>
          </w:tcPr>
          <w:p w14:paraId="516BF530"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147" w:type="dxa"/>
            <w:tcBorders>
              <w:bottom w:val="single" w:sz="8" w:space="0" w:color="000000"/>
              <w:right w:val="single" w:sz="8" w:space="0" w:color="000000"/>
            </w:tcBorders>
            <w:shd w:val="clear" w:color="auto" w:fill="auto"/>
          </w:tcPr>
          <w:p w14:paraId="35AA200F"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29.11.1985</w:t>
            </w:r>
          </w:p>
        </w:tc>
        <w:tc>
          <w:tcPr>
            <w:tcW w:w="747" w:type="dxa"/>
            <w:tcBorders>
              <w:bottom w:val="single" w:sz="8" w:space="0" w:color="000000"/>
              <w:right w:val="single" w:sz="8" w:space="0" w:color="000000"/>
            </w:tcBorders>
            <w:shd w:val="clear" w:color="auto" w:fill="auto"/>
          </w:tcPr>
          <w:p w14:paraId="5A9CAF5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10319</w:t>
            </w:r>
          </w:p>
        </w:tc>
        <w:tc>
          <w:tcPr>
            <w:tcW w:w="803" w:type="dxa"/>
            <w:tcBorders>
              <w:bottom w:val="single" w:sz="8" w:space="0" w:color="000000"/>
              <w:right w:val="single" w:sz="8" w:space="0" w:color="000000"/>
            </w:tcBorders>
            <w:shd w:val="clear" w:color="auto" w:fill="auto"/>
          </w:tcPr>
          <w:p w14:paraId="47FECEC1"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C18.4</w:t>
            </w:r>
          </w:p>
        </w:tc>
        <w:tc>
          <w:tcPr>
            <w:tcW w:w="3041" w:type="dxa"/>
            <w:tcBorders>
              <w:bottom w:val="single" w:sz="8" w:space="0" w:color="000000"/>
              <w:right w:val="single" w:sz="8" w:space="0" w:color="000000"/>
            </w:tcBorders>
            <w:shd w:val="clear" w:color="auto" w:fill="auto"/>
          </w:tcPr>
          <w:p w14:paraId="154EA685"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Bösartige Neubildung: Colon </w:t>
            </w:r>
            <w:r w:rsidRPr="004832F9">
              <w:rPr>
                <w:rFonts w:eastAsia="Times New Roman" w:cs="Times New Roman"/>
                <w:color w:val="000000"/>
                <w:sz w:val="20"/>
                <w:szCs w:val="20"/>
                <w:lang w:eastAsia="de-DE"/>
              </w:rPr>
              <w:t>transversum</w:t>
            </w:r>
          </w:p>
        </w:tc>
      </w:tr>
      <w:tr w:rsidR="00AE4EA7" w14:paraId="4FAC1420"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75847608"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Hiltrud</w:t>
            </w:r>
          </w:p>
        </w:tc>
        <w:tc>
          <w:tcPr>
            <w:tcW w:w="1138" w:type="dxa"/>
            <w:tcBorders>
              <w:bottom w:val="single" w:sz="8" w:space="0" w:color="000000"/>
              <w:right w:val="single" w:sz="8" w:space="0" w:color="000000"/>
            </w:tcBorders>
            <w:shd w:val="clear" w:color="auto" w:fill="auto"/>
          </w:tcPr>
          <w:p w14:paraId="75B113F4"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Niemand</w:t>
            </w:r>
          </w:p>
        </w:tc>
        <w:tc>
          <w:tcPr>
            <w:tcW w:w="1150" w:type="dxa"/>
            <w:tcBorders>
              <w:bottom w:val="single" w:sz="8" w:space="0" w:color="000000"/>
              <w:right w:val="single" w:sz="8" w:space="0" w:color="000000"/>
            </w:tcBorders>
            <w:shd w:val="clear" w:color="auto" w:fill="auto"/>
          </w:tcPr>
          <w:p w14:paraId="25576C0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147" w:type="dxa"/>
            <w:tcBorders>
              <w:bottom w:val="single" w:sz="8" w:space="0" w:color="000000"/>
              <w:right w:val="single" w:sz="8" w:space="0" w:color="000000"/>
            </w:tcBorders>
            <w:shd w:val="clear" w:color="auto" w:fill="auto"/>
          </w:tcPr>
          <w:p w14:paraId="25D73FA7"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15.07.1987</w:t>
            </w:r>
          </w:p>
        </w:tc>
        <w:tc>
          <w:tcPr>
            <w:tcW w:w="747" w:type="dxa"/>
            <w:tcBorders>
              <w:bottom w:val="single" w:sz="8" w:space="0" w:color="000000"/>
              <w:right w:val="single" w:sz="8" w:space="0" w:color="000000"/>
            </w:tcBorders>
            <w:shd w:val="clear" w:color="auto" w:fill="auto"/>
          </w:tcPr>
          <w:p w14:paraId="4DB1A29D"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10407</w:t>
            </w:r>
          </w:p>
        </w:tc>
        <w:tc>
          <w:tcPr>
            <w:tcW w:w="803" w:type="dxa"/>
            <w:tcBorders>
              <w:bottom w:val="single" w:sz="8" w:space="0" w:color="000000"/>
              <w:right w:val="single" w:sz="8" w:space="0" w:color="000000"/>
            </w:tcBorders>
            <w:shd w:val="clear" w:color="auto" w:fill="auto"/>
          </w:tcPr>
          <w:p w14:paraId="32B83CAC"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D46.1</w:t>
            </w:r>
          </w:p>
        </w:tc>
        <w:tc>
          <w:tcPr>
            <w:tcW w:w="3041" w:type="dxa"/>
            <w:tcBorders>
              <w:bottom w:val="single" w:sz="8" w:space="0" w:color="000000"/>
              <w:right w:val="single" w:sz="8" w:space="0" w:color="000000"/>
            </w:tcBorders>
            <w:shd w:val="clear" w:color="auto" w:fill="auto"/>
          </w:tcPr>
          <w:p w14:paraId="60FC71F1"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Refraktäre Anämie mit </w:t>
            </w:r>
            <w:r w:rsidRPr="004832F9">
              <w:rPr>
                <w:rFonts w:eastAsia="Times New Roman" w:cs="Times New Roman"/>
                <w:color w:val="000000"/>
                <w:sz w:val="20"/>
                <w:szCs w:val="20"/>
                <w:lang w:eastAsia="de-DE"/>
              </w:rPr>
              <w:t>Ringsideroblasten</w:t>
            </w:r>
          </w:p>
        </w:tc>
      </w:tr>
      <w:tr w:rsidR="00AE4EA7" w14:paraId="4BE668DC"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178CE6D8"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Uwe</w:t>
            </w:r>
          </w:p>
        </w:tc>
        <w:tc>
          <w:tcPr>
            <w:tcW w:w="1138" w:type="dxa"/>
            <w:tcBorders>
              <w:bottom w:val="single" w:sz="8" w:space="0" w:color="000000"/>
              <w:right w:val="single" w:sz="8" w:space="0" w:color="000000"/>
            </w:tcBorders>
            <w:shd w:val="clear" w:color="auto" w:fill="auto"/>
          </w:tcPr>
          <w:p w14:paraId="1380B06F"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Müller</w:t>
            </w:r>
          </w:p>
        </w:tc>
        <w:tc>
          <w:tcPr>
            <w:tcW w:w="1150" w:type="dxa"/>
            <w:tcBorders>
              <w:bottom w:val="single" w:sz="8" w:space="0" w:color="000000"/>
              <w:right w:val="single" w:sz="8" w:space="0" w:color="000000"/>
            </w:tcBorders>
            <w:shd w:val="clear" w:color="auto" w:fill="auto"/>
          </w:tcPr>
          <w:p w14:paraId="4AFD3C2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147" w:type="dxa"/>
            <w:tcBorders>
              <w:bottom w:val="single" w:sz="8" w:space="0" w:color="000000"/>
              <w:right w:val="single" w:sz="8" w:space="0" w:color="000000"/>
            </w:tcBorders>
            <w:shd w:val="clear" w:color="auto" w:fill="auto"/>
          </w:tcPr>
          <w:p w14:paraId="6FF8CBD3"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31.03.1988</w:t>
            </w:r>
          </w:p>
        </w:tc>
        <w:tc>
          <w:tcPr>
            <w:tcW w:w="747" w:type="dxa"/>
            <w:tcBorders>
              <w:bottom w:val="single" w:sz="8" w:space="0" w:color="000000"/>
              <w:right w:val="single" w:sz="8" w:space="0" w:color="000000"/>
            </w:tcBorders>
            <w:shd w:val="clear" w:color="auto" w:fill="auto"/>
          </w:tcPr>
          <w:p w14:paraId="36B057F0"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10435</w:t>
            </w:r>
          </w:p>
        </w:tc>
        <w:tc>
          <w:tcPr>
            <w:tcW w:w="803" w:type="dxa"/>
            <w:tcBorders>
              <w:bottom w:val="single" w:sz="8" w:space="0" w:color="000000"/>
              <w:right w:val="single" w:sz="8" w:space="0" w:color="000000"/>
            </w:tcBorders>
            <w:shd w:val="clear" w:color="auto" w:fill="auto"/>
          </w:tcPr>
          <w:p w14:paraId="262A5673"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C16.3</w:t>
            </w:r>
          </w:p>
        </w:tc>
        <w:tc>
          <w:tcPr>
            <w:tcW w:w="3041" w:type="dxa"/>
            <w:tcBorders>
              <w:bottom w:val="single" w:sz="8" w:space="0" w:color="000000"/>
              <w:right w:val="single" w:sz="8" w:space="0" w:color="000000"/>
            </w:tcBorders>
            <w:shd w:val="clear" w:color="auto" w:fill="auto"/>
          </w:tcPr>
          <w:p w14:paraId="41433F76"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Bösartige Neubildung: Antrum </w:t>
            </w:r>
            <w:r w:rsidRPr="004832F9">
              <w:rPr>
                <w:rFonts w:eastAsia="Times New Roman" w:cs="Times New Roman"/>
                <w:color w:val="000000"/>
                <w:sz w:val="20"/>
                <w:szCs w:val="20"/>
                <w:lang w:eastAsia="de-DE"/>
              </w:rPr>
              <w:t>pyloricum</w:t>
            </w:r>
          </w:p>
        </w:tc>
      </w:tr>
      <w:tr w:rsidR="00AE4EA7" w14:paraId="53F81CF0"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61519557"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Michael</w:t>
            </w:r>
          </w:p>
        </w:tc>
        <w:tc>
          <w:tcPr>
            <w:tcW w:w="1138" w:type="dxa"/>
            <w:tcBorders>
              <w:bottom w:val="single" w:sz="8" w:space="0" w:color="000000"/>
              <w:right w:val="single" w:sz="8" w:space="0" w:color="000000"/>
            </w:tcBorders>
            <w:shd w:val="clear" w:color="auto" w:fill="auto"/>
          </w:tcPr>
          <w:p w14:paraId="11DB0725"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Matuschek</w:t>
            </w:r>
          </w:p>
        </w:tc>
        <w:tc>
          <w:tcPr>
            <w:tcW w:w="1150" w:type="dxa"/>
            <w:tcBorders>
              <w:bottom w:val="single" w:sz="8" w:space="0" w:color="000000"/>
              <w:right w:val="single" w:sz="8" w:space="0" w:color="000000"/>
            </w:tcBorders>
            <w:shd w:val="clear" w:color="auto" w:fill="auto"/>
          </w:tcPr>
          <w:p w14:paraId="1AADD66F"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147" w:type="dxa"/>
            <w:tcBorders>
              <w:bottom w:val="single" w:sz="8" w:space="0" w:color="000000"/>
              <w:right w:val="single" w:sz="8" w:space="0" w:color="000000"/>
            </w:tcBorders>
            <w:shd w:val="clear" w:color="auto" w:fill="auto"/>
          </w:tcPr>
          <w:p w14:paraId="1A081873"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13.04.1968</w:t>
            </w:r>
          </w:p>
        </w:tc>
        <w:tc>
          <w:tcPr>
            <w:tcW w:w="747" w:type="dxa"/>
            <w:tcBorders>
              <w:bottom w:val="single" w:sz="8" w:space="0" w:color="000000"/>
              <w:right w:val="single" w:sz="8" w:space="0" w:color="000000"/>
            </w:tcBorders>
            <w:shd w:val="clear" w:color="auto" w:fill="auto"/>
          </w:tcPr>
          <w:p w14:paraId="439EA920"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10439</w:t>
            </w:r>
          </w:p>
        </w:tc>
        <w:tc>
          <w:tcPr>
            <w:tcW w:w="803" w:type="dxa"/>
            <w:tcBorders>
              <w:bottom w:val="single" w:sz="8" w:space="0" w:color="000000"/>
              <w:right w:val="single" w:sz="8" w:space="0" w:color="000000"/>
            </w:tcBorders>
            <w:shd w:val="clear" w:color="auto" w:fill="auto"/>
          </w:tcPr>
          <w:p w14:paraId="38CB170E"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D46.2</w:t>
            </w:r>
          </w:p>
        </w:tc>
        <w:tc>
          <w:tcPr>
            <w:tcW w:w="3041" w:type="dxa"/>
            <w:tcBorders>
              <w:bottom w:val="single" w:sz="8" w:space="0" w:color="000000"/>
              <w:right w:val="single" w:sz="8" w:space="0" w:color="000000"/>
            </w:tcBorders>
            <w:shd w:val="clear" w:color="auto" w:fill="auto"/>
          </w:tcPr>
          <w:p w14:paraId="6240332C"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Refraktäre Anämie mit </w:t>
            </w:r>
            <w:r w:rsidRPr="004832F9">
              <w:rPr>
                <w:rFonts w:eastAsia="Times New Roman" w:cs="Times New Roman"/>
                <w:color w:val="000000"/>
                <w:sz w:val="20"/>
                <w:szCs w:val="20"/>
                <w:lang w:eastAsia="de-DE"/>
              </w:rPr>
              <w:t>Blastenüberschuss</w:t>
            </w:r>
          </w:p>
        </w:tc>
      </w:tr>
      <w:tr w:rsidR="00AE4EA7" w14:paraId="2C9A3696"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707B09FD"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Anke</w:t>
            </w:r>
          </w:p>
        </w:tc>
        <w:tc>
          <w:tcPr>
            <w:tcW w:w="1138" w:type="dxa"/>
            <w:tcBorders>
              <w:bottom w:val="single" w:sz="8" w:space="0" w:color="000000"/>
              <w:right w:val="single" w:sz="8" w:space="0" w:color="000000"/>
            </w:tcBorders>
            <w:shd w:val="clear" w:color="auto" w:fill="auto"/>
          </w:tcPr>
          <w:p w14:paraId="3B3B10D8"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Schmidt</w:t>
            </w:r>
          </w:p>
        </w:tc>
        <w:tc>
          <w:tcPr>
            <w:tcW w:w="1150" w:type="dxa"/>
            <w:tcBorders>
              <w:bottom w:val="single" w:sz="8" w:space="0" w:color="000000"/>
              <w:right w:val="single" w:sz="8" w:space="0" w:color="000000"/>
            </w:tcBorders>
            <w:shd w:val="clear" w:color="auto" w:fill="auto"/>
          </w:tcPr>
          <w:p w14:paraId="6401F187"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147" w:type="dxa"/>
            <w:tcBorders>
              <w:bottom w:val="single" w:sz="8" w:space="0" w:color="000000"/>
              <w:right w:val="single" w:sz="8" w:space="0" w:color="000000"/>
            </w:tcBorders>
            <w:shd w:val="clear" w:color="auto" w:fill="auto"/>
          </w:tcPr>
          <w:p w14:paraId="399BB7B0"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01.04.1978</w:t>
            </w:r>
          </w:p>
        </w:tc>
        <w:tc>
          <w:tcPr>
            <w:tcW w:w="747" w:type="dxa"/>
            <w:tcBorders>
              <w:bottom w:val="single" w:sz="8" w:space="0" w:color="000000"/>
              <w:right w:val="single" w:sz="8" w:space="0" w:color="000000"/>
            </w:tcBorders>
            <w:shd w:val="clear" w:color="auto" w:fill="auto"/>
          </w:tcPr>
          <w:p w14:paraId="25E2A724"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10585</w:t>
            </w:r>
          </w:p>
        </w:tc>
        <w:tc>
          <w:tcPr>
            <w:tcW w:w="803" w:type="dxa"/>
            <w:tcBorders>
              <w:bottom w:val="single" w:sz="8" w:space="0" w:color="000000"/>
              <w:right w:val="single" w:sz="8" w:space="0" w:color="000000"/>
            </w:tcBorders>
            <w:shd w:val="clear" w:color="auto" w:fill="auto"/>
          </w:tcPr>
          <w:p w14:paraId="0332DF8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C50.3</w:t>
            </w:r>
          </w:p>
        </w:tc>
        <w:tc>
          <w:tcPr>
            <w:tcW w:w="3041" w:type="dxa"/>
            <w:tcBorders>
              <w:bottom w:val="single" w:sz="8" w:space="0" w:color="000000"/>
              <w:right w:val="single" w:sz="8" w:space="0" w:color="000000"/>
            </w:tcBorders>
            <w:shd w:val="clear" w:color="auto" w:fill="auto"/>
          </w:tcPr>
          <w:p w14:paraId="51B52005"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Bösartige Neubildung unterer innerer </w:t>
            </w:r>
            <w:r w:rsidRPr="004832F9">
              <w:rPr>
                <w:rFonts w:eastAsia="Times New Roman" w:cs="Times New Roman"/>
                <w:color w:val="000000"/>
                <w:sz w:val="20"/>
                <w:szCs w:val="20"/>
                <w:lang w:eastAsia="de-DE"/>
              </w:rPr>
              <w:t>Quadrant Brustdrüse</w:t>
            </w:r>
          </w:p>
        </w:tc>
      </w:tr>
      <w:tr w:rsidR="00AE4EA7" w14:paraId="1C0258C4"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332CF00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Kunigunde</w:t>
            </w:r>
          </w:p>
        </w:tc>
        <w:tc>
          <w:tcPr>
            <w:tcW w:w="1138" w:type="dxa"/>
            <w:tcBorders>
              <w:bottom w:val="single" w:sz="8" w:space="0" w:color="000000"/>
              <w:right w:val="single" w:sz="8" w:space="0" w:color="000000"/>
            </w:tcBorders>
            <w:shd w:val="clear" w:color="auto" w:fill="auto"/>
          </w:tcPr>
          <w:p w14:paraId="5E005C8F"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Gewaltig</w:t>
            </w:r>
          </w:p>
        </w:tc>
        <w:tc>
          <w:tcPr>
            <w:tcW w:w="1150" w:type="dxa"/>
            <w:tcBorders>
              <w:bottom w:val="single" w:sz="8" w:space="0" w:color="000000"/>
              <w:right w:val="single" w:sz="8" w:space="0" w:color="000000"/>
            </w:tcBorders>
            <w:shd w:val="clear" w:color="auto" w:fill="auto"/>
          </w:tcPr>
          <w:p w14:paraId="4EEBC000"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147" w:type="dxa"/>
            <w:tcBorders>
              <w:bottom w:val="single" w:sz="8" w:space="0" w:color="000000"/>
              <w:right w:val="single" w:sz="8" w:space="0" w:color="000000"/>
            </w:tcBorders>
            <w:shd w:val="clear" w:color="auto" w:fill="auto"/>
          </w:tcPr>
          <w:p w14:paraId="4531A8F9"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21.01.1969</w:t>
            </w:r>
          </w:p>
        </w:tc>
        <w:tc>
          <w:tcPr>
            <w:tcW w:w="747" w:type="dxa"/>
            <w:tcBorders>
              <w:bottom w:val="single" w:sz="8" w:space="0" w:color="000000"/>
              <w:right w:val="single" w:sz="8" w:space="0" w:color="000000"/>
            </w:tcBorders>
            <w:shd w:val="clear" w:color="auto" w:fill="auto"/>
          </w:tcPr>
          <w:p w14:paraId="1D2C44A8"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10707</w:t>
            </w:r>
          </w:p>
        </w:tc>
        <w:tc>
          <w:tcPr>
            <w:tcW w:w="803" w:type="dxa"/>
            <w:tcBorders>
              <w:bottom w:val="single" w:sz="8" w:space="0" w:color="000000"/>
              <w:right w:val="single" w:sz="8" w:space="0" w:color="000000"/>
            </w:tcBorders>
            <w:shd w:val="clear" w:color="auto" w:fill="auto"/>
          </w:tcPr>
          <w:p w14:paraId="46529F99"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C91.10</w:t>
            </w:r>
          </w:p>
        </w:tc>
        <w:tc>
          <w:tcPr>
            <w:tcW w:w="3041" w:type="dxa"/>
            <w:tcBorders>
              <w:bottom w:val="single" w:sz="8" w:space="0" w:color="000000"/>
              <w:right w:val="single" w:sz="8" w:space="0" w:color="000000"/>
            </w:tcBorders>
            <w:shd w:val="clear" w:color="auto" w:fill="auto"/>
          </w:tcPr>
          <w:p w14:paraId="6AC17DC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Chronische lymphatische Leukämie: </w:t>
            </w:r>
            <w:r w:rsidRPr="004832F9">
              <w:rPr>
                <w:rFonts w:eastAsia="Times New Roman" w:cs="Times New Roman"/>
                <w:color w:val="000000"/>
                <w:sz w:val="20"/>
                <w:szCs w:val="20"/>
                <w:lang w:eastAsia="de-DE"/>
              </w:rPr>
              <w:t>Ohne</w:t>
            </w:r>
            <w:r>
              <w:rPr>
                <w:rFonts w:eastAsia="Times New Roman" w:cs="Times New Roman"/>
                <w:color w:val="000000"/>
                <w:sz w:val="20"/>
                <w:szCs w:val="20"/>
                <w:lang w:eastAsia="de-DE"/>
              </w:rPr>
              <w:t xml:space="preserve"> Angabe einer kompletten Remission</w:t>
            </w:r>
          </w:p>
        </w:tc>
      </w:tr>
      <w:tr w:rsidR="00AE4EA7" w14:paraId="5C590F10"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21141027"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Franz</w:t>
            </w:r>
          </w:p>
        </w:tc>
        <w:tc>
          <w:tcPr>
            <w:tcW w:w="1138" w:type="dxa"/>
            <w:tcBorders>
              <w:bottom w:val="single" w:sz="8" w:space="0" w:color="000000"/>
              <w:right w:val="single" w:sz="8" w:space="0" w:color="000000"/>
            </w:tcBorders>
            <w:shd w:val="clear" w:color="auto" w:fill="auto"/>
          </w:tcPr>
          <w:p w14:paraId="19BC5D7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Herrlich</w:t>
            </w:r>
          </w:p>
        </w:tc>
        <w:tc>
          <w:tcPr>
            <w:tcW w:w="1150" w:type="dxa"/>
            <w:tcBorders>
              <w:bottom w:val="single" w:sz="8" w:space="0" w:color="000000"/>
              <w:right w:val="single" w:sz="8" w:space="0" w:color="000000"/>
            </w:tcBorders>
            <w:shd w:val="clear" w:color="auto" w:fill="auto"/>
          </w:tcPr>
          <w:p w14:paraId="6A59978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147" w:type="dxa"/>
            <w:tcBorders>
              <w:bottom w:val="single" w:sz="8" w:space="0" w:color="000000"/>
              <w:right w:val="single" w:sz="8" w:space="0" w:color="000000"/>
            </w:tcBorders>
            <w:shd w:val="clear" w:color="auto" w:fill="auto"/>
          </w:tcPr>
          <w:p w14:paraId="0A163FCE"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17.11.1967</w:t>
            </w:r>
          </w:p>
        </w:tc>
        <w:tc>
          <w:tcPr>
            <w:tcW w:w="747" w:type="dxa"/>
            <w:tcBorders>
              <w:bottom w:val="single" w:sz="8" w:space="0" w:color="000000"/>
              <w:right w:val="single" w:sz="8" w:space="0" w:color="000000"/>
            </w:tcBorders>
            <w:shd w:val="clear" w:color="auto" w:fill="auto"/>
          </w:tcPr>
          <w:p w14:paraId="129A72B1"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10717</w:t>
            </w:r>
          </w:p>
        </w:tc>
        <w:tc>
          <w:tcPr>
            <w:tcW w:w="803" w:type="dxa"/>
            <w:tcBorders>
              <w:bottom w:val="single" w:sz="8" w:space="0" w:color="000000"/>
              <w:right w:val="single" w:sz="8" w:space="0" w:color="000000"/>
            </w:tcBorders>
            <w:shd w:val="clear" w:color="auto" w:fill="auto"/>
          </w:tcPr>
          <w:p w14:paraId="4A2EB443"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D12.8</w:t>
            </w:r>
          </w:p>
        </w:tc>
        <w:tc>
          <w:tcPr>
            <w:tcW w:w="3041" w:type="dxa"/>
            <w:tcBorders>
              <w:bottom w:val="single" w:sz="8" w:space="0" w:color="000000"/>
              <w:right w:val="single" w:sz="8" w:space="0" w:color="000000"/>
            </w:tcBorders>
            <w:shd w:val="clear" w:color="auto" w:fill="auto"/>
          </w:tcPr>
          <w:p w14:paraId="7CC63E8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Gutartige Neubildung: Rektum</w:t>
            </w:r>
          </w:p>
        </w:tc>
      </w:tr>
      <w:tr w:rsidR="00AE4EA7" w14:paraId="099286BC"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5FA3D32B"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Berthold</w:t>
            </w:r>
          </w:p>
        </w:tc>
        <w:tc>
          <w:tcPr>
            <w:tcW w:w="1138" w:type="dxa"/>
            <w:tcBorders>
              <w:bottom w:val="single" w:sz="8" w:space="0" w:color="000000"/>
              <w:right w:val="single" w:sz="8" w:space="0" w:color="000000"/>
            </w:tcBorders>
            <w:shd w:val="clear" w:color="auto" w:fill="auto"/>
          </w:tcPr>
          <w:p w14:paraId="2AE90A37"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Koch</w:t>
            </w:r>
          </w:p>
        </w:tc>
        <w:tc>
          <w:tcPr>
            <w:tcW w:w="1150" w:type="dxa"/>
            <w:tcBorders>
              <w:bottom w:val="single" w:sz="8" w:space="0" w:color="000000"/>
              <w:right w:val="single" w:sz="8" w:space="0" w:color="000000"/>
            </w:tcBorders>
            <w:shd w:val="clear" w:color="auto" w:fill="auto"/>
          </w:tcPr>
          <w:p w14:paraId="4939A18B"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147" w:type="dxa"/>
            <w:tcBorders>
              <w:bottom w:val="single" w:sz="8" w:space="0" w:color="000000"/>
              <w:right w:val="single" w:sz="8" w:space="0" w:color="000000"/>
            </w:tcBorders>
            <w:shd w:val="clear" w:color="auto" w:fill="auto"/>
          </w:tcPr>
          <w:p w14:paraId="42F728DD"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28.08.1991</w:t>
            </w:r>
          </w:p>
        </w:tc>
        <w:tc>
          <w:tcPr>
            <w:tcW w:w="747" w:type="dxa"/>
            <w:tcBorders>
              <w:bottom w:val="single" w:sz="8" w:space="0" w:color="000000"/>
              <w:right w:val="single" w:sz="8" w:space="0" w:color="000000"/>
            </w:tcBorders>
            <w:shd w:val="clear" w:color="auto" w:fill="auto"/>
          </w:tcPr>
          <w:p w14:paraId="1EE7782F"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10717</w:t>
            </w:r>
          </w:p>
        </w:tc>
        <w:tc>
          <w:tcPr>
            <w:tcW w:w="803" w:type="dxa"/>
            <w:tcBorders>
              <w:bottom w:val="single" w:sz="8" w:space="0" w:color="000000"/>
              <w:right w:val="single" w:sz="8" w:space="0" w:color="000000"/>
            </w:tcBorders>
            <w:shd w:val="clear" w:color="auto" w:fill="auto"/>
          </w:tcPr>
          <w:p w14:paraId="30FA6B02"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D12.6</w:t>
            </w:r>
          </w:p>
        </w:tc>
        <w:tc>
          <w:tcPr>
            <w:tcW w:w="3041" w:type="dxa"/>
            <w:tcBorders>
              <w:bottom w:val="single" w:sz="8" w:space="0" w:color="000000"/>
              <w:right w:val="single" w:sz="8" w:space="0" w:color="000000"/>
            </w:tcBorders>
            <w:shd w:val="clear" w:color="auto" w:fill="auto"/>
          </w:tcPr>
          <w:p w14:paraId="11E7ED97"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Gutartige Neubildung: Kolon, nicht näher </w:t>
            </w:r>
            <w:r w:rsidRPr="004832F9">
              <w:rPr>
                <w:rFonts w:eastAsia="Times New Roman" w:cs="Times New Roman"/>
                <w:color w:val="000000"/>
                <w:sz w:val="20"/>
                <w:szCs w:val="20"/>
                <w:lang w:eastAsia="de-DE"/>
              </w:rPr>
              <w:t>bezeichnet</w:t>
            </w:r>
          </w:p>
        </w:tc>
      </w:tr>
      <w:tr w:rsidR="00AE4EA7" w14:paraId="7E38F63C"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55479BB5" w14:textId="5C9ECAD1" w:rsidR="00AE4EA7" w:rsidRDefault="00B979F5">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Frieda</w:t>
            </w:r>
          </w:p>
        </w:tc>
        <w:tc>
          <w:tcPr>
            <w:tcW w:w="1138" w:type="dxa"/>
            <w:tcBorders>
              <w:bottom w:val="single" w:sz="8" w:space="0" w:color="000000"/>
              <w:right w:val="single" w:sz="8" w:space="0" w:color="000000"/>
            </w:tcBorders>
            <w:shd w:val="clear" w:color="auto" w:fill="auto"/>
          </w:tcPr>
          <w:p w14:paraId="372D5E8C"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Fischer</w:t>
            </w:r>
          </w:p>
        </w:tc>
        <w:tc>
          <w:tcPr>
            <w:tcW w:w="1150" w:type="dxa"/>
            <w:tcBorders>
              <w:bottom w:val="single" w:sz="8" w:space="0" w:color="000000"/>
              <w:right w:val="single" w:sz="8" w:space="0" w:color="000000"/>
            </w:tcBorders>
            <w:shd w:val="clear" w:color="auto" w:fill="auto"/>
          </w:tcPr>
          <w:p w14:paraId="6290FAFF"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147" w:type="dxa"/>
            <w:tcBorders>
              <w:bottom w:val="single" w:sz="8" w:space="0" w:color="000000"/>
              <w:right w:val="single" w:sz="8" w:space="0" w:color="000000"/>
            </w:tcBorders>
            <w:shd w:val="clear" w:color="auto" w:fill="auto"/>
          </w:tcPr>
          <w:p w14:paraId="6EF9F62E"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15.11.1987</w:t>
            </w:r>
          </w:p>
        </w:tc>
        <w:tc>
          <w:tcPr>
            <w:tcW w:w="747" w:type="dxa"/>
            <w:tcBorders>
              <w:bottom w:val="single" w:sz="8" w:space="0" w:color="000000"/>
              <w:right w:val="single" w:sz="8" w:space="0" w:color="000000"/>
            </w:tcBorders>
            <w:shd w:val="clear" w:color="auto" w:fill="auto"/>
          </w:tcPr>
          <w:p w14:paraId="066631FC"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10787</w:t>
            </w:r>
          </w:p>
        </w:tc>
        <w:tc>
          <w:tcPr>
            <w:tcW w:w="803" w:type="dxa"/>
            <w:tcBorders>
              <w:bottom w:val="single" w:sz="8" w:space="0" w:color="000000"/>
              <w:right w:val="single" w:sz="8" w:space="0" w:color="000000"/>
            </w:tcBorders>
            <w:shd w:val="clear" w:color="auto" w:fill="auto"/>
          </w:tcPr>
          <w:p w14:paraId="199839FC"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C50.8</w:t>
            </w:r>
          </w:p>
        </w:tc>
        <w:tc>
          <w:tcPr>
            <w:tcW w:w="3041" w:type="dxa"/>
            <w:tcBorders>
              <w:bottom w:val="single" w:sz="8" w:space="0" w:color="000000"/>
              <w:right w:val="single" w:sz="8" w:space="0" w:color="000000"/>
            </w:tcBorders>
            <w:shd w:val="clear" w:color="auto" w:fill="auto"/>
          </w:tcPr>
          <w:p w14:paraId="7FF53D2D"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Bösartige Neubildung: Brustdrüse, mehrere Teilbereiche </w:t>
            </w:r>
            <w:r w:rsidRPr="004832F9">
              <w:rPr>
                <w:rFonts w:eastAsia="Times New Roman" w:cs="Times New Roman"/>
                <w:color w:val="000000"/>
                <w:sz w:val="20"/>
                <w:szCs w:val="20"/>
                <w:lang w:eastAsia="de-DE"/>
              </w:rPr>
              <w:t>überlappend</w:t>
            </w:r>
          </w:p>
        </w:tc>
      </w:tr>
      <w:tr w:rsidR="00AE4EA7" w14:paraId="537CB9B3"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6A4B449F"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Gerfriede</w:t>
            </w:r>
          </w:p>
        </w:tc>
        <w:tc>
          <w:tcPr>
            <w:tcW w:w="1138" w:type="dxa"/>
            <w:tcBorders>
              <w:bottom w:val="single" w:sz="8" w:space="0" w:color="000000"/>
              <w:right w:val="single" w:sz="8" w:space="0" w:color="000000"/>
            </w:tcBorders>
            <w:shd w:val="clear" w:color="auto" w:fill="auto"/>
          </w:tcPr>
          <w:p w14:paraId="64946618"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Jensen</w:t>
            </w:r>
          </w:p>
        </w:tc>
        <w:tc>
          <w:tcPr>
            <w:tcW w:w="1150" w:type="dxa"/>
            <w:tcBorders>
              <w:bottom w:val="single" w:sz="8" w:space="0" w:color="000000"/>
              <w:right w:val="single" w:sz="8" w:space="0" w:color="000000"/>
            </w:tcBorders>
            <w:shd w:val="clear" w:color="auto" w:fill="auto"/>
          </w:tcPr>
          <w:p w14:paraId="2C1D9ADC"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147" w:type="dxa"/>
            <w:tcBorders>
              <w:bottom w:val="single" w:sz="8" w:space="0" w:color="000000"/>
              <w:right w:val="single" w:sz="8" w:space="0" w:color="000000"/>
            </w:tcBorders>
            <w:shd w:val="clear" w:color="auto" w:fill="auto"/>
          </w:tcPr>
          <w:p w14:paraId="06CAB23B"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23.07.1983</w:t>
            </w:r>
          </w:p>
        </w:tc>
        <w:tc>
          <w:tcPr>
            <w:tcW w:w="747" w:type="dxa"/>
            <w:tcBorders>
              <w:bottom w:val="single" w:sz="8" w:space="0" w:color="000000"/>
              <w:right w:val="single" w:sz="8" w:space="0" w:color="000000"/>
            </w:tcBorders>
            <w:shd w:val="clear" w:color="auto" w:fill="auto"/>
          </w:tcPr>
          <w:p w14:paraId="29243FC7"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10827</w:t>
            </w:r>
          </w:p>
        </w:tc>
        <w:tc>
          <w:tcPr>
            <w:tcW w:w="803" w:type="dxa"/>
            <w:tcBorders>
              <w:bottom w:val="single" w:sz="8" w:space="0" w:color="000000"/>
              <w:right w:val="single" w:sz="8" w:space="0" w:color="000000"/>
            </w:tcBorders>
            <w:shd w:val="clear" w:color="auto" w:fill="auto"/>
          </w:tcPr>
          <w:p w14:paraId="6EAF6D90"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C50.1</w:t>
            </w:r>
          </w:p>
        </w:tc>
        <w:tc>
          <w:tcPr>
            <w:tcW w:w="3041" w:type="dxa"/>
            <w:tcBorders>
              <w:bottom w:val="single" w:sz="8" w:space="0" w:color="000000"/>
              <w:right w:val="single" w:sz="8" w:space="0" w:color="000000"/>
            </w:tcBorders>
            <w:shd w:val="clear" w:color="auto" w:fill="auto"/>
          </w:tcPr>
          <w:p w14:paraId="5B0B16F6"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Bösartige Neubildung: </w:t>
            </w:r>
            <w:r w:rsidRPr="004832F9">
              <w:rPr>
                <w:rFonts w:eastAsia="Times New Roman" w:cs="Times New Roman"/>
                <w:color w:val="000000"/>
                <w:sz w:val="20"/>
                <w:szCs w:val="20"/>
                <w:lang w:eastAsia="de-DE"/>
              </w:rPr>
              <w:t>Zentraler</w:t>
            </w:r>
            <w:r>
              <w:rPr>
                <w:rFonts w:eastAsia="Times New Roman" w:cs="Times New Roman"/>
                <w:color w:val="000000"/>
                <w:sz w:val="20"/>
                <w:szCs w:val="20"/>
                <w:lang w:eastAsia="de-DE"/>
              </w:rPr>
              <w:t xml:space="preserve"> Drüsenkörper der Brustdrüse</w:t>
            </w:r>
          </w:p>
        </w:tc>
      </w:tr>
      <w:tr w:rsidR="00AE4EA7" w14:paraId="4F678DF7" w14:textId="77777777">
        <w:trPr>
          <w:trHeight w:val="315"/>
        </w:trPr>
        <w:tc>
          <w:tcPr>
            <w:tcW w:w="1129" w:type="dxa"/>
            <w:tcBorders>
              <w:left w:val="single" w:sz="8" w:space="0" w:color="000000"/>
              <w:bottom w:val="single" w:sz="8" w:space="0" w:color="000000"/>
              <w:right w:val="single" w:sz="8" w:space="0" w:color="000000"/>
            </w:tcBorders>
            <w:shd w:val="clear" w:color="auto" w:fill="auto"/>
          </w:tcPr>
          <w:p w14:paraId="72ECFC2A"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Käthe</w:t>
            </w:r>
          </w:p>
        </w:tc>
        <w:tc>
          <w:tcPr>
            <w:tcW w:w="1138" w:type="dxa"/>
            <w:tcBorders>
              <w:bottom w:val="single" w:sz="8" w:space="0" w:color="000000"/>
              <w:right w:val="single" w:sz="8" w:space="0" w:color="000000"/>
            </w:tcBorders>
            <w:shd w:val="clear" w:color="auto" w:fill="auto"/>
          </w:tcPr>
          <w:p w14:paraId="0892C5EE"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Albers</w:t>
            </w:r>
          </w:p>
        </w:tc>
        <w:tc>
          <w:tcPr>
            <w:tcW w:w="1150" w:type="dxa"/>
            <w:tcBorders>
              <w:bottom w:val="single" w:sz="8" w:space="0" w:color="000000"/>
              <w:right w:val="single" w:sz="8" w:space="0" w:color="000000"/>
            </w:tcBorders>
            <w:shd w:val="clear" w:color="auto" w:fill="auto"/>
          </w:tcPr>
          <w:p w14:paraId="01BFF9E1"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147" w:type="dxa"/>
            <w:tcBorders>
              <w:bottom w:val="single" w:sz="8" w:space="0" w:color="000000"/>
              <w:right w:val="single" w:sz="8" w:space="0" w:color="000000"/>
            </w:tcBorders>
            <w:shd w:val="clear" w:color="auto" w:fill="auto"/>
          </w:tcPr>
          <w:p w14:paraId="3CE1EBFA" w14:textId="77777777" w:rsidR="00AE4EA7" w:rsidRDefault="00000000"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27.05.1975</w:t>
            </w:r>
          </w:p>
        </w:tc>
        <w:tc>
          <w:tcPr>
            <w:tcW w:w="747" w:type="dxa"/>
            <w:tcBorders>
              <w:bottom w:val="single" w:sz="8" w:space="0" w:color="000000"/>
              <w:right w:val="single" w:sz="8" w:space="0" w:color="000000"/>
            </w:tcBorders>
            <w:shd w:val="clear" w:color="auto" w:fill="auto"/>
          </w:tcPr>
          <w:p w14:paraId="4226BB5A"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10963</w:t>
            </w:r>
          </w:p>
        </w:tc>
        <w:tc>
          <w:tcPr>
            <w:tcW w:w="803" w:type="dxa"/>
            <w:tcBorders>
              <w:bottom w:val="single" w:sz="8" w:space="0" w:color="000000"/>
              <w:right w:val="single" w:sz="8" w:space="0" w:color="000000"/>
            </w:tcBorders>
            <w:shd w:val="clear" w:color="auto" w:fill="auto"/>
          </w:tcPr>
          <w:p w14:paraId="62EE3AE5"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sidRPr="004832F9">
              <w:rPr>
                <w:rFonts w:eastAsia="Times New Roman" w:cs="Times New Roman"/>
                <w:color w:val="000000"/>
                <w:sz w:val="20"/>
                <w:szCs w:val="20"/>
                <w:lang w:eastAsia="de-DE"/>
              </w:rPr>
              <w:t>C83.0</w:t>
            </w:r>
          </w:p>
        </w:tc>
        <w:tc>
          <w:tcPr>
            <w:tcW w:w="3041" w:type="dxa"/>
            <w:tcBorders>
              <w:bottom w:val="single" w:sz="8" w:space="0" w:color="000000"/>
              <w:right w:val="single" w:sz="8" w:space="0" w:color="000000"/>
            </w:tcBorders>
            <w:shd w:val="clear" w:color="auto" w:fill="auto"/>
          </w:tcPr>
          <w:p w14:paraId="68563CCE" w14:textId="77777777" w:rsidR="00AE4EA7" w:rsidRDefault="00000000">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 xml:space="preserve">Non-Hodgkin-Lymphom: </w:t>
            </w:r>
            <w:r w:rsidRPr="004832F9">
              <w:rPr>
                <w:rFonts w:eastAsia="Times New Roman" w:cs="Times New Roman"/>
                <w:color w:val="000000"/>
                <w:sz w:val="20"/>
                <w:szCs w:val="20"/>
                <w:lang w:eastAsia="de-DE"/>
              </w:rPr>
              <w:t>Kleinzellig</w:t>
            </w:r>
            <w:r>
              <w:rPr>
                <w:rFonts w:eastAsia="Times New Roman" w:cs="Times New Roman"/>
                <w:color w:val="000000"/>
                <w:sz w:val="20"/>
                <w:szCs w:val="20"/>
                <w:lang w:eastAsia="de-DE"/>
              </w:rPr>
              <w:t xml:space="preserve"> (diffus)</w:t>
            </w:r>
          </w:p>
        </w:tc>
      </w:tr>
    </w:tbl>
    <w:p w14:paraId="52BE227B" w14:textId="541F669B" w:rsidR="00AE4EA7" w:rsidRDefault="00000000">
      <w:pPr>
        <w:pStyle w:val="Beschriftung"/>
      </w:pPr>
      <w:bookmarkStart w:id="65" w:name="_Ref512152891"/>
      <w:bookmarkStart w:id="66" w:name="_Toc150540725"/>
      <w:bookmarkStart w:id="67" w:name="_Toc154606718"/>
      <w:r>
        <w:t xml:space="preserve">Tabelle </w:t>
      </w:r>
      <w:r>
        <w:fldChar w:fldCharType="begin"/>
      </w:r>
      <w:r>
        <w:instrText xml:space="preserve"> SEQ Tabelle \* ARABIC </w:instrText>
      </w:r>
      <w:r>
        <w:fldChar w:fldCharType="separate"/>
      </w:r>
      <w:r w:rsidR="00C9149F">
        <w:rPr>
          <w:noProof/>
        </w:rPr>
        <w:t>1</w:t>
      </w:r>
      <w:r>
        <w:rPr>
          <w:noProof/>
        </w:rPr>
        <w:fldChar w:fldCharType="end"/>
      </w:r>
      <w:bookmarkEnd w:id="65"/>
      <w:r>
        <w:t>: Beispieldaten mit onkologischen Erkrankungen</w:t>
      </w:r>
      <w:bookmarkEnd w:id="66"/>
      <w:bookmarkEnd w:id="67"/>
    </w:p>
    <w:p w14:paraId="633DBC25" w14:textId="77777777" w:rsidR="00AE4EA7" w:rsidRDefault="00AE4EA7"/>
    <w:p w14:paraId="5267D41F"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74418CB0" w14:textId="77777777" w:rsidR="00AE4EA7" w:rsidRDefault="00000000">
      <w:pPr>
        <w:pStyle w:val="berschrift1"/>
      </w:pPr>
      <w:bookmarkStart w:id="68" w:name="_Toc154652584"/>
      <w:r>
        <w:t>Begriffsbestimmungen</w:t>
      </w:r>
      <w:bookmarkEnd w:id="68"/>
    </w:p>
    <w:p w14:paraId="1A2FD2A6" w14:textId="7A14E7DC" w:rsidR="004E74C6" w:rsidRDefault="002846F8" w:rsidP="002846F8">
      <w:r>
        <w:t xml:space="preserve">Die nachfolgend dargestellten Begriffe sind in europäischen Gesetzesakten </w:t>
      </w:r>
      <w:r w:rsidRPr="00AF2176">
        <w:t>legaldefinier</w:t>
      </w:r>
      <w:r w:rsidR="00AF2176" w:rsidRPr="00AF2176">
        <w:t>t</w:t>
      </w:r>
      <w:r>
        <w:t xml:space="preserve">, d. h. die Auslegung dieser Begriffe erfolgt autonom nach dem europäischen Recht </w:t>
      </w:r>
      <w:r w:rsidRPr="002846F8">
        <w:t xml:space="preserve">unter Berücksichtigung </w:t>
      </w:r>
      <w:r>
        <w:t>der</w:t>
      </w:r>
      <w:r w:rsidRPr="002846F8">
        <w:t xml:space="preserve"> Systematik und </w:t>
      </w:r>
      <w:r>
        <w:t xml:space="preserve">der </w:t>
      </w:r>
      <w:r w:rsidRPr="002846F8">
        <w:t>Zielsetzung</w:t>
      </w:r>
      <w:r>
        <w:t xml:space="preserve"> der Rechtsakte</w:t>
      </w:r>
      <w:r>
        <w:rPr>
          <w:rStyle w:val="Funotenzeichen"/>
        </w:rPr>
        <w:footnoteReference w:id="3"/>
      </w:r>
      <w:r w:rsidR="005E57FD">
        <w:t>.</w:t>
      </w:r>
      <w:r w:rsidR="004E74C6">
        <w:t xml:space="preserve"> </w:t>
      </w:r>
      <w:r w:rsidR="005E57FD">
        <w:t>D</w:t>
      </w:r>
      <w:r w:rsidR="004E74C6">
        <w:t xml:space="preserve">ie Interpretation europäischer Rechtsvorgaben aus rein deutscher Sichtweise führte </w:t>
      </w:r>
      <w:r w:rsidR="004D05D2">
        <w:t xml:space="preserve">in der Vergangenheit </w:t>
      </w:r>
      <w:r w:rsidR="004E74C6">
        <w:t>oft zu Überraschungen bei diesen Rechtsanwendern, wenn der EuGH über Rechtsfragen dann aus europ</w:t>
      </w:r>
      <w:r w:rsidR="005E57FD">
        <w:t>arechtlicher</w:t>
      </w:r>
      <w:r w:rsidR="004E74C6">
        <w:t xml:space="preserve"> Sicht entschied. Es ist daher dringend zu </w:t>
      </w:r>
      <w:r w:rsidR="004D05D2">
        <w:t>empfehlen</w:t>
      </w:r>
      <w:r w:rsidR="004E74C6">
        <w:t>, die Vorgabe europäische Rechtsakte aus europäischer Sicht zu interpretieren</w:t>
      </w:r>
      <w:r w:rsidR="004E74C6" w:rsidRPr="004832F9">
        <w:t xml:space="preserve"> </w:t>
      </w:r>
      <w:r w:rsidR="004D05D2" w:rsidRPr="004832F9">
        <w:t>und</w:t>
      </w:r>
      <w:r w:rsidR="004D05D2">
        <w:t xml:space="preserve"> diese </w:t>
      </w:r>
      <w:r w:rsidR="004E74C6">
        <w:t xml:space="preserve">nicht </w:t>
      </w:r>
      <w:r w:rsidR="004D05D2">
        <w:t>ausschließlich aus deutscher Sicht zu bewerten</w:t>
      </w:r>
      <w:r w:rsidR="004E74C6">
        <w:t>.</w:t>
      </w:r>
    </w:p>
    <w:p w14:paraId="5E3EBE42" w14:textId="477786A4" w:rsidR="002846F8" w:rsidRDefault="004E74C6" w:rsidP="002846F8">
      <w:r>
        <w:t xml:space="preserve">Auch </w:t>
      </w:r>
      <w:r w:rsidR="002846F8">
        <w:t xml:space="preserve">die Auslegung </w:t>
      </w:r>
      <w:r w:rsidR="004F4854">
        <w:t xml:space="preserve">europäischer Gesetzestexte </w:t>
      </w:r>
      <w:r>
        <w:t>erfolg</w:t>
      </w:r>
      <w:r w:rsidR="004F4854">
        <w:t>t</w:t>
      </w:r>
      <w:r>
        <w:t xml:space="preserve"> </w:t>
      </w:r>
      <w:r w:rsidR="002846F8">
        <w:t xml:space="preserve">entsprechend der </w:t>
      </w:r>
      <w:r w:rsidR="002846F8" w:rsidRPr="002846F8">
        <w:t>juristischen Methodenlehre</w:t>
      </w:r>
      <w:r w:rsidR="002846F8">
        <w:t>, wobei</w:t>
      </w:r>
      <w:r>
        <w:t xml:space="preserve"> natürlich </w:t>
      </w:r>
      <w:r w:rsidR="002846F8" w:rsidRPr="00AF2176">
        <w:t xml:space="preserve">die </w:t>
      </w:r>
      <w:r w:rsidR="004D05D2">
        <w:t>Auslegung der</w:t>
      </w:r>
      <w:r w:rsidR="004D05D2" w:rsidRPr="00AF2176">
        <w:t xml:space="preserve"> </w:t>
      </w:r>
      <w:r w:rsidR="002846F8" w:rsidRPr="00AF2176">
        <w:t>europäische</w:t>
      </w:r>
      <w:r w:rsidR="004D05D2">
        <w:t>n</w:t>
      </w:r>
      <w:r w:rsidR="002846F8" w:rsidRPr="00AF2176">
        <w:t xml:space="preserve"> und nicht de</w:t>
      </w:r>
      <w:r w:rsidR="004D05D2">
        <w:t>r</w:t>
      </w:r>
      <w:r w:rsidR="002846F8" w:rsidRPr="00AF2176">
        <w:t xml:space="preserve"> deutsche</w:t>
      </w:r>
      <w:r w:rsidR="004D05D2">
        <w:t>n</w:t>
      </w:r>
      <w:r w:rsidR="002846F8" w:rsidRPr="00AF2176">
        <w:t xml:space="preserve"> Sichtweise </w:t>
      </w:r>
      <w:r>
        <w:t xml:space="preserve">die Auslegung </w:t>
      </w:r>
      <w:r w:rsidR="004D05D2">
        <w:t>bestimmen</w:t>
      </w:r>
      <w:r w:rsidR="002846F8" w:rsidRPr="00AF2176">
        <w:t xml:space="preserve"> muss</w:t>
      </w:r>
      <w:r w:rsidR="002846F8">
        <w:t>. Der EuGH</w:t>
      </w:r>
      <w:r w:rsidR="002846F8">
        <w:rPr>
          <w:rStyle w:val="Funotenzeichen"/>
        </w:rPr>
        <w:footnoteReference w:id="4"/>
      </w:r>
      <w:r w:rsidR="002846F8">
        <w:t xml:space="preserve"> führt hierzu aus: „</w:t>
      </w:r>
      <w:r w:rsidR="002846F8" w:rsidRPr="002846F8">
        <w:t>Bei der Prüfung dieser Bestimmungen sind nicht nur ihr Wortlaut, sondern auch ihr Zusammenhang und die Ziele zu berücksichtigen, die mit der Regelung, zu der sie gehören, verfolgt werden</w:t>
      </w:r>
      <w:r w:rsidR="002846F8">
        <w:t xml:space="preserve">“. Wie der EuGH darstellt, sind somit insbesondere die Ziele des jeweiligen Rechtsaktes zu berücksichtigen. Im Falle der DS-GVO werden die Ziele in Art. 1 DS-GVO </w:t>
      </w:r>
      <w:r w:rsidR="004D05D2">
        <w:t>festgelegt</w:t>
      </w:r>
      <w:r w:rsidR="002846F8">
        <w:t xml:space="preserve">, welche entsprechend Art. 1 Abs. 2 DS-GVO insbesondere auch den Schutz </w:t>
      </w:r>
      <w:r w:rsidR="002846F8" w:rsidRPr="002846F8">
        <w:t>d</w:t>
      </w:r>
      <w:r w:rsidR="002846F8">
        <w:t>er</w:t>
      </w:r>
      <w:r w:rsidR="002846F8" w:rsidRPr="002846F8">
        <w:t xml:space="preserve"> Grundrechte und Grundfreiheiten der betroffenen Person</w:t>
      </w:r>
      <w:r w:rsidR="002846F8">
        <w:t xml:space="preserve">en </w:t>
      </w:r>
      <w:r w:rsidR="004F4854">
        <w:t>betreffen</w:t>
      </w:r>
      <w:r w:rsidR="002846F8">
        <w:t xml:space="preserve">; aus europäischer Sicht sind diese </w:t>
      </w:r>
      <w:r w:rsidR="002846F8" w:rsidRPr="002846F8">
        <w:t xml:space="preserve">Grundrechte und Grundfreiheiten </w:t>
      </w:r>
      <w:r w:rsidR="002846F8">
        <w:t xml:space="preserve">in der </w:t>
      </w:r>
      <w:r w:rsidR="002846F8" w:rsidRPr="002846F8">
        <w:t>Charta der Europäischen Union</w:t>
      </w:r>
      <w:r w:rsidR="002846F8">
        <w:rPr>
          <w:rStyle w:val="Funotenzeichen"/>
        </w:rPr>
        <w:footnoteReference w:id="5"/>
      </w:r>
      <w:r w:rsidR="002846F8" w:rsidRPr="002846F8">
        <w:t xml:space="preserve"> </w:t>
      </w:r>
      <w:r w:rsidR="002846F8">
        <w:t>zu finden.</w:t>
      </w:r>
      <w:r w:rsidR="005E57FD">
        <w:t xml:space="preserve"> In diesem Zusammenhang sei darauf hingewiesen, dass Datenschutz in Art. 8 in der Charta der Grundrechte </w:t>
      </w:r>
      <w:r w:rsidR="00D97F03">
        <w:t xml:space="preserve">im Gegensatz zum deutschen Grundgesetz </w:t>
      </w:r>
      <w:r w:rsidR="005E57FD">
        <w:t xml:space="preserve">eigenständig geregelt ist und </w:t>
      </w:r>
      <w:r w:rsidR="00D97F03">
        <w:t>somit kein abgeleitetes Recht darstellt</w:t>
      </w:r>
      <w:r w:rsidR="005E57FD">
        <w:t>.</w:t>
      </w:r>
    </w:p>
    <w:p w14:paraId="1592E53B" w14:textId="6607A8A7" w:rsidR="00D01FC3" w:rsidRPr="00D01FC3" w:rsidRDefault="002846F8" w:rsidP="002846F8">
      <w:r>
        <w:t xml:space="preserve">Allerdings wird die Möglichkeit der Auslegung durch den Wortlaut des Gesetzestextes beschränkt; keine Auslegung kann die Bedeutung des Wortlauts einer Regelung ändern, wenn der Wortlaut eindeutig ist. Die Erwägungsgründe eines europäischen Rechtsaktes sind hinsichtlich der Interpretation bei einem nicht eindeutig interpretierbaren Wortlaut </w:t>
      </w:r>
      <w:r w:rsidRPr="002846F8">
        <w:t>vorrangig</w:t>
      </w:r>
      <w:r>
        <w:t xml:space="preserve"> zu berücksichtigen, sind sie doch </w:t>
      </w:r>
      <w:r w:rsidRPr="002846F8">
        <w:t xml:space="preserve">Bestandteil </w:t>
      </w:r>
      <w:r>
        <w:t xml:space="preserve">der jeweiligen </w:t>
      </w:r>
      <w:r w:rsidRPr="002846F8">
        <w:t>europäischer Rechtsakte</w:t>
      </w:r>
      <w:r>
        <w:rPr>
          <w:rStyle w:val="Funotenzeichen"/>
        </w:rPr>
        <w:footnoteReference w:id="6"/>
      </w:r>
      <w:r>
        <w:t>. Der EuGH weist darauf hin, dass „</w:t>
      </w:r>
      <w:r w:rsidRPr="002846F8">
        <w:t>Begründungserwägungen eines Gemeinschaftsrechtsakts rechtlich nicht verbindlich sind und weder herangezogen werden können, um von den Bestimmungen des betreffenden Rechtsakt</w:t>
      </w:r>
      <w:r w:rsidR="00C10BB0">
        <w:t>e</w:t>
      </w:r>
      <w:r w:rsidRPr="002846F8">
        <w:t>s abzuweichen, noch, um diese Bestimmungen in einem Sinne auszulegen, der ihrem Wortlaut offensichtlich widerspricht</w:t>
      </w:r>
      <w:r>
        <w:t>“</w:t>
      </w:r>
      <w:r>
        <w:rPr>
          <w:rStyle w:val="Funotenzeichen"/>
        </w:rPr>
        <w:footnoteReference w:id="7"/>
      </w:r>
      <w:r>
        <w:t>.</w:t>
      </w:r>
    </w:p>
    <w:p w14:paraId="11BF3D91" w14:textId="77777777" w:rsidR="00AE4EA7" w:rsidRDefault="00000000">
      <w:pPr>
        <w:pStyle w:val="berschrift2"/>
      </w:pPr>
      <w:bookmarkStart w:id="69" w:name="_Toc154652585"/>
      <w:r>
        <w:t>Personenbezogene Daten</w:t>
      </w:r>
      <w:bookmarkEnd w:id="69"/>
    </w:p>
    <w:p w14:paraId="70A9A071" w14:textId="75785082" w:rsidR="00AE4EA7" w:rsidRDefault="00000000" w:rsidP="00101F9A">
      <w:r>
        <w:t xml:space="preserve">Entsprechend Art. 4 </w:t>
      </w:r>
      <w:r w:rsidRPr="004832F9">
        <w:t>Ziff</w:t>
      </w:r>
      <w:r>
        <w:t xml:space="preserve">. 1 DS-GVO sind personenbezogene Daten „alle Informationen, die sich auf eine identifizierte oder identifizierbare natürliche Person beziehen“. </w:t>
      </w:r>
      <w:r w:rsidR="00101F9A">
        <w:t xml:space="preserve">Die Begriffe „identifiziert“ und „identifizierbar“ werden dabei als gleichberechtigte Alternativen verwendet. </w:t>
      </w:r>
      <w:r>
        <w:t>Damit fallen nicht nur Informationen darunter, welche direkt eine Person identifizieren, sondern auch alle Informationen, welche über Zwischenschritte eine Person identifizieren</w:t>
      </w:r>
      <w:r w:rsidR="00E027A5">
        <w:t xml:space="preserve"> („identifizierbar machen“)</w:t>
      </w:r>
      <w:r>
        <w:t xml:space="preserve">. </w:t>
      </w:r>
      <w:r w:rsidR="00101F9A" w:rsidRPr="00101F9A">
        <w:t xml:space="preserve">Eine Identifikation </w:t>
      </w:r>
      <w:r w:rsidR="00101F9A">
        <w:t>einer</w:t>
      </w:r>
      <w:r w:rsidR="00101F9A" w:rsidRPr="00101F9A">
        <w:t xml:space="preserve"> natürlichen Person </w:t>
      </w:r>
      <w:r w:rsidR="00101F9A">
        <w:t xml:space="preserve">liegt somit </w:t>
      </w:r>
      <w:r w:rsidR="004D05D2">
        <w:t xml:space="preserve">bereits </w:t>
      </w:r>
      <w:r w:rsidR="00101F9A">
        <w:t>dann vor, wenn diese Person</w:t>
      </w:r>
      <w:r w:rsidR="00101F9A" w:rsidRPr="00101F9A">
        <w:t xml:space="preserve"> hinreichend individualisiert </w:t>
      </w:r>
      <w:r w:rsidR="00101F9A">
        <w:t>werden kann, da sie sich aufgrund der vorhandenen Informationen ausreichend von anderen Personen in der vorhandenen Datenmenge unterscheidet</w:t>
      </w:r>
      <w:r w:rsidR="00101F9A">
        <w:rPr>
          <w:rStyle w:val="Funotenzeichen"/>
        </w:rPr>
        <w:footnoteReference w:id="8"/>
      </w:r>
      <w:r w:rsidR="00101F9A">
        <w:t>.</w:t>
      </w:r>
      <w:r w:rsidR="00101F9A" w:rsidRPr="00101F9A">
        <w:t xml:space="preserve"> </w:t>
      </w:r>
      <w:r>
        <w:t>D. h. soweit und solange die Informationen aus sich heraus Rückschluss auf eine einzelne Person zulassen, handelt es sich um Daten einer bestimmten Person</w:t>
      </w:r>
      <w:bookmarkStart w:id="70" w:name="_Ref512320579"/>
      <w:r>
        <w:rPr>
          <w:rStyle w:val="Funotenanker"/>
        </w:rPr>
        <w:footnoteReference w:id="9"/>
      </w:r>
      <w:bookmarkEnd w:id="70"/>
      <w:r>
        <w:t>.</w:t>
      </w:r>
      <w:r w:rsidR="00232822">
        <w:t xml:space="preserve"> </w:t>
      </w:r>
      <w:r w:rsidR="005E57FD">
        <w:t xml:space="preserve">(Beispiel: Bundeskanzlerin der BRD = Dr. Angela Merkel – schließlich gab es bislang nur eine Bundeskanzlerin.) </w:t>
      </w:r>
      <w:r w:rsidR="006330C9">
        <w:t>D</w:t>
      </w:r>
      <w:r w:rsidR="00232822">
        <w:t xml:space="preserve">ies gilt ebenso, wenn andere Informationen existieren, welche in Verbindung mit den vorhandenen Daten indirekt einen </w:t>
      </w:r>
      <w:r w:rsidR="00232822" w:rsidRPr="00232822">
        <w:t>Rückschluss auf eine einzelne Person zulassen</w:t>
      </w:r>
      <w:r w:rsidR="00232822">
        <w:t>. Da</w:t>
      </w:r>
      <w:r w:rsidR="00232822" w:rsidRPr="00232822">
        <w:t xml:space="preserve"> </w:t>
      </w:r>
      <w:r w:rsidR="00232822">
        <w:t xml:space="preserve">ErwGr. 26 DS-GVO </w:t>
      </w:r>
      <w:r w:rsidR="00232822" w:rsidRPr="00232822">
        <w:t xml:space="preserve">auf die Mittel Bezug nimmt, die </w:t>
      </w:r>
      <w:r w:rsidR="00232822">
        <w:t>„</w:t>
      </w:r>
      <w:r w:rsidR="00232822" w:rsidRPr="00232822">
        <w:t>nach allgemeinem Ermessen wahrscheinlich zur Identifizierung der natürlichen Person genutzt werden</w:t>
      </w:r>
      <w:r w:rsidR="00232822">
        <w:t xml:space="preserve">“, müssen Mittel sowohl </w:t>
      </w:r>
      <w:r w:rsidR="00232822" w:rsidRPr="00232822">
        <w:t xml:space="preserve">von dem für die Verarbeitung Verantwortlichen </w:t>
      </w:r>
      <w:r w:rsidR="00232822">
        <w:t xml:space="preserve">als auch </w:t>
      </w:r>
      <w:r w:rsidR="00232822" w:rsidRPr="00232822">
        <w:t xml:space="preserve">von einem „Dritten“ </w:t>
      </w:r>
      <w:r w:rsidR="00232822">
        <w:t>betrachtet werden. Für die</w:t>
      </w:r>
      <w:r w:rsidR="00232822" w:rsidRPr="00232822">
        <w:t xml:space="preserve"> Einstufung eines Datums als „personenbezogenes Datum“</w:t>
      </w:r>
      <w:r w:rsidR="00232822">
        <w:t xml:space="preserve"> ist es somit </w:t>
      </w:r>
      <w:r w:rsidR="00232822" w:rsidRPr="00232822">
        <w:t xml:space="preserve">nicht erforderlich, dass sich alle zur Identifizierung der betreffenden Person erforderlichen Informationen in den Händen einer einzigen </w:t>
      </w:r>
      <w:r w:rsidR="00232822">
        <w:t xml:space="preserve">natürlichen oder juristischen </w:t>
      </w:r>
      <w:r w:rsidR="00232822" w:rsidRPr="00232822">
        <w:t>Person befinden</w:t>
      </w:r>
      <w:r w:rsidR="00232822">
        <w:t xml:space="preserve">, sondern auch das </w:t>
      </w:r>
      <w:r w:rsidR="002559E5">
        <w:t>W</w:t>
      </w:r>
      <w:r w:rsidR="00232822">
        <w:t>issen von Dritten muss berücksichtigt werden</w:t>
      </w:r>
      <w:r w:rsidR="00232822" w:rsidRPr="00232822">
        <w:t>.</w:t>
      </w:r>
      <w:r w:rsidR="00232822">
        <w:rPr>
          <w:rStyle w:val="Funotenzeichen"/>
        </w:rPr>
        <w:footnoteReference w:id="10"/>
      </w:r>
    </w:p>
    <w:p w14:paraId="367CF4CE" w14:textId="04814B64" w:rsidR="00AE4EA7" w:rsidRDefault="00000000" w:rsidP="00232822">
      <w:r>
        <w:t xml:space="preserve">Der Begriff „identifizierbar“ muss </w:t>
      </w:r>
      <w:r w:rsidR="00232822">
        <w:t>somit</w:t>
      </w:r>
      <w:r>
        <w:t xml:space="preserve"> im Sinne von „als Einzelperson wahrnehmbar“ bzw. einer „Einzelperson zuordenbar“ verstanden werden</w:t>
      </w:r>
      <w:r w:rsidR="00232822">
        <w:t>, wobei bei der Bewertung auch evtl. vorhandenes Zusatzwissen, über welches der Verantwortliche selbst oder beliebige Dritte verfügen</w:t>
      </w:r>
      <w:r w:rsidR="006330C9">
        <w:t>, einfließen kann</w:t>
      </w:r>
      <w:r>
        <w:t>.</w:t>
      </w:r>
      <w:r w:rsidR="00232822">
        <w:t xml:space="preserve"> </w:t>
      </w:r>
      <w:r w:rsidR="006330C9">
        <w:t>D</w:t>
      </w:r>
      <w:r w:rsidR="00232822">
        <w:t xml:space="preserve">em Verantwortlichen </w:t>
      </w:r>
      <w:r w:rsidR="006330C9">
        <w:t xml:space="preserve">muss allerdings </w:t>
      </w:r>
      <w:r w:rsidR="00232822">
        <w:t>bekannt sein, dass es „Dritte“ gibt, welche über die erforderlichen Kenntnisse und Mittel verfügt, um die betroffene Person zu identifizieren.</w:t>
      </w:r>
      <w:r w:rsidR="00232822">
        <w:rPr>
          <w:rStyle w:val="Funotenzeichen"/>
        </w:rPr>
        <w:footnoteReference w:id="11"/>
      </w:r>
    </w:p>
    <w:p w14:paraId="72C85016" w14:textId="77777777" w:rsidR="00AE4EA7" w:rsidRDefault="00000000">
      <w:r>
        <w:t>Die Identifizierbarkeit ist damit Dreh- und Angelpunkt hinsichtlich der Beurteilung, ob Daten als anonym oder pseudonym angesehen werden können.</w:t>
      </w:r>
    </w:p>
    <w:p w14:paraId="706FEF9B" w14:textId="0AAFEE63" w:rsidR="008D5618" w:rsidRDefault="002846F8" w:rsidP="008D5618">
      <w:pPr>
        <w:spacing w:after="0"/>
      </w:pPr>
      <w:r>
        <w:t xml:space="preserve">In Bezug auf die in Art. 9 Abs. 1 DS-GVO benannten besonders sensiblen Daten ist dabei zu beachten, </w:t>
      </w:r>
      <w:bookmarkStart w:id="71" w:name="_Hlk154301502"/>
      <w:r>
        <w:t>dass entsprechend der Rechtsprechung des EuGH die Zuordnung eines Datums als „sensibles Datum“ weit zu verstehen ist</w:t>
      </w:r>
      <w:r>
        <w:rPr>
          <w:rStyle w:val="Funotenzeichen"/>
        </w:rPr>
        <w:footnoteReference w:id="12"/>
      </w:r>
      <w:r>
        <w:t xml:space="preserve">: </w:t>
      </w:r>
      <w:bookmarkEnd w:id="71"/>
      <w:r>
        <w:t xml:space="preserve">Auch wenn ein Datum aufgrund der eigenen Bedeutung </w:t>
      </w:r>
      <w:r w:rsidRPr="002846F8">
        <w:t>nach kein sensible</w:t>
      </w:r>
      <w:r>
        <w:t>s</w:t>
      </w:r>
      <w:r w:rsidRPr="002846F8">
        <w:t xml:space="preserve"> Dat</w:t>
      </w:r>
      <w:r>
        <w:t xml:space="preserve">um darstellen würde, so </w:t>
      </w:r>
      <w:r w:rsidRPr="002846F8">
        <w:t xml:space="preserve">ist zu prüfen, ob Daten, aus denen </w:t>
      </w:r>
      <w:r>
        <w:t>„</w:t>
      </w:r>
      <w:r w:rsidRPr="002846F8">
        <w:t>mittels gedanklicher Kombination oder Ableitung</w:t>
      </w:r>
      <w:r>
        <w:t>“</w:t>
      </w:r>
      <w:r w:rsidRPr="002846F8">
        <w:t xml:space="preserve"> auf </w:t>
      </w:r>
      <w:r>
        <w:t xml:space="preserve">in Art. 9 Abs. 1 DS-GVO genannte Datenkategorien </w:t>
      </w:r>
      <w:r w:rsidRPr="002846F8">
        <w:t>geschlossen werden kann</w:t>
      </w:r>
      <w:r>
        <w:t>, als sensible Dat</w:t>
      </w:r>
      <w:r w:rsidR="006330C9">
        <w:t>en</w:t>
      </w:r>
      <w:r>
        <w:t xml:space="preserve"> i. S. d. Art. 9 Abs. 1 DS-GVO anzusehen </w:t>
      </w:r>
      <w:r w:rsidR="006330C9">
        <w:t>sind</w:t>
      </w:r>
      <w:r>
        <w:t xml:space="preserve">. Ist somit ein Datum als „personenbezogen oder personenbeziehbar“ klassifiziert, so muss bei der Prüfung, ob es sich um ein sensibles </w:t>
      </w:r>
      <w:r w:rsidR="00AF2176" w:rsidRPr="00AF2176">
        <w:t>Datum</w:t>
      </w:r>
      <w:r>
        <w:t xml:space="preserve"> i. S. d. Art. 9 Abs. 1 DS-GVO handelt, entsprechend vorgegangen werden</w:t>
      </w:r>
      <w:r w:rsidR="006330C9">
        <w:t>.</w:t>
      </w:r>
      <w:r>
        <w:t xml:space="preserve"> </w:t>
      </w:r>
      <w:r w:rsidR="006330C9">
        <w:t>A</w:t>
      </w:r>
      <w:r>
        <w:t xml:space="preserve">uch indirekt mögliche Aussagen </w:t>
      </w:r>
      <w:r w:rsidR="006330C9" w:rsidRPr="004832F9">
        <w:t xml:space="preserve">sind dabei </w:t>
      </w:r>
      <w:r w:rsidRPr="004832F9">
        <w:t>prüfen</w:t>
      </w:r>
      <w:r>
        <w:t>.</w:t>
      </w:r>
    </w:p>
    <w:p w14:paraId="1D36A141" w14:textId="700F5765" w:rsidR="002846F8" w:rsidRDefault="008D5618" w:rsidP="008D5618">
      <w:pPr>
        <w:ind w:left="576"/>
      </w:pPr>
      <w:r>
        <w:t>Beispiel:</w:t>
      </w:r>
      <w:r w:rsidR="002846F8">
        <w:t xml:space="preserve"> </w:t>
      </w:r>
      <w:r>
        <w:t xml:space="preserve">Eine Person besucht </w:t>
      </w:r>
      <w:r w:rsidR="002846F8" w:rsidRPr="00AF2176">
        <w:t>eine</w:t>
      </w:r>
      <w:r w:rsidR="002846F8">
        <w:t xml:space="preserve"> Arztpraxis</w:t>
      </w:r>
      <w:r>
        <w:t xml:space="preserve">. Die Standortdaten, also Straße, Postleitzahl und Ort, der Arztpraxis </w:t>
      </w:r>
      <w:r w:rsidR="004F4854">
        <w:t>stellen</w:t>
      </w:r>
      <w:r>
        <w:t xml:space="preserve"> eigentlich kein</w:t>
      </w:r>
      <w:r w:rsidR="004F4854">
        <w:t>e</w:t>
      </w:r>
      <w:r>
        <w:t xml:space="preserve"> sensible</w:t>
      </w:r>
      <w:r w:rsidR="004F4854">
        <w:t>n</w:t>
      </w:r>
      <w:r>
        <w:t xml:space="preserve"> Dat</w:t>
      </w:r>
      <w:r w:rsidR="004F4854">
        <w:t>en</w:t>
      </w:r>
      <w:r>
        <w:t xml:space="preserve"> i. S. v. Art. 9 Abs. 1 DS-GVO</w:t>
      </w:r>
      <w:r w:rsidR="004F4854">
        <w:t xml:space="preserve"> dar</w:t>
      </w:r>
      <w:r>
        <w:t xml:space="preserve">. </w:t>
      </w:r>
      <w:r w:rsidR="006330C9">
        <w:t>Da a</w:t>
      </w:r>
      <w:r>
        <w:t xml:space="preserve">ber bekannt ist, dass eine Arztpraxis aufgesucht wird und dies </w:t>
      </w:r>
      <w:r w:rsidR="002846F8">
        <w:t xml:space="preserve">i. d. R. für eine medizinische Betreuung </w:t>
      </w:r>
      <w:r>
        <w:t xml:space="preserve">erfolgt, ist diese Information </w:t>
      </w:r>
      <w:r w:rsidR="006330C9">
        <w:t>damit</w:t>
      </w:r>
      <w:r>
        <w:t xml:space="preserve"> als sensibles Datum aufzufassen</w:t>
      </w:r>
      <w:r w:rsidR="002846F8">
        <w:t>.</w:t>
      </w:r>
    </w:p>
    <w:p w14:paraId="49281E82" w14:textId="0D4FA881" w:rsidR="00463704" w:rsidRDefault="00463704" w:rsidP="00463704">
      <w:bookmarkStart w:id="72" w:name="_Hlk154301581"/>
      <w:r>
        <w:t xml:space="preserve">Weiterhin urteilte der EuGH, dass ein </w:t>
      </w:r>
      <w:r w:rsidRPr="00463704">
        <w:t>Datensatz, der sowohl sensible als auch nicht sensible Daten enthält,</w:t>
      </w:r>
      <w:r>
        <w:t xml:space="preserve"> insgesamt als sensibles Datum i. S. v. Art. 9 Abs. 1 DS-GVO anzusehen ist.</w:t>
      </w:r>
      <w:r>
        <w:rPr>
          <w:rStyle w:val="Funotenzeichen"/>
        </w:rPr>
        <w:footnoteReference w:id="13"/>
      </w:r>
    </w:p>
    <w:p w14:paraId="09B54040" w14:textId="77777777" w:rsidR="00AE4EA7" w:rsidRDefault="00000000">
      <w:pPr>
        <w:pStyle w:val="berschrift2"/>
      </w:pPr>
      <w:bookmarkStart w:id="73" w:name="_Toc154652586"/>
      <w:bookmarkEnd w:id="72"/>
      <w:r>
        <w:t>Pseudonymisierung</w:t>
      </w:r>
      <w:bookmarkEnd w:id="73"/>
    </w:p>
    <w:p w14:paraId="096E8C3A" w14:textId="77777777" w:rsidR="00AE4EA7" w:rsidRDefault="00000000">
      <w:pPr>
        <w:spacing w:after="0"/>
      </w:pPr>
      <w:r>
        <w:t xml:space="preserve">Der Begriff der Pseudonymisierung wird in Art. 4 </w:t>
      </w:r>
      <w:r w:rsidRPr="004832F9">
        <w:t>Ziff</w:t>
      </w:r>
      <w:r>
        <w:t>. 5 DS-GVO definiert. Dort heißt es:</w:t>
      </w:r>
    </w:p>
    <w:p w14:paraId="710650A7" w14:textId="77777777" w:rsidR="00AE4EA7" w:rsidRDefault="00000000">
      <w:pPr>
        <w:ind w:left="576"/>
      </w:pPr>
      <w:r>
        <w:t>„"Pseudonymisierung" die Verarbeitung personenbezogener Daten in einer Weise, dass die personenbezogenen Daten ohne Hinzuziehung zusätzlicher Informationen nicht mehr einer spezifischen betroffenen Person zugeordnet werden können, sofern diese zusätzlichen Informationen gesondert aufbewahrt werden und technischen und organisatorischen Maßnahmen unterliegen, die gewährleisten, dass die personenbezogenen Daten nicht einer identifizierten oder identifizierbaren natürlichen Person zugewiesen werden“.</w:t>
      </w:r>
    </w:p>
    <w:p w14:paraId="1A5110BB" w14:textId="77777777" w:rsidR="00AE4EA7" w:rsidRDefault="00000000">
      <w:pPr>
        <w:spacing w:after="0"/>
      </w:pPr>
      <w:r>
        <w:t>Dieser Definition folgend charakterisiert eine Pseudonymisierung daher Nachfolgendes:</w:t>
      </w:r>
    </w:p>
    <w:p w14:paraId="32FB855D" w14:textId="77777777" w:rsidR="00AE4EA7" w:rsidRDefault="00000000">
      <w:pPr>
        <w:pStyle w:val="Listenabsatz"/>
        <w:numPr>
          <w:ilvl w:val="0"/>
          <w:numId w:val="2"/>
        </w:numPr>
      </w:pPr>
      <w:r>
        <w:t>Die Pseudonymisierung ist eine Verarbeitung personenbezogener Daten.</w:t>
      </w:r>
    </w:p>
    <w:p w14:paraId="763819CC" w14:textId="77777777" w:rsidR="00AE4EA7" w:rsidRDefault="00000000">
      <w:pPr>
        <w:pStyle w:val="Listenabsatz"/>
        <w:numPr>
          <w:ilvl w:val="0"/>
          <w:numId w:val="2"/>
        </w:numPr>
      </w:pPr>
      <w:r>
        <w:t>Pseudonyme Daten sind Daten, die ohne weitere Informationen einer spezifischen Person nicht zuordenbar sind.</w:t>
      </w:r>
    </w:p>
    <w:p w14:paraId="61429F38" w14:textId="77777777" w:rsidR="00AE4EA7" w:rsidRDefault="00000000">
      <w:pPr>
        <w:pStyle w:val="Listenabsatz"/>
        <w:numPr>
          <w:ilvl w:val="0"/>
          <w:numId w:val="2"/>
        </w:numPr>
      </w:pPr>
      <w:r>
        <w:t xml:space="preserve">Die zur Zuordenbarkeit benötigten Informationen stehen dem Verantwortlichen nicht zur Verfügung, </w:t>
      </w:r>
      <w:r w:rsidRPr="004832F9">
        <w:t>sondern</w:t>
      </w:r>
    </w:p>
    <w:p w14:paraId="53E307C7" w14:textId="77777777" w:rsidR="00AE4EA7" w:rsidRDefault="00000000">
      <w:pPr>
        <w:pStyle w:val="Listenabsatz"/>
        <w:numPr>
          <w:ilvl w:val="1"/>
          <w:numId w:val="2"/>
        </w:numPr>
      </w:pPr>
      <w:r w:rsidRPr="004832F9">
        <w:t>werden</w:t>
      </w:r>
      <w:r>
        <w:t xml:space="preserve"> gesondert aufbewahrt </w:t>
      </w:r>
      <w:r w:rsidRPr="004832F9">
        <w:rPr>
          <w:u w:val="single"/>
        </w:rPr>
        <w:t>und</w:t>
      </w:r>
    </w:p>
    <w:p w14:paraId="47AE2E5E" w14:textId="3055C56B" w:rsidR="00AE4EA7" w:rsidRDefault="00000000">
      <w:pPr>
        <w:pStyle w:val="Listenabsatz"/>
        <w:numPr>
          <w:ilvl w:val="1"/>
          <w:numId w:val="2"/>
        </w:numPr>
      </w:pPr>
      <w:r w:rsidRPr="004832F9">
        <w:t>sind</w:t>
      </w:r>
      <w:r>
        <w:t xml:space="preserve"> durch technische und organisatorische Maßnahmen vor dem Zugriff durch den Verantwortlichen geschützt.</w:t>
      </w:r>
    </w:p>
    <w:p w14:paraId="00359429" w14:textId="2EC20824" w:rsidR="00AE4EA7" w:rsidRDefault="00000000">
      <w:pPr>
        <w:pStyle w:val="Listenabsatz"/>
        <w:numPr>
          <w:ilvl w:val="0"/>
          <w:numId w:val="6"/>
        </w:numPr>
      </w:pPr>
      <w:r>
        <w:t xml:space="preserve">Für den Verantwortlichen besteht bei der Verarbeitung </w:t>
      </w:r>
      <w:r w:rsidR="008444FB" w:rsidRPr="008444FB">
        <w:t xml:space="preserve">von </w:t>
      </w:r>
      <w:r w:rsidRPr="004832F9">
        <w:t>pseudonymisierte</w:t>
      </w:r>
      <w:r w:rsidR="008444FB" w:rsidRPr="004832F9">
        <w:t>n</w:t>
      </w:r>
      <w:r>
        <w:t xml:space="preserve"> Daten keine Möglichkeit der Identifizierung der betroffenen Person.</w:t>
      </w:r>
    </w:p>
    <w:tbl>
      <w:tblPr>
        <w:tblStyle w:val="Tabellenraster"/>
        <w:tblW w:w="9212" w:type="dxa"/>
        <w:tblLayout w:type="fixed"/>
        <w:tblLook w:val="04A0" w:firstRow="1" w:lastRow="0" w:firstColumn="1" w:lastColumn="0" w:noHBand="0" w:noVBand="1"/>
      </w:tblPr>
      <w:tblGrid>
        <w:gridCol w:w="9212"/>
      </w:tblGrid>
      <w:tr w:rsidR="00AE4EA7" w14:paraId="5B7B9FAB" w14:textId="77777777">
        <w:tc>
          <w:tcPr>
            <w:tcW w:w="9212" w:type="dxa"/>
            <w:tcBorders>
              <w:top w:val="single" w:sz="12" w:space="0" w:color="000000"/>
              <w:left w:val="single" w:sz="12" w:space="0" w:color="000000"/>
              <w:bottom w:val="single" w:sz="12" w:space="0" w:color="000000"/>
              <w:right w:val="single" w:sz="12" w:space="0" w:color="000000"/>
            </w:tcBorders>
          </w:tcPr>
          <w:p w14:paraId="22818B5D" w14:textId="77777777" w:rsidR="00AE4EA7" w:rsidRDefault="00000000">
            <w:pPr>
              <w:widowControl w:val="0"/>
              <w:tabs>
                <w:tab w:val="left" w:pos="851"/>
              </w:tabs>
              <w:spacing w:before="120" w:after="0" w:line="240" w:lineRule="auto"/>
              <w:ind w:left="567" w:hanging="567"/>
              <w:contextualSpacing/>
              <w:rPr>
                <w:rFonts w:ascii="Calibri" w:eastAsia="Calibri" w:hAnsi="Calibri"/>
              </w:rPr>
            </w:pPr>
            <w:r>
              <w:rPr>
                <w:rFonts w:eastAsia="Calibri"/>
                <w:highlight w:val="yellow"/>
              </w:rPr>
              <w:t>Hinweis:</w:t>
            </w:r>
            <w:r>
              <w:rPr>
                <w:rFonts w:eastAsia="Calibri"/>
              </w:rPr>
              <w:tab/>
              <w:t>ErwGr. 26 führt aus, dass zur Feststellung, ob eine natürliche Person identifizierbar ist, alle Mittel berücksichtigt werden sollten, die von dem Verantwortlichen oder einer anderen Person nach allgemeinem Ermessen wahrscheinlich genutzt werden, um die natürliche Person direkt oder indirekt zu identifizieren.</w:t>
            </w:r>
          </w:p>
          <w:p w14:paraId="5ECC378A" w14:textId="1E1FB8D4" w:rsidR="00AE4EA7" w:rsidRDefault="00000000">
            <w:pPr>
              <w:widowControl w:val="0"/>
              <w:spacing w:after="120" w:line="240" w:lineRule="auto"/>
              <w:ind w:left="567"/>
              <w:rPr>
                <w:rFonts w:ascii="Calibri" w:eastAsia="Calibri" w:hAnsi="Calibri"/>
              </w:rPr>
            </w:pPr>
            <w:r>
              <w:rPr>
                <w:rFonts w:eastAsia="Calibri"/>
              </w:rPr>
              <w:t>Bei der Feststellung, ob Mittel nach allgemeinem Ermessen wahrscheinlich zur Identifizierung der natürlichen Person genutzt werden</w:t>
            </w:r>
            <w:r w:rsidR="004D05D2">
              <w:rPr>
                <w:rFonts w:eastAsia="Calibri"/>
              </w:rPr>
              <w:t xml:space="preserve"> können</w:t>
            </w:r>
            <w:r>
              <w:rPr>
                <w:rFonts w:eastAsia="Calibri"/>
              </w:rPr>
              <w:t>, sollten alle objektiven Faktoren, wie die Kosten der Identifizierung und der dafür erforderliche Zeitaufwand, herangezogen werden, wobei die zum Zeitpunkt der Verarbeitung verfügbare Technologie und technologische Entwicklungen zu berücksichtigen sind.</w:t>
            </w:r>
          </w:p>
        </w:tc>
      </w:tr>
    </w:tbl>
    <w:p w14:paraId="30A94A99" w14:textId="77777777" w:rsidR="00AE4EA7" w:rsidRDefault="00000000">
      <w:pPr>
        <w:pStyle w:val="berschrift2"/>
      </w:pPr>
      <w:bookmarkStart w:id="74" w:name="_Toc154652587"/>
      <w:r>
        <w:t>Pseudonyme Daten</w:t>
      </w:r>
      <w:bookmarkEnd w:id="74"/>
    </w:p>
    <w:p w14:paraId="699FA380" w14:textId="64ACFA3E" w:rsidR="00AE4EA7" w:rsidRDefault="00000000">
      <w:r>
        <w:t xml:space="preserve">Entsprechend der in der DS-GVO enthaltenen Definition von Pseudonymisierung sind </w:t>
      </w:r>
      <w:r w:rsidR="00101F9A">
        <w:t xml:space="preserve">– in Anlehnung an ErwGr. 26 S. 2 </w:t>
      </w:r>
      <w:r w:rsidR="00101F9A" w:rsidRPr="004832F9">
        <w:t>DS-GVO –</w:t>
      </w:r>
      <w:r w:rsidR="004832F9" w:rsidRPr="004832F9">
        <w:t xml:space="preserve"> </w:t>
      </w:r>
      <w:r w:rsidRPr="004832F9">
        <w:t>pseudonyme</w:t>
      </w:r>
      <w:r>
        <w:t xml:space="preserve"> Daten </w:t>
      </w:r>
      <w:r w:rsidR="007F605E">
        <w:t xml:space="preserve">demnach </w:t>
      </w:r>
      <w:r>
        <w:t>solche Daten, welche der oder die Verantwortlichen keiner spezifischen Person zuordnen können, jedoch für andere durch die Einbeziehung weitergehender Informationen („Zuordnungsregeln“) die grundsätzliche Möglichkeit der Zuordnung besteht. Dafür ist es nicht erforderlich, dass die betroffene Person durch die „</w:t>
      </w:r>
      <w:r w:rsidR="00E027A5">
        <w:t>Re-Identifizierung</w:t>
      </w:r>
      <w:r>
        <w:t xml:space="preserve">“ mit bürgerlichem Namen zu identifizieren </w:t>
      </w:r>
      <w:r w:rsidRPr="004832F9">
        <w:t>ist</w:t>
      </w:r>
      <w:r w:rsidR="0093736C" w:rsidRPr="004832F9">
        <w:rPr>
          <w:vertAlign w:val="superscript"/>
        </w:rPr>
        <w:fldChar w:fldCharType="begin"/>
      </w:r>
      <w:r w:rsidR="0093736C" w:rsidRPr="004832F9">
        <w:rPr>
          <w:vertAlign w:val="superscript"/>
        </w:rPr>
        <w:instrText xml:space="preserve"> NOTEREF _Ref512320579 \h  \* MERGEFORMAT </w:instrText>
      </w:r>
      <w:r w:rsidR="0093736C" w:rsidRPr="004832F9">
        <w:rPr>
          <w:vertAlign w:val="superscript"/>
        </w:rPr>
      </w:r>
      <w:r w:rsidR="0093736C" w:rsidRPr="004832F9">
        <w:rPr>
          <w:vertAlign w:val="superscript"/>
        </w:rPr>
        <w:fldChar w:fldCharType="separate"/>
      </w:r>
      <w:r w:rsidR="00C9149F">
        <w:rPr>
          <w:vertAlign w:val="superscript"/>
        </w:rPr>
        <w:t>9</w:t>
      </w:r>
      <w:r w:rsidR="0093736C" w:rsidRPr="004832F9">
        <w:rPr>
          <w:vertAlign w:val="superscript"/>
        </w:rPr>
        <w:fldChar w:fldCharType="end"/>
      </w:r>
      <w:r>
        <w:t xml:space="preserve">. Ausreichend ist vielmehr, wenn durch das Datum bzw. die Daten die betroffene Person individualisiert </w:t>
      </w:r>
      <w:r w:rsidRPr="004832F9">
        <w:t>wird</w:t>
      </w:r>
      <w:r>
        <w:t xml:space="preserve"> und Aussagen über deren sachliche und persönliche Verhältnisse möglich sind; ein Name muss nicht vorhanden sein</w:t>
      </w:r>
      <w:r>
        <w:rPr>
          <w:rStyle w:val="Funotenanker"/>
        </w:rPr>
        <w:footnoteReference w:id="14"/>
      </w:r>
      <w:r>
        <w:t>.</w:t>
      </w:r>
    </w:p>
    <w:p w14:paraId="5DCBD1DF" w14:textId="5E75AAEC" w:rsidR="00101F9A" w:rsidRDefault="00101F9A" w:rsidP="00E434D6">
      <w:r>
        <w:t xml:space="preserve">Maßstab für die Beurteilung, ob pseudonyme Daten vorliegen, bilden die Anforderungen in Art. 4 </w:t>
      </w:r>
      <w:r w:rsidRPr="004832F9">
        <w:t>Ziff</w:t>
      </w:r>
      <w:r>
        <w:t xml:space="preserve">. 5 DS-GVO i. V. m. ErwGr. 26 </w:t>
      </w:r>
      <w:r w:rsidRPr="00AF2176">
        <w:t>D</w:t>
      </w:r>
      <w:r w:rsidR="00AF2176" w:rsidRPr="00AF2176">
        <w:t>S</w:t>
      </w:r>
      <w:r w:rsidRPr="00AF2176">
        <w:t>-GVO</w:t>
      </w:r>
      <w:r>
        <w:t>. Zu beachten ist, dass nach ErwGr. 28 S. 2 DS-GVO d</w:t>
      </w:r>
      <w:r w:rsidRPr="00101F9A">
        <w:t xml:space="preserve">urch </w:t>
      </w:r>
      <w:r>
        <w:t>„</w:t>
      </w:r>
      <w:r w:rsidRPr="00101F9A">
        <w:t xml:space="preserve">die ausdrückliche Einführung der </w:t>
      </w:r>
      <w:r>
        <w:t>‘</w:t>
      </w:r>
      <w:r w:rsidRPr="00101F9A">
        <w:t>Pseudonymisierung</w:t>
      </w:r>
      <w:r>
        <w:t>‘</w:t>
      </w:r>
      <w:r w:rsidRPr="00101F9A">
        <w:t xml:space="preserve"> in dieser Verordnung nicht beabsichtigt</w:t>
      </w:r>
      <w:r>
        <w:t xml:space="preserve"> ist</w:t>
      </w:r>
      <w:r w:rsidRPr="00101F9A">
        <w:t>, andere Datenschutzmaßnahmen auszuschließen</w:t>
      </w:r>
      <w:r>
        <w:t>“</w:t>
      </w:r>
      <w:r w:rsidRPr="00101F9A">
        <w:t>.</w:t>
      </w:r>
      <w:r>
        <w:t xml:space="preserve"> Pseudonymisierung stellt also nur eine weitere </w:t>
      </w:r>
      <w:r w:rsidR="00F7250D">
        <w:t>M</w:t>
      </w:r>
      <w:r>
        <w:t>aßnahme dar</w:t>
      </w:r>
      <w:r w:rsidR="00F7250D">
        <w:t xml:space="preserve">; alle </w:t>
      </w:r>
      <w:r>
        <w:t xml:space="preserve">Vorgaben der DS-GVO </w:t>
      </w:r>
      <w:r w:rsidR="006330C9">
        <w:t xml:space="preserve">müssen </w:t>
      </w:r>
      <w:r w:rsidR="004D05D2">
        <w:t xml:space="preserve">daher </w:t>
      </w:r>
      <w:r>
        <w:t>vollumfänglich auch für pseudonyme Daten gewährleistet werden.</w:t>
      </w:r>
    </w:p>
    <w:p w14:paraId="2C505020" w14:textId="77777777" w:rsidR="00AE4EA7" w:rsidRDefault="00000000">
      <w:pPr>
        <w:pStyle w:val="berschrift2"/>
      </w:pPr>
      <w:bookmarkStart w:id="75" w:name="_Toc154652588"/>
      <w:r>
        <w:t>Anonymisierung</w:t>
      </w:r>
      <w:bookmarkEnd w:id="75"/>
    </w:p>
    <w:p w14:paraId="201EA150" w14:textId="1A3D88D6" w:rsidR="00AE4EA7" w:rsidRDefault="00000000">
      <w:pPr>
        <w:spacing w:after="0"/>
      </w:pPr>
      <w:r>
        <w:t xml:space="preserve">Anonymisierung wird in </w:t>
      </w:r>
      <w:r w:rsidR="00723031">
        <w:t xml:space="preserve">Art. 2 </w:t>
      </w:r>
      <w:r w:rsidR="00723031" w:rsidRPr="004832F9">
        <w:t>Ziff</w:t>
      </w:r>
      <w:r w:rsidR="00723031">
        <w:t>. 7 der Richtlinie (EU) 2019/1024</w:t>
      </w:r>
      <w:r>
        <w:rPr>
          <w:rStyle w:val="Funotenanker"/>
        </w:rPr>
        <w:footnoteReference w:id="15"/>
      </w:r>
      <w:r>
        <w:t xml:space="preserve"> wie folgt definiert:</w:t>
      </w:r>
    </w:p>
    <w:p w14:paraId="521F2AB1" w14:textId="77777777" w:rsidR="00AE4EA7" w:rsidRDefault="00000000">
      <w:pPr>
        <w:ind w:left="708"/>
      </w:pPr>
      <w:r>
        <w:t>„Anonymisierung“ den Prozess, in dessen Verlauf Dokumente in anonyme Dokumente umgewandelt werden, die sich nicht auf eine identifizierte oder identifizierbare natürliche Person beziehen, oder personenbezogene Daten so anonym gemacht werden, dass die betroffene Person nicht oder nicht mehr identifiziert werden kann.</w:t>
      </w:r>
    </w:p>
    <w:p w14:paraId="5464C650" w14:textId="5DE3AE4D" w:rsidR="00351A11" w:rsidRDefault="00351A11" w:rsidP="006330C9">
      <w:pPr>
        <w:tabs>
          <w:tab w:val="left" w:pos="4536"/>
        </w:tabs>
        <w:spacing w:after="0"/>
      </w:pPr>
      <w:r>
        <w:t>Diese Begriffsbestimmung entspricht der Definition der internationalen Norm ISO/IEC 29100</w:t>
      </w:r>
      <w:r w:rsidR="00C43725">
        <w:rPr>
          <w:rStyle w:val="Funotenzeichen"/>
        </w:rPr>
        <w:footnoteReference w:id="16"/>
      </w:r>
      <w:r>
        <w:t>:</w:t>
      </w:r>
    </w:p>
    <w:p w14:paraId="6A9B6D59" w14:textId="14DE86CD" w:rsidR="00351A11" w:rsidRPr="004832F9" w:rsidRDefault="00351A11" w:rsidP="00351A11">
      <w:pPr>
        <w:spacing w:after="0"/>
        <w:ind w:left="709"/>
        <w:rPr>
          <w:lang w:val="en-US"/>
        </w:rPr>
      </w:pPr>
      <w:r w:rsidRPr="004832F9">
        <w:rPr>
          <w:lang w:val="en-US"/>
        </w:rPr>
        <w:t>„</w:t>
      </w:r>
      <w:r w:rsidRPr="008444FB">
        <w:rPr>
          <w:lang w:val="en-US"/>
        </w:rPr>
        <w:t xml:space="preserve">anonymity: characteristic of information that does not permit a personally identifiable information principal </w:t>
      </w:r>
      <w:r w:rsidR="008444FB" w:rsidRPr="008444FB">
        <w:rPr>
          <w:lang w:val="en-US"/>
        </w:rPr>
        <w:t>t</w:t>
      </w:r>
      <w:r w:rsidRPr="008444FB">
        <w:rPr>
          <w:lang w:val="en-US"/>
        </w:rPr>
        <w:t>o</w:t>
      </w:r>
      <w:r w:rsidR="008444FB" w:rsidRPr="008444FB">
        <w:rPr>
          <w:lang w:val="en-US"/>
        </w:rPr>
        <w:t xml:space="preserve"> </w:t>
      </w:r>
      <w:r w:rsidRPr="008444FB">
        <w:rPr>
          <w:lang w:val="en-US"/>
        </w:rPr>
        <w:t>be identified directly or indirectly</w:t>
      </w:r>
      <w:r w:rsidRPr="004832F9">
        <w:rPr>
          <w:lang w:val="en-US"/>
        </w:rPr>
        <w:t>“,</w:t>
      </w:r>
    </w:p>
    <w:p w14:paraId="78BB2E28" w14:textId="6E0B89BE" w:rsidR="00351A11" w:rsidRDefault="00351A11" w:rsidP="00351A11">
      <w:pPr>
        <w:spacing w:after="0"/>
        <w:ind w:left="709"/>
      </w:pPr>
      <w:r>
        <w:t>Ins Deutsche übersetzt „</w:t>
      </w:r>
      <w:r w:rsidRPr="00351A11">
        <w:t>Anonymität</w:t>
      </w:r>
      <w:r>
        <w:t xml:space="preserve">: </w:t>
      </w:r>
      <w:r w:rsidRPr="00351A11">
        <w:t>Merkmale von Informationen, die eine direkte oder indirekte Identifizierung des Betroffenen nicht zulassen</w:t>
      </w:r>
      <w:r>
        <w:t>“.</w:t>
      </w:r>
    </w:p>
    <w:p w14:paraId="0BEF2423" w14:textId="6787759D" w:rsidR="00351A11" w:rsidRDefault="00351A11" w:rsidP="00351A11">
      <w:r>
        <w:t>Wo die europäische Richtlinie den Prozess der Anonymisierung adressiert, definiert die internationale Norm ISO/IEC 29100 den Begriff der Anonymität; das eine ist das Resultat des anderen.</w:t>
      </w:r>
    </w:p>
    <w:p w14:paraId="22707862" w14:textId="307ACA09" w:rsidR="00AE4EA7" w:rsidRDefault="00000000">
      <w:pPr>
        <w:spacing w:after="0"/>
      </w:pPr>
      <w:r>
        <w:t>Europäische Richtlinien müssen durch nationale Recht</w:t>
      </w:r>
      <w:r w:rsidR="00E027A5">
        <w:t>sakte</w:t>
      </w:r>
      <w:r>
        <w:t xml:space="preserve"> umgesetzt werden.</w:t>
      </w:r>
      <w:r w:rsidR="00E027A5">
        <w:rPr>
          <w:rStyle w:val="Funotenzeichen"/>
        </w:rPr>
        <w:footnoteReference w:id="17"/>
      </w:r>
      <w:r>
        <w:t xml:space="preserve"> Im Falle der Begriffsdefinition zur Anonymisierung erfolgte dies </w:t>
      </w:r>
      <w:r w:rsidR="004F4854">
        <w:t xml:space="preserve">durch </w:t>
      </w:r>
      <w:r>
        <w:t xml:space="preserve">§ 3 </w:t>
      </w:r>
      <w:r w:rsidRPr="004832F9">
        <w:t>Ziff</w:t>
      </w:r>
      <w:r>
        <w:t>. 12 Datennutzungsgesetz:</w:t>
      </w:r>
    </w:p>
    <w:p w14:paraId="4FC70797" w14:textId="77777777" w:rsidR="00AE4EA7" w:rsidRDefault="00000000">
      <w:pPr>
        <w:ind w:left="576"/>
      </w:pPr>
      <w:r>
        <w:t>„Anonymisierung“ ist der Prozess, in dessen Verlauf personenbezogene Daten in Daten umgewandelt werden, die sich nicht auf eine identifizierte oder identifizierbare natürliche Person beziehen, oder derart in Daten umgewandelt werden, dass die betroffene Person nicht oder nicht mehr identifiziert werden kann.</w:t>
      </w:r>
    </w:p>
    <w:p w14:paraId="217B0A58" w14:textId="77777777" w:rsidR="00AE4EA7" w:rsidRDefault="00000000">
      <w:pPr>
        <w:pStyle w:val="berschrift3"/>
      </w:pPr>
      <w:bookmarkStart w:id="76" w:name="_Toc154652589"/>
      <w:r>
        <w:t>Deutsche vs. EU-Regelung</w:t>
      </w:r>
      <w:bookmarkEnd w:id="76"/>
    </w:p>
    <w:p w14:paraId="08488752" w14:textId="720C01DE" w:rsidR="00AE4EA7" w:rsidRDefault="00000000">
      <w:r>
        <w:t xml:space="preserve">Die deutsche und die </w:t>
      </w:r>
      <w:r w:rsidR="007F605E">
        <w:t xml:space="preserve">europäische </w:t>
      </w:r>
      <w:r>
        <w:t xml:space="preserve">Regelung sind nicht wirklich deckungsgleich: </w:t>
      </w:r>
      <w:r w:rsidR="00723031">
        <w:t xml:space="preserve">Art. 2 </w:t>
      </w:r>
      <w:r w:rsidR="00723031" w:rsidRPr="004832F9">
        <w:t>Ziff</w:t>
      </w:r>
      <w:r w:rsidR="00723031">
        <w:t>. 7 der Richtlinie (EU) 2019/1024</w:t>
      </w:r>
      <w:r>
        <w:t xml:space="preserve"> adressiert „Dokumente“, § 3 </w:t>
      </w:r>
      <w:r w:rsidRPr="004832F9">
        <w:t>Ziff</w:t>
      </w:r>
      <w:r>
        <w:t>. 12 Datennutzungsgesetz „Daten“.</w:t>
      </w:r>
    </w:p>
    <w:p w14:paraId="617C14DA" w14:textId="5D2E2FCE" w:rsidR="00AE4EA7" w:rsidRDefault="00000000">
      <w:r>
        <w:t>Sieht man sich die englische Definition an, de</w:t>
      </w:r>
      <w:r w:rsidR="004D05D2">
        <w:t>r</w:t>
      </w:r>
      <w:r>
        <w:t xml:space="preserve"> Sprache, in </w:t>
      </w:r>
      <w:r w:rsidR="007F605E">
        <w:t>welch</w:t>
      </w:r>
      <w:r>
        <w:t xml:space="preserve">er der Text zwischen den Mitgliedsstaaten verhandelt wurde, so findet sich auch im englischen Text </w:t>
      </w:r>
      <w:r w:rsidR="00D97F03">
        <w:t xml:space="preserve">der Richtlinie (EU) 2019/1024 </w:t>
      </w:r>
      <w:r>
        <w:t>der Begriff „</w:t>
      </w:r>
      <w:r w:rsidRPr="004832F9">
        <w:t>document</w:t>
      </w:r>
      <w:r>
        <w:t xml:space="preserve">“. Es handelt sich bei der Verwendung des Begriffs „Dokument“ in der deutschen Version der </w:t>
      </w:r>
      <w:r w:rsidR="00723031">
        <w:t xml:space="preserve">Art. 2 </w:t>
      </w:r>
      <w:r w:rsidR="00723031" w:rsidRPr="004832F9">
        <w:t>Ziff</w:t>
      </w:r>
      <w:r w:rsidR="00723031">
        <w:t>. 7 der Richtlinie (EU) 2019/1024</w:t>
      </w:r>
      <w:r>
        <w:t xml:space="preserve"> </w:t>
      </w:r>
      <w:r w:rsidR="00E027A5">
        <w:t xml:space="preserve">daher </w:t>
      </w:r>
      <w:r>
        <w:t xml:space="preserve">um </w:t>
      </w:r>
      <w:r w:rsidR="00E027A5">
        <w:t>k</w:t>
      </w:r>
      <w:r>
        <w:t>einen Übersetzungsfehler, wie er in Texten der EU immer wieder einmal vorkommt.</w:t>
      </w:r>
    </w:p>
    <w:p w14:paraId="7038D4A5" w14:textId="77777777" w:rsidR="00AE4EA7" w:rsidRDefault="00000000">
      <w:pPr>
        <w:spacing w:after="0"/>
      </w:pPr>
      <w:r>
        <w:t xml:space="preserve">Bei der Interpretation muss man jedoch beachten, dass Art. 3 </w:t>
      </w:r>
      <w:r w:rsidRPr="004832F9">
        <w:t>Ziff</w:t>
      </w:r>
      <w:r>
        <w:t>. 6 der Richtlinie (EU) 2019/1024 den Begriff „Dokument“ definiert:</w:t>
      </w:r>
    </w:p>
    <w:p w14:paraId="4F42BBE5" w14:textId="77777777" w:rsidR="00AE4EA7" w:rsidRDefault="00000000">
      <w:pPr>
        <w:spacing w:after="0"/>
        <w:ind w:left="709"/>
      </w:pPr>
      <w:r>
        <w:t>„Dokument“</w:t>
      </w:r>
    </w:p>
    <w:p w14:paraId="4E2F2711" w14:textId="77777777" w:rsidR="00AE4EA7" w:rsidRDefault="00000000">
      <w:pPr>
        <w:pStyle w:val="Listenabsatz"/>
        <w:numPr>
          <w:ilvl w:val="0"/>
          <w:numId w:val="25"/>
        </w:numPr>
      </w:pPr>
      <w:r w:rsidRPr="004832F9">
        <w:t>jeden</w:t>
      </w:r>
      <w:r>
        <w:t xml:space="preserve"> Inhalt unabhängig von der Form des Datenträgers (auf Papier oder in elektronischer Form oder als Ton-, Bild- oder audiovisuelles Aufnahme); oder</w:t>
      </w:r>
    </w:p>
    <w:p w14:paraId="01FAA014" w14:textId="7E918C41" w:rsidR="00AE4EA7" w:rsidRDefault="00000000">
      <w:pPr>
        <w:pStyle w:val="Listenabsatz"/>
        <w:numPr>
          <w:ilvl w:val="0"/>
          <w:numId w:val="25"/>
        </w:numPr>
      </w:pPr>
      <w:r w:rsidRPr="004832F9">
        <w:t>einen</w:t>
      </w:r>
      <w:r>
        <w:t xml:space="preserve"> beliebigen Teil eines solchen Inhalts</w:t>
      </w:r>
      <w:r w:rsidR="00E027A5">
        <w:t>.</w:t>
      </w:r>
    </w:p>
    <w:p w14:paraId="06DBDE22" w14:textId="77777777" w:rsidR="00AE4EA7" w:rsidRDefault="00000000">
      <w:r>
        <w:t>Unter dieser Definition des Wortes „Dokument“ ist die deutsche Umsetzung unter Verwendung „Daten“ dem Sinngehalt der Regelung sehr ähnlich.</w:t>
      </w:r>
    </w:p>
    <w:p w14:paraId="3BE5810A" w14:textId="3D24BBCA" w:rsidR="00AE4EA7" w:rsidRDefault="00000000">
      <w:bookmarkStart w:id="77" w:name="_Hlk154573659"/>
      <w:r>
        <w:t xml:space="preserve">Dennoch empfiehlt </w:t>
      </w:r>
      <w:r w:rsidR="004D05D2">
        <w:t xml:space="preserve">es </w:t>
      </w:r>
      <w:r>
        <w:t xml:space="preserve">sich, im Zweifelsfall die Begriffsbestimmung in </w:t>
      </w:r>
      <w:r w:rsidR="00723031">
        <w:t xml:space="preserve">Art. 2 </w:t>
      </w:r>
      <w:r w:rsidR="00723031" w:rsidRPr="004832F9">
        <w:t>Ziff</w:t>
      </w:r>
      <w:r w:rsidR="00723031">
        <w:t>. 7 der Richtlinie (EU) 2019/1024</w:t>
      </w:r>
      <w:r>
        <w:t xml:space="preserve"> zumindest parallel anzuwenden</w:t>
      </w:r>
      <w:r w:rsidR="006330C9">
        <w:t>, denn w</w:t>
      </w:r>
      <w:r>
        <w:t>ie der BGH urteilte</w:t>
      </w:r>
      <w:r>
        <w:rPr>
          <w:rStyle w:val="Funotenanker"/>
        </w:rPr>
        <w:footnoteReference w:id="18"/>
      </w:r>
      <w:r>
        <w:t xml:space="preserve">: </w:t>
      </w:r>
      <w:r w:rsidR="00D97F03">
        <w:t>Der Gesetzgeber muss die europäischen Vorgaben beachten, sodass gegebenenfalls auch eine europarechtskonforme Auslegung nationaler Normen erfolgen muss.</w:t>
      </w:r>
    </w:p>
    <w:p w14:paraId="6E94406D" w14:textId="77777777" w:rsidR="00AE4EA7" w:rsidRDefault="00000000">
      <w:pPr>
        <w:pStyle w:val="berschrift3"/>
      </w:pPr>
      <w:bookmarkStart w:id="78" w:name="_Toc154652590"/>
      <w:bookmarkEnd w:id="77"/>
      <w:r>
        <w:t>Von der EU-Vorgabe abweichende Regelungen</w:t>
      </w:r>
      <w:bookmarkEnd w:id="78"/>
    </w:p>
    <w:p w14:paraId="4878846B" w14:textId="74E77E27" w:rsidR="00AE4EA7" w:rsidRDefault="00000000">
      <w:pPr>
        <w:spacing w:after="0"/>
      </w:pPr>
      <w:r>
        <w:t>Einige Datenschutzgesetze von deutschen Bundesländern enthalten eigen</w:t>
      </w:r>
      <w:r w:rsidR="002F58B0">
        <w:t>e</w:t>
      </w:r>
      <w:r>
        <w:t xml:space="preserve"> Begriffsdefinitionen, z. B.</w:t>
      </w:r>
    </w:p>
    <w:p w14:paraId="527CC939" w14:textId="77777777" w:rsidR="00AE4EA7" w:rsidRDefault="00000000">
      <w:pPr>
        <w:pStyle w:val="Listenabsatz"/>
        <w:numPr>
          <w:ilvl w:val="0"/>
          <w:numId w:val="14"/>
        </w:numPr>
      </w:pPr>
      <w:r>
        <w:t xml:space="preserve">§ 3 </w:t>
      </w:r>
      <w:r w:rsidRPr="004832F9">
        <w:t>BbgDSG</w:t>
      </w:r>
      <w:r>
        <w:rPr>
          <w:rStyle w:val="Funotenanker"/>
        </w:rPr>
        <w:footnoteReference w:id="19"/>
      </w:r>
    </w:p>
    <w:p w14:paraId="18406D12" w14:textId="77777777" w:rsidR="00AE4EA7" w:rsidRDefault="00000000">
      <w:pPr>
        <w:pStyle w:val="Listenabsatz"/>
        <w:numPr>
          <w:ilvl w:val="0"/>
          <w:numId w:val="14"/>
        </w:numPr>
      </w:pPr>
      <w:r>
        <w:t xml:space="preserve">§ 11 Abs. 2 </w:t>
      </w:r>
      <w:r w:rsidRPr="004832F9">
        <w:t>HmbDSG</w:t>
      </w:r>
      <w:r>
        <w:rPr>
          <w:rStyle w:val="Funotenanker"/>
        </w:rPr>
        <w:footnoteReference w:id="20"/>
      </w:r>
    </w:p>
    <w:p w14:paraId="7AA50B73" w14:textId="77777777" w:rsidR="00AE4EA7" w:rsidRDefault="00000000">
      <w:pPr>
        <w:pStyle w:val="Listenabsatz"/>
        <w:numPr>
          <w:ilvl w:val="0"/>
          <w:numId w:val="14"/>
        </w:numPr>
      </w:pPr>
      <w:r>
        <w:t xml:space="preserve">§ 2 </w:t>
      </w:r>
      <w:r w:rsidRPr="004832F9">
        <w:t>Ziff</w:t>
      </w:r>
      <w:r>
        <w:t xml:space="preserve">. 4 </w:t>
      </w:r>
      <w:r w:rsidRPr="004832F9">
        <w:t>HDSIG</w:t>
      </w:r>
      <w:r>
        <w:rPr>
          <w:rStyle w:val="Funotenanker"/>
        </w:rPr>
        <w:footnoteReference w:id="21"/>
      </w:r>
    </w:p>
    <w:p w14:paraId="28B538A9" w14:textId="77777777" w:rsidR="00AE4EA7" w:rsidRDefault="00000000">
      <w:pPr>
        <w:pStyle w:val="Listenabsatz"/>
        <w:numPr>
          <w:ilvl w:val="0"/>
          <w:numId w:val="14"/>
        </w:numPr>
      </w:pPr>
      <w:r>
        <w:t>§ 4 DSG NRW</w:t>
      </w:r>
      <w:r>
        <w:rPr>
          <w:rStyle w:val="Funotenanker"/>
        </w:rPr>
        <w:footnoteReference w:id="22"/>
      </w:r>
    </w:p>
    <w:p w14:paraId="4B4B64DD" w14:textId="77777777" w:rsidR="00AE4EA7" w:rsidRDefault="00000000">
      <w:pPr>
        <w:pStyle w:val="Listenabsatz"/>
        <w:numPr>
          <w:ilvl w:val="0"/>
          <w:numId w:val="14"/>
        </w:numPr>
      </w:pPr>
      <w:r>
        <w:t xml:space="preserve">§ 13 Abs. 2 </w:t>
      </w:r>
      <w:r w:rsidRPr="004832F9">
        <w:t>LDSG</w:t>
      </w:r>
      <w:r>
        <w:t xml:space="preserve"> </w:t>
      </w:r>
      <w:r w:rsidRPr="004832F9">
        <w:t>SH</w:t>
      </w:r>
      <w:r>
        <w:rPr>
          <w:rStyle w:val="Funotenanker"/>
        </w:rPr>
        <w:footnoteReference w:id="23"/>
      </w:r>
    </w:p>
    <w:p w14:paraId="26695857" w14:textId="77777777" w:rsidR="00AE4EA7" w:rsidRDefault="00000000">
      <w:pPr>
        <w:pStyle w:val="Listenabsatz"/>
        <w:numPr>
          <w:ilvl w:val="0"/>
          <w:numId w:val="14"/>
        </w:numPr>
      </w:pPr>
      <w:r>
        <w:t xml:space="preserve">§ 28 Abs. 3 </w:t>
      </w:r>
      <w:r w:rsidRPr="004832F9">
        <w:t>ThürDSG</w:t>
      </w:r>
      <w:r>
        <w:rPr>
          <w:rStyle w:val="Funotenanker"/>
        </w:rPr>
        <w:footnoteReference w:id="24"/>
      </w:r>
    </w:p>
    <w:p w14:paraId="326EC438" w14:textId="77777777" w:rsidR="00AE4EA7" w:rsidRDefault="00000000">
      <w:r>
        <w:t>Entsprechend Art. 4 Abs. 1 AEUV handelt es sich beim Datenschutz um eine mit den Mitgliedstaaten geteilte Zuständigkeit. Insbesondere auch durch die DS-GVO übte die Union ihre Zuständigkeit für den Datenschutz i.S.v. Art. 2 Abs. 2 S. 2 AEUV</w:t>
      </w:r>
      <w:r>
        <w:rPr>
          <w:rStyle w:val="Funotenanker"/>
        </w:rPr>
        <w:footnoteReference w:id="25"/>
      </w:r>
      <w:r>
        <w:t xml:space="preserve"> aus; mitgliedstaatliche Aktivitäten kommen gemäß Art. 2 Abs. 1 </w:t>
      </w:r>
      <w:r w:rsidRPr="004832F9">
        <w:t>Hs.</w:t>
      </w:r>
      <w:r>
        <w:t> 2 AEUV nur in Betracht, wenn die europäischen Regelungen die Mitgliedstaaten zu eigenen Maßnahmen ermächtigt. Vor Wirkeintritt der Richtlinie (EU) 2019/1024 und der darin enthaltenen Definition der Anonymisierung konnte man vielleicht aus Art. 6 Abs. 2 und 3 DS-GVO ein Recht der Mitgliedstaaten ableiten, den Begriff der Anonymisierung zu konkretisieren; in der Literatur wird jedoch die Meinung vertreten, dass die existierenden landesrechtlichen Regelungen nicht den Vorgaben der DS-GVO genügen</w:t>
      </w:r>
      <w:r>
        <w:rPr>
          <w:rStyle w:val="Funotenanker"/>
        </w:rPr>
        <w:footnoteReference w:id="26"/>
      </w:r>
      <w:r>
        <w:t>.</w:t>
      </w:r>
    </w:p>
    <w:p w14:paraId="5E6A5E2D" w14:textId="3030396C" w:rsidR="00AE4EA7" w:rsidRDefault="004D05D2">
      <w:r>
        <w:t>Spätestens seit dem Wirkeintritt der Richtlinie (EU) 2019/1024 werden nationale Definitionen durch das europäische Recht überlagert: Entsprechend Art. 288 Abs. 2 AEUV</w:t>
      </w:r>
      <w:r>
        <w:rPr>
          <w:rStyle w:val="Funotenanker"/>
        </w:rPr>
        <w:footnoteReference w:id="27"/>
      </w:r>
      <w:r>
        <w:t xml:space="preserve"> gilt, dass Unionsrecht vorrangig gegenüber nationalem Recht anzuwenden ist.</w:t>
      </w:r>
      <w:r>
        <w:rPr>
          <w:rStyle w:val="Funotenanker"/>
        </w:rPr>
        <w:footnoteReference w:id="28"/>
      </w:r>
    </w:p>
    <w:p w14:paraId="31ABC947" w14:textId="36252914" w:rsidR="00AE4EA7" w:rsidRDefault="00000000">
      <w:pPr>
        <w:spacing w:after="0"/>
      </w:pPr>
      <w:r>
        <w:t xml:space="preserve">Auch einige Verbände </w:t>
      </w:r>
      <w:r w:rsidR="004D05D2">
        <w:t>verwenden</w:t>
      </w:r>
      <w:r>
        <w:t xml:space="preserve"> in ihren Veröffentlichungen eigene Begriffsbestimmungen zur Anonymisierung, so finden sich eigene Begriffsbestimmungen z. B. </w:t>
      </w:r>
      <w:r w:rsidRPr="004832F9">
        <w:t>in</w:t>
      </w:r>
    </w:p>
    <w:p w14:paraId="265575F9" w14:textId="5890ACC4" w:rsidR="00AE4EA7" w:rsidRDefault="00000000">
      <w:pPr>
        <w:pStyle w:val="Listenabsatz"/>
        <w:numPr>
          <w:ilvl w:val="0"/>
          <w:numId w:val="14"/>
        </w:numPr>
      </w:pPr>
      <w:r>
        <w:t xml:space="preserve">Bundesverband der </w:t>
      </w:r>
      <w:r w:rsidRPr="004832F9">
        <w:t>Deutschen</w:t>
      </w:r>
      <w:r>
        <w:t xml:space="preserve"> Industrie </w:t>
      </w:r>
      <w:r w:rsidRPr="004832F9">
        <w:t>e.</w:t>
      </w:r>
      <w:r w:rsidR="004832F9" w:rsidRPr="004832F9">
        <w:t> </w:t>
      </w:r>
      <w:r w:rsidRPr="004832F9">
        <w:t>V.</w:t>
      </w:r>
      <w:r>
        <w:t xml:space="preserve"> (BDI): Broschüre „Anonymisierung personenbezogener Daten“, Kapitel 3.3</w:t>
      </w:r>
      <w:r w:rsidRPr="004C1658">
        <w:rPr>
          <w:rStyle w:val="Funotenanker"/>
        </w:rPr>
        <w:footnoteReference w:id="29"/>
      </w:r>
    </w:p>
    <w:p w14:paraId="379B8861" w14:textId="7AA775B0" w:rsidR="00AE4EA7" w:rsidRDefault="00000000">
      <w:pPr>
        <w:pStyle w:val="Listenabsatz"/>
        <w:numPr>
          <w:ilvl w:val="0"/>
          <w:numId w:val="14"/>
        </w:numPr>
      </w:pPr>
      <w:r>
        <w:t>Stiftung Datenschutz: Grundsatzregeln für die Anonymisierung personenbezogener Daten, Kapitel 2</w:t>
      </w:r>
      <w:r w:rsidRPr="004C1658">
        <w:rPr>
          <w:rStyle w:val="Funotenanker"/>
        </w:rPr>
        <w:footnoteReference w:id="30"/>
      </w:r>
    </w:p>
    <w:p w14:paraId="64CBD08C" w14:textId="77777777" w:rsidR="00AE4EA7" w:rsidRDefault="00000000">
      <w:pPr>
        <w:pStyle w:val="Listenabsatz"/>
        <w:numPr>
          <w:ilvl w:val="0"/>
          <w:numId w:val="14"/>
        </w:numPr>
        <w:spacing w:after="0"/>
        <w:ind w:left="714" w:hanging="357"/>
      </w:pPr>
      <w:r>
        <w:t>Stiftung Datenschutz: Praxisleitfaden für die Anonymisierung personenbezogener Daten, Kapitel 2.2</w:t>
      </w:r>
      <w:r>
        <w:rPr>
          <w:rStyle w:val="Funotenanker"/>
        </w:rPr>
        <w:footnoteReference w:id="31"/>
      </w:r>
    </w:p>
    <w:p w14:paraId="7A0C667E" w14:textId="4AA5B44A" w:rsidR="00AE4EA7" w:rsidRDefault="00000000">
      <w:r>
        <w:t xml:space="preserve">Ob die jeweiligen Organisationen die Richtlinie (EU) 2019/1024 nicht kannten oder einfach nur ignorierten ist letztlich unerheblich: Auch hier gilt selbstverständlich, dass das EU-Recht anwendbar und die Definition der Richtlinie (EU) 2019/1024 </w:t>
      </w:r>
      <w:r w:rsidR="004D05D2">
        <w:t xml:space="preserve">somit </w:t>
      </w:r>
      <w:r>
        <w:t xml:space="preserve">vorrangig </w:t>
      </w:r>
      <w:r w:rsidR="004D05D2">
        <w:t>zu beachten und zu verwenden</w:t>
      </w:r>
      <w:r>
        <w:t xml:space="preserve"> ist.</w:t>
      </w:r>
    </w:p>
    <w:p w14:paraId="48C4F598" w14:textId="5202546C" w:rsidR="00AE4EA7" w:rsidRDefault="00000000">
      <w:r>
        <w:t xml:space="preserve">Auch deutsche Aufsichtsbehörden definieren die Anonymisierung mitunter ohne Beachtung der europäischen </w:t>
      </w:r>
      <w:r w:rsidR="004D05D2">
        <w:t>Begriffsbestimmung</w:t>
      </w:r>
      <w:r>
        <w:t>. So findet sich beispielsweise auch im 2020 erschienenen Positionspapier „zur Anonymisierung unter der DSGVO unter besonderer Berücksichtigung der TK-Branche“</w:t>
      </w:r>
      <w:r>
        <w:rPr>
          <w:rStyle w:val="Funotenanker"/>
        </w:rPr>
        <w:footnoteReference w:id="32"/>
      </w:r>
      <w:r>
        <w:t xml:space="preserve"> des BfDI im Abschnitt 1.2 eine eigene Begriffsbestimmung. Natürlich können auch die Datenschutz-Aufsichtsbehörden keine Legaldefinition erlassen, dies </w:t>
      </w:r>
      <w:r w:rsidR="00E027A5">
        <w:t>kann</w:t>
      </w:r>
      <w:r>
        <w:t xml:space="preserve"> nur de</w:t>
      </w:r>
      <w:r w:rsidR="00E027A5">
        <w:t>r</w:t>
      </w:r>
      <w:r>
        <w:t xml:space="preserve"> Gesetzgeber; Datenschutz-Aufsichtsbehörde</w:t>
      </w:r>
      <w:r w:rsidR="00E027A5">
        <w:t>n</w:t>
      </w:r>
      <w:r>
        <w:t xml:space="preserve"> sind Exekutivorgan</w:t>
      </w:r>
      <w:r w:rsidR="00E027A5">
        <w:t>e</w:t>
      </w:r>
      <w:r>
        <w:t xml:space="preserve"> und wenden </w:t>
      </w:r>
      <w:r w:rsidR="00E027A5">
        <w:t xml:space="preserve">das </w:t>
      </w:r>
      <w:r>
        <w:t>Recht an, erlassen es aber nicht.</w:t>
      </w:r>
    </w:p>
    <w:p w14:paraId="470EB1F1" w14:textId="77777777" w:rsidR="00AE4EA7" w:rsidRDefault="00000000">
      <w:pPr>
        <w:pStyle w:val="berschrift2"/>
      </w:pPr>
      <w:bookmarkStart w:id="79" w:name="_Toc154652591"/>
      <w:r>
        <w:t>Anonyme Daten</w:t>
      </w:r>
      <w:bookmarkEnd w:id="79"/>
    </w:p>
    <w:p w14:paraId="19CD4FB5" w14:textId="39B7BDA0" w:rsidR="00AE4EA7" w:rsidRDefault="00000000">
      <w:pPr>
        <w:spacing w:after="0"/>
      </w:pPr>
      <w:r>
        <w:t xml:space="preserve">Entsprechend ErwGr. 52 der Richtlinie (EU) 2019/1024 sind anonyme </w:t>
      </w:r>
      <w:r w:rsidRPr="004C1658">
        <w:t xml:space="preserve">Informationen </w:t>
      </w:r>
      <w:r w:rsidR="00E027A5">
        <w:t xml:space="preserve">solche </w:t>
      </w:r>
      <w:r w:rsidRPr="004C1658">
        <w:t>Informationen</w:t>
      </w:r>
      <w:r>
        <w:t xml:space="preserve">, </w:t>
      </w:r>
      <w:r w:rsidRPr="004832F9">
        <w:t>welche</w:t>
      </w:r>
    </w:p>
    <w:p w14:paraId="74778E78" w14:textId="77777777" w:rsidR="00AE4EA7" w:rsidRDefault="00000000">
      <w:pPr>
        <w:ind w:left="708"/>
      </w:pPr>
      <w:r>
        <w:t>„</w:t>
      </w:r>
      <w:r w:rsidRPr="004832F9">
        <w:t>sich</w:t>
      </w:r>
      <w:r>
        <w:t xml:space="preserve"> nicht auf eine identifizierte oder identifizierbare natürliche Person beziehen, bzw. Informationen, die sich auf personenbezogene Daten beziehen, die so anonymisiert wurden, dass die betroffene Person nicht oder nicht mehr identifiziert werden kann.“</w:t>
      </w:r>
    </w:p>
    <w:p w14:paraId="29A188E2" w14:textId="1EB1D08B" w:rsidR="00AE4EA7" w:rsidRDefault="00000000">
      <w:r>
        <w:t xml:space="preserve">Daraus ergibt sich im Umkehrschluss, dass anonyme Daten weder direkt personenbezogene Daten noch pseudonymisierte Daten sein können. D. h., anonyme Daten sind Daten, bei denen während des gesamten Lebenszyklus der Daten </w:t>
      </w:r>
      <w:r w:rsidR="00C738BE">
        <w:t>k</w:t>
      </w:r>
      <w:r>
        <w:t>eine Zuordnungsmöglichkeit zu einer spezifischen betroffenen Person existiert</w:t>
      </w:r>
      <w:r>
        <w:rPr>
          <w:rStyle w:val="Funotenanker"/>
        </w:rPr>
        <w:footnoteReference w:id="33"/>
      </w:r>
      <w:r>
        <w:t>.</w:t>
      </w:r>
    </w:p>
    <w:p w14:paraId="350D002C" w14:textId="3C544751" w:rsidR="00AE4EA7" w:rsidRDefault="00000000">
      <w:r>
        <w:t>Am 26. April 2023 urteilte d</w:t>
      </w:r>
      <w:r w:rsidR="00B979F5">
        <w:t>as</w:t>
      </w:r>
      <w:r>
        <w:t xml:space="preserve"> </w:t>
      </w:r>
      <w:r w:rsidRPr="004832F9">
        <w:t>EuG</w:t>
      </w:r>
      <w:r>
        <w:rPr>
          <w:rStyle w:val="Funotenanker"/>
        </w:rPr>
        <w:footnoteReference w:id="34"/>
      </w:r>
      <w:r>
        <w:t>, dass es sich bei der Beurteilung, ob es sich bei an Dritten übermittelte Daten um personenbezogene Daten handelt, auf das Verständnis abzustellen ist, das dieser Dritte bei der Bestimmung der Frage hat, ob die ih</w:t>
      </w:r>
      <w:r w:rsidR="004F4854">
        <w:t>m</w:t>
      </w:r>
      <w:r>
        <w:t xml:space="preserve"> übermittelten Informationen sich auf „identifizierbare Personen“ beziehen. Wenn nur der Sender, nicht jedoch der Empfänger eine Re-Identifizierung durchführen kann, seien diese Daten anonym. Gegen diese Entscheidung legte der </w:t>
      </w:r>
      <w:r w:rsidRPr="004832F9">
        <w:t>Europäischen</w:t>
      </w:r>
      <w:r>
        <w:t xml:space="preserve"> Datenschutzbeauftragte Rechtsmittel ein</w:t>
      </w:r>
      <w:r>
        <w:rPr>
          <w:rStyle w:val="Funotenanker"/>
        </w:rPr>
        <w:footnoteReference w:id="35"/>
      </w:r>
      <w:r>
        <w:t xml:space="preserve">, das Verfahren ist </w:t>
      </w:r>
      <w:r w:rsidR="004D05D2">
        <w:t xml:space="preserve">zum Zeitpunkt der Erstellung dieser </w:t>
      </w:r>
      <w:r w:rsidR="007F605E">
        <w:t>Praxishilfe</w:t>
      </w:r>
      <w:r>
        <w:t xml:space="preserve"> beim EuGH anhängig.</w:t>
      </w:r>
    </w:p>
    <w:p w14:paraId="4ECC690E" w14:textId="5D0E16B4" w:rsidR="00AE4EA7" w:rsidRDefault="00D720C3" w:rsidP="00D720C3">
      <w:pPr>
        <w:pStyle w:val="berschrift2"/>
      </w:pPr>
      <w:bookmarkStart w:id="80" w:name="_Toc154652592"/>
      <w:r>
        <w:t xml:space="preserve">Pseudonyme vs. </w:t>
      </w:r>
      <w:r w:rsidR="00232822">
        <w:t>a</w:t>
      </w:r>
      <w:r>
        <w:t xml:space="preserve">nonyme </w:t>
      </w:r>
      <w:r w:rsidR="004C1658" w:rsidRPr="004C1658">
        <w:t>D</w:t>
      </w:r>
      <w:r w:rsidRPr="004C1658">
        <w:t>aten</w:t>
      </w:r>
      <w:r>
        <w:t>: Kurzdarstellung der Unterschiede</w:t>
      </w:r>
      <w:bookmarkEnd w:id="80"/>
    </w:p>
    <w:p w14:paraId="0E029ABC" w14:textId="4CB2DF97" w:rsidR="0031283D" w:rsidRPr="0031283D" w:rsidRDefault="0031283D" w:rsidP="0031283D">
      <w:r>
        <w:t xml:space="preserve">Sowohl pseudonyme als auch anonyme Daten sind für den Verantwortlichen keiner spezifischen betroffenen Person zuordenbar. Der Unterschied zwischen anonymen und pseudonymen Daten </w:t>
      </w:r>
      <w:r w:rsidR="004D05D2">
        <w:t>besteht</w:t>
      </w:r>
      <w:r>
        <w:t xml:space="preserve"> darin, dass bei pseudonymen Daten außerhalb der Zugriffsmöglichkeiten des für die Verarbeitung Verantwortlichen grundsätzlich eine Zuordnungsmöglichkeit besteht oder bestehen könnte, bei anonymen Daten hingegen für niemanden eine Zuordnungsmöglichkeit vorhanden ist.</w:t>
      </w:r>
    </w:p>
    <w:tbl>
      <w:tblPr>
        <w:tblStyle w:val="Tabellenraster"/>
        <w:tblW w:w="0" w:type="auto"/>
        <w:tblLook w:val="04A0" w:firstRow="1" w:lastRow="0" w:firstColumn="1" w:lastColumn="0" w:noHBand="0" w:noVBand="1"/>
      </w:tblPr>
      <w:tblGrid>
        <w:gridCol w:w="4606"/>
        <w:gridCol w:w="4606"/>
      </w:tblGrid>
      <w:tr w:rsidR="00D720C3" w14:paraId="00EF350C" w14:textId="77777777" w:rsidTr="00D720C3">
        <w:tc>
          <w:tcPr>
            <w:tcW w:w="4606" w:type="dxa"/>
          </w:tcPr>
          <w:p w14:paraId="4EFF4962" w14:textId="6344F18E" w:rsidR="00D720C3" w:rsidRPr="00D720C3" w:rsidRDefault="00D720C3" w:rsidP="00D720C3">
            <w:pPr>
              <w:contextualSpacing/>
              <w:jc w:val="center"/>
              <w:rPr>
                <w:b/>
                <w:bCs/>
              </w:rPr>
            </w:pPr>
            <w:r w:rsidRPr="00D720C3">
              <w:rPr>
                <w:b/>
                <w:bCs/>
              </w:rPr>
              <w:t>Pseudonyme Daten</w:t>
            </w:r>
          </w:p>
        </w:tc>
        <w:tc>
          <w:tcPr>
            <w:tcW w:w="4606" w:type="dxa"/>
          </w:tcPr>
          <w:p w14:paraId="32AF0F6A" w14:textId="78D3C4F7" w:rsidR="00D720C3" w:rsidRPr="00D720C3" w:rsidRDefault="00D720C3" w:rsidP="00D720C3">
            <w:pPr>
              <w:contextualSpacing/>
              <w:jc w:val="center"/>
              <w:rPr>
                <w:b/>
                <w:bCs/>
              </w:rPr>
            </w:pPr>
            <w:r w:rsidRPr="00D720C3">
              <w:rPr>
                <w:b/>
                <w:bCs/>
              </w:rPr>
              <w:t>Anonyme Daten</w:t>
            </w:r>
          </w:p>
        </w:tc>
      </w:tr>
      <w:tr w:rsidR="00D720C3" w14:paraId="449C1E79" w14:textId="77777777" w:rsidTr="00D720C3">
        <w:tc>
          <w:tcPr>
            <w:tcW w:w="4606" w:type="dxa"/>
          </w:tcPr>
          <w:p w14:paraId="7A08A626" w14:textId="6F3DB124" w:rsidR="00D720C3" w:rsidRDefault="00D720C3" w:rsidP="00D720C3">
            <w:pPr>
              <w:contextualSpacing/>
            </w:pPr>
            <w:r w:rsidRPr="00D720C3">
              <w:t>Daten ohne Hinzuziehung zusätzlicher Informationen nicht mehr einer spezifischen betroffenen Person</w:t>
            </w:r>
            <w:r>
              <w:t xml:space="preserve"> </w:t>
            </w:r>
            <w:r w:rsidR="006330C9">
              <w:t>zuordenbar</w:t>
            </w:r>
          </w:p>
        </w:tc>
        <w:tc>
          <w:tcPr>
            <w:tcW w:w="4606" w:type="dxa"/>
          </w:tcPr>
          <w:p w14:paraId="38DB0002" w14:textId="7F06A96C" w:rsidR="00D720C3" w:rsidRDefault="00D720C3" w:rsidP="00D720C3">
            <w:pPr>
              <w:contextualSpacing/>
            </w:pPr>
            <w:r>
              <w:t xml:space="preserve">Betroffene </w:t>
            </w:r>
            <w:r w:rsidRPr="00D720C3">
              <w:t xml:space="preserve">Person </w:t>
            </w:r>
            <w:r>
              <w:t xml:space="preserve">kann </w:t>
            </w:r>
            <w:r w:rsidRPr="004832F9">
              <w:t>mit Hilfe</w:t>
            </w:r>
            <w:r>
              <w:t xml:space="preserve"> der Daten </w:t>
            </w:r>
            <w:r w:rsidRPr="00D720C3">
              <w:t xml:space="preserve">nicht mehr identifiziert </w:t>
            </w:r>
            <w:r w:rsidRPr="004832F9">
              <w:t>werden</w:t>
            </w:r>
          </w:p>
        </w:tc>
      </w:tr>
      <w:tr w:rsidR="006330C9" w14:paraId="20E1AE47" w14:textId="77777777" w:rsidTr="00D720C3">
        <w:tc>
          <w:tcPr>
            <w:tcW w:w="4606" w:type="dxa"/>
          </w:tcPr>
          <w:p w14:paraId="40F58018" w14:textId="4A71E51A" w:rsidR="006330C9" w:rsidRPr="00D720C3" w:rsidRDefault="006330C9" w:rsidP="00D720C3">
            <w:pPr>
              <w:contextualSpacing/>
            </w:pPr>
            <w:r>
              <w:t xml:space="preserve">Zusätzliche Informationen müssen gesondert aufbewahrt werden, sodass die Verantwortlichen keine Zugriffsmöglichkeit auf diese Informationen </w:t>
            </w:r>
            <w:r w:rsidRPr="004832F9">
              <w:t>haben</w:t>
            </w:r>
          </w:p>
        </w:tc>
        <w:tc>
          <w:tcPr>
            <w:tcW w:w="4606" w:type="dxa"/>
          </w:tcPr>
          <w:p w14:paraId="253FEFDD" w14:textId="18CC67DA" w:rsidR="006330C9" w:rsidRDefault="006330C9" w:rsidP="00D720C3">
            <w:pPr>
              <w:contextualSpacing/>
            </w:pPr>
            <w:r>
              <w:t>Es existieren keine zusätzlichen Informationen, mit denen Daten einer spezifischen Person zuordenbar sind.</w:t>
            </w:r>
          </w:p>
        </w:tc>
      </w:tr>
      <w:tr w:rsidR="00D720C3" w14:paraId="64D98B5C" w14:textId="77777777" w:rsidTr="00D720C3">
        <w:tc>
          <w:tcPr>
            <w:tcW w:w="4606" w:type="dxa"/>
          </w:tcPr>
          <w:p w14:paraId="73D2B12C" w14:textId="2E60555B" w:rsidR="00D720C3" w:rsidRDefault="00D720C3" w:rsidP="00D720C3">
            <w:pPr>
              <w:contextualSpacing/>
            </w:pPr>
            <w:r>
              <w:t xml:space="preserve">Pseudonymisierung ist </w:t>
            </w:r>
            <w:r w:rsidRPr="004832F9">
              <w:t>reversibel</w:t>
            </w:r>
          </w:p>
        </w:tc>
        <w:tc>
          <w:tcPr>
            <w:tcW w:w="4606" w:type="dxa"/>
          </w:tcPr>
          <w:p w14:paraId="74E3DE71" w14:textId="63D7CAB4" w:rsidR="00D720C3" w:rsidRDefault="00D720C3" w:rsidP="00D720C3">
            <w:pPr>
              <w:contextualSpacing/>
            </w:pPr>
            <w:r>
              <w:t xml:space="preserve">Anonymisierung ist </w:t>
            </w:r>
            <w:r w:rsidRPr="004832F9">
              <w:t>irreversibel</w:t>
            </w:r>
          </w:p>
        </w:tc>
      </w:tr>
      <w:tr w:rsidR="00D720C3" w14:paraId="53F44E4A" w14:textId="77777777" w:rsidTr="00D720C3">
        <w:tc>
          <w:tcPr>
            <w:tcW w:w="4606" w:type="dxa"/>
          </w:tcPr>
          <w:p w14:paraId="4D12CCF0" w14:textId="336F393F" w:rsidR="00D720C3" w:rsidRDefault="00D720C3" w:rsidP="00D720C3">
            <w:pPr>
              <w:contextualSpacing/>
            </w:pPr>
            <w:r>
              <w:t>Re-Identifizierung möglich</w:t>
            </w:r>
          </w:p>
        </w:tc>
        <w:tc>
          <w:tcPr>
            <w:tcW w:w="4606" w:type="dxa"/>
          </w:tcPr>
          <w:p w14:paraId="654CF232" w14:textId="3297F328" w:rsidR="00D720C3" w:rsidRDefault="00D720C3" w:rsidP="00D720C3">
            <w:pPr>
              <w:contextualSpacing/>
            </w:pPr>
            <w:r>
              <w:t xml:space="preserve">Re-Identifizierung </w:t>
            </w:r>
            <w:r w:rsidR="00D8063F">
              <w:t xml:space="preserve">nicht </w:t>
            </w:r>
            <w:r w:rsidR="006330C9">
              <w:t>möglich</w:t>
            </w:r>
          </w:p>
        </w:tc>
      </w:tr>
    </w:tbl>
    <w:p w14:paraId="6D6DE1DC" w14:textId="77777777" w:rsidR="004F4854" w:rsidRDefault="004F4854" w:rsidP="004F4854">
      <w:pPr>
        <w:spacing w:after="0" w:line="240" w:lineRule="auto"/>
        <w:jc w:val="left"/>
      </w:pPr>
    </w:p>
    <w:p w14:paraId="4EDB9CCD" w14:textId="6E89125C" w:rsidR="006D01EC" w:rsidRDefault="006D01EC" w:rsidP="00D720C3"/>
    <w:p w14:paraId="1B9238E1" w14:textId="77777777" w:rsidR="006D01EC" w:rsidRDefault="006D01EC">
      <w:pPr>
        <w:spacing w:after="0" w:line="240" w:lineRule="auto"/>
        <w:jc w:val="left"/>
      </w:pPr>
      <w:r>
        <w:br w:type="page"/>
      </w:r>
    </w:p>
    <w:p w14:paraId="49A14D55" w14:textId="77777777" w:rsidR="00AE4EA7" w:rsidRDefault="00000000">
      <w:pPr>
        <w:pStyle w:val="berschrift1"/>
      </w:pPr>
      <w:bookmarkStart w:id="81" w:name="_Ref149974051"/>
      <w:bookmarkStart w:id="82" w:name="_Toc154652593"/>
      <w:r>
        <w:t>Rechtliche Rahmenbedingungen</w:t>
      </w:r>
      <w:bookmarkEnd w:id="81"/>
      <w:bookmarkEnd w:id="82"/>
    </w:p>
    <w:p w14:paraId="4C20A4FF" w14:textId="77777777" w:rsidR="00AE4EA7" w:rsidRDefault="00000000">
      <w:pPr>
        <w:pStyle w:val="berschrift2"/>
      </w:pPr>
      <w:bookmarkStart w:id="83" w:name="_Ref150540537"/>
      <w:bookmarkStart w:id="84" w:name="_Toc154652594"/>
      <w:r>
        <w:t>Erlaubnistatbestand Pseudonymisierung/Anonymisierung</w:t>
      </w:r>
      <w:bookmarkEnd w:id="83"/>
      <w:bookmarkEnd w:id="84"/>
    </w:p>
    <w:p w14:paraId="1B66B2CA" w14:textId="4581FE5B" w:rsidR="00AE4EA7" w:rsidRDefault="004D05D2">
      <w:r>
        <w:t xml:space="preserve">Bei der Pseudonymisierung als auch bei der Anonymisierung handelt es sich um eine Verarbeitung gemäß Art. 4 </w:t>
      </w:r>
      <w:r w:rsidRPr="004832F9">
        <w:t>Ziff</w:t>
      </w:r>
      <w:r>
        <w:t>. 2 DS-GVO.</w:t>
      </w:r>
      <w:r>
        <w:rPr>
          <w:rStyle w:val="Funotenzeichen"/>
        </w:rPr>
        <w:footnoteReference w:id="36"/>
      </w:r>
      <w:r>
        <w:t xml:space="preserve"> Es ist daher sowohl für eine Anonymisierung </w:t>
      </w:r>
      <w:r w:rsidR="006330C9">
        <w:t>als</w:t>
      </w:r>
      <w:r>
        <w:t xml:space="preserve"> auch für eine Pseudonymisierung von </w:t>
      </w:r>
      <w:bookmarkStart w:id="85" w:name="_Hlk154301317"/>
      <w:r>
        <w:t>Gesundheitsdaten ein Erlaubnistatbestand gem. Art. 9 Abs. 2 DS-GVO</w:t>
      </w:r>
      <w:r w:rsidR="00463704">
        <w:rPr>
          <w:rStyle w:val="Funotenzeichen"/>
        </w:rPr>
        <w:footnoteReference w:id="37"/>
      </w:r>
      <w:r>
        <w:t xml:space="preserve"> </w:t>
      </w:r>
      <w:r w:rsidR="00463704">
        <w:t>und ergänzend</w:t>
      </w:r>
      <w:r w:rsidR="00463704">
        <w:rPr>
          <w:rStyle w:val="Funotenzeichen"/>
        </w:rPr>
        <w:footnoteReference w:id="38"/>
      </w:r>
      <w:r>
        <w:t xml:space="preserve"> Art. 6 Abs. 1 DS-GVO</w:t>
      </w:r>
      <w:r w:rsidR="00463704">
        <w:rPr>
          <w:rStyle w:val="Funotenzeichen"/>
        </w:rPr>
        <w:footnoteReference w:id="39"/>
      </w:r>
      <w:r>
        <w:t xml:space="preserve"> </w:t>
      </w:r>
      <w:r w:rsidR="00EE28F8">
        <w:t>erforderlich</w:t>
      </w:r>
      <w:bookmarkEnd w:id="85"/>
      <w:r w:rsidR="007F605E">
        <w:t>.</w:t>
      </w:r>
      <w:r w:rsidR="00EE28F8">
        <w:t xml:space="preserve"> </w:t>
      </w:r>
      <w:r w:rsidR="007F605E">
        <w:t>F</w:t>
      </w:r>
      <w:r>
        <w:t xml:space="preserve">ür Daten, </w:t>
      </w:r>
      <w:r w:rsidR="00EE28F8">
        <w:t>welche</w:t>
      </w:r>
      <w:r>
        <w:t xml:space="preserve"> nicht zu den </w:t>
      </w:r>
      <w:r w:rsidR="00EE28F8">
        <w:t xml:space="preserve">in Art. 9 Abs. 1 DS-GVO genannten </w:t>
      </w:r>
      <w:r>
        <w:t xml:space="preserve">besonderen Kategorien zählen, </w:t>
      </w:r>
      <w:bookmarkStart w:id="87" w:name="_Hlk154301423"/>
      <w:r w:rsidR="00EE28F8">
        <w:t xml:space="preserve">müssen nur die </w:t>
      </w:r>
      <w:r w:rsidR="00EE28F8" w:rsidRPr="00463704">
        <w:t>in Art</w:t>
      </w:r>
      <w:r w:rsidR="00EE28F8">
        <w:t>. </w:t>
      </w:r>
      <w:r w:rsidR="00EE28F8" w:rsidRPr="00463704">
        <w:t>6 Abs.</w:t>
      </w:r>
      <w:r w:rsidR="00EE28F8">
        <w:t> </w:t>
      </w:r>
      <w:r w:rsidR="00EE28F8" w:rsidRPr="00463704">
        <w:t xml:space="preserve">1 </w:t>
      </w:r>
      <w:r w:rsidR="00EE28F8">
        <w:t xml:space="preserve">DS-GVO </w:t>
      </w:r>
      <w:r w:rsidR="00EE28F8" w:rsidRPr="00463704">
        <w:t>genannten Rechtmäßigkeitsvoraussetzungen erfüllt</w:t>
      </w:r>
      <w:r w:rsidR="00EE28F8">
        <w:t xml:space="preserve"> sein</w:t>
      </w:r>
      <w:bookmarkEnd w:id="87"/>
      <w:r w:rsidRPr="004832F9">
        <w:t>.</w:t>
      </w:r>
    </w:p>
    <w:p w14:paraId="4DE5B54A" w14:textId="4780EA3D" w:rsidR="00AE4EA7" w:rsidRDefault="00000000">
      <w:r>
        <w:t>Dabei ist zu beachten, dass Art. 5 Abs. 1 lit. </w:t>
      </w:r>
      <w:r w:rsidR="006330C9">
        <w:t>b</w:t>
      </w:r>
      <w:r>
        <w:t xml:space="preserve"> DS-GVO keine strenge Zweckbindung fordert</w:t>
      </w:r>
      <w:r>
        <w:rPr>
          <w:rStyle w:val="Funotenanker"/>
        </w:rPr>
        <w:footnoteReference w:id="40"/>
      </w:r>
      <w:r>
        <w:t>, sondern lediglich verlangt, dass der Sekundärzweck mit dem Primärzweck „vereinbar“ ist („dürfen nicht in einer mit diesen Zwecken nicht zu vereinbarenden Weise weiterverarbeitet werden“). Bei der Beurteilung, ob ein Sekundärzweck mit dem Primärzweck vereinbar ist</w:t>
      </w:r>
      <w:r w:rsidR="00496737">
        <w:t>,</w:t>
      </w:r>
      <w:r>
        <w:t xml:space="preserve"> muss Art. 6 Abs. 4 DS-GVO berücksichtigt werden.</w:t>
      </w:r>
    </w:p>
    <w:p w14:paraId="0068C3C9" w14:textId="77777777" w:rsidR="00AE4EA7" w:rsidRDefault="00000000">
      <w:pPr>
        <w:pStyle w:val="berschrift3"/>
      </w:pPr>
      <w:bookmarkStart w:id="88" w:name="_Toc154652595"/>
      <w:r>
        <w:t>Einwilligung</w:t>
      </w:r>
      <w:bookmarkEnd w:id="88"/>
    </w:p>
    <w:p w14:paraId="4E2B98B6" w14:textId="45B3F559" w:rsidR="00AE4EA7" w:rsidRDefault="00000000">
      <w:r>
        <w:t>Existiert kein gesetzlicher Erlaubnistatbestand, so ist zur Pseudonymisierung oder Anonymisierung die Einholung einer rechtsgültigen Einwilligung</w:t>
      </w:r>
      <w:r w:rsidR="00463704">
        <w:rPr>
          <w:rStyle w:val="Funotenzeichen"/>
        </w:rPr>
        <w:footnoteReference w:id="41"/>
      </w:r>
      <w:r>
        <w:t xml:space="preserve"> der betroffenen Person bzw. Personen erforderlich. Hierbei sind alle von der DS-GVO genannten Vorgaben/Rahmenbedingungen einzuhalten.</w:t>
      </w:r>
      <w:r>
        <w:rPr>
          <w:rStyle w:val="Funotenanker"/>
        </w:rPr>
        <w:footnoteReference w:id="42"/>
      </w:r>
    </w:p>
    <w:p w14:paraId="243B7AA2" w14:textId="6A4F247D" w:rsidR="00496737" w:rsidRDefault="00496737">
      <w:pPr>
        <w:pStyle w:val="berschrift3"/>
      </w:pPr>
      <w:bookmarkStart w:id="91" w:name="_Toc154652596"/>
      <w:r>
        <w:t>Sonderfall „Zweckvereinbarkeit“</w:t>
      </w:r>
      <w:bookmarkEnd w:id="91"/>
    </w:p>
    <w:p w14:paraId="3F06B0C4" w14:textId="10893DD4" w:rsidR="00496737" w:rsidRDefault="00496737" w:rsidP="00496737">
      <w:r>
        <w:t xml:space="preserve">Entsprechend Art. 5 Abs. 1 lit. b </w:t>
      </w:r>
      <w:r w:rsidRPr="004832F9">
        <w:t>Hs.</w:t>
      </w:r>
      <w:r>
        <w:t> 1 DS-GVO müssen p</w:t>
      </w:r>
      <w:r w:rsidRPr="00496737">
        <w:t>ersonenbezogene Daten</w:t>
      </w:r>
      <w:r>
        <w:t xml:space="preserve"> „</w:t>
      </w:r>
      <w:r w:rsidRPr="00496737">
        <w:t>für festgelegte, eindeutige und legitime Zwecke erhoben werden und dürfen nicht in einer mit diesen Zwecken nicht zu vereinbarenden Weise weiterverarbeitet werden</w:t>
      </w:r>
      <w:r>
        <w:t>“</w:t>
      </w:r>
      <w:r w:rsidR="00E027A5">
        <w:t>.</w:t>
      </w:r>
      <w:r>
        <w:t xml:space="preserve"> </w:t>
      </w:r>
      <w:r w:rsidR="00E027A5">
        <w:t>D</w:t>
      </w:r>
      <w:r>
        <w:t>ie</w:t>
      </w:r>
      <w:r w:rsidR="00E027A5">
        <w:t>se</w:t>
      </w:r>
      <w:r>
        <w:t xml:space="preserve"> </w:t>
      </w:r>
      <w:r w:rsidR="00E027A5">
        <w:t>Anf</w:t>
      </w:r>
      <w:r>
        <w:t xml:space="preserve">orderung ist unter </w:t>
      </w:r>
      <w:r w:rsidR="00E027A5">
        <w:t xml:space="preserve">dem Begriff </w:t>
      </w:r>
      <w:r>
        <w:t>„Zweckbindung“ allgemein bekannt. Eine spätere Zweckänderung ist daher grundsätzlich nicht zulässig.</w:t>
      </w:r>
    </w:p>
    <w:p w14:paraId="68662802" w14:textId="7C15B4F8" w:rsidR="00496737" w:rsidRDefault="00496737" w:rsidP="00496737">
      <w:r>
        <w:t xml:space="preserve">In ErwGr. 50 S. 1 DS-GVO findet sich, dass eine </w:t>
      </w:r>
      <w:r w:rsidRPr="00496737">
        <w:rPr>
          <w:b/>
          <w:bCs/>
        </w:rPr>
        <w:t>Verarbeitung für andere Zwecke</w:t>
      </w:r>
      <w:r w:rsidRPr="00496737">
        <w:t xml:space="preserve"> als die, für die die personenbezogenen Daten ursprünglich erhoben wurden,</w:t>
      </w:r>
      <w:r>
        <w:t xml:space="preserve"> </w:t>
      </w:r>
      <w:r w:rsidRPr="00496737">
        <w:rPr>
          <w:b/>
          <w:bCs/>
        </w:rPr>
        <w:t>zulässig</w:t>
      </w:r>
      <w:r w:rsidRPr="00496737">
        <w:t xml:space="preserve"> sein</w:t>
      </w:r>
      <w:r>
        <w:t xml:space="preserve"> sollte</w:t>
      </w:r>
      <w:r w:rsidRPr="00496737">
        <w:t xml:space="preserve">, </w:t>
      </w:r>
      <w:r w:rsidRPr="00496737">
        <w:rPr>
          <w:b/>
          <w:bCs/>
        </w:rPr>
        <w:t>wenn</w:t>
      </w:r>
      <w:r w:rsidRPr="00496737">
        <w:t xml:space="preserve"> die Verarbeitung </w:t>
      </w:r>
      <w:r w:rsidRPr="00496737">
        <w:rPr>
          <w:b/>
          <w:bCs/>
        </w:rPr>
        <w:t>mit den Zwecken, für die die personenbezogenen Daten ursprünglich erhoben wurden, vereinbar</w:t>
      </w:r>
      <w:r w:rsidRPr="00496737">
        <w:t xml:space="preserve"> ist.</w:t>
      </w:r>
      <w:r>
        <w:t xml:space="preserve"> Dies entspricht auch der Forderung der Zweckbindung in Art. 5 Abs. 1 lit. b DS-GVO, welche nur Verarbeitungen zu Zwecken verbietet, die nicht mit den Zwecken, zu denen </w:t>
      </w:r>
      <w:r w:rsidR="00E027A5">
        <w:t xml:space="preserve">die </w:t>
      </w:r>
      <w:r>
        <w:t>Daten erhoben wurden, vereinbar ist.</w:t>
      </w:r>
    </w:p>
    <w:p w14:paraId="6AFBCF29" w14:textId="58264E59" w:rsidR="00496737" w:rsidRDefault="00496737" w:rsidP="00496737">
      <w:r>
        <w:t>ErwGr. 50 S. 2 DS-GVO führt weiterhin aus, dass in Fällen der Vereinbarkeit des neuen Zweckes mit dem ursprünglichen Zweck „</w:t>
      </w:r>
      <w:r w:rsidRPr="00496737">
        <w:t xml:space="preserve">keine andere gesonderte Rechtsgrundlage erforderlich </w:t>
      </w:r>
      <w:r w:rsidR="00723031">
        <w:t xml:space="preserve">[ist] </w:t>
      </w:r>
      <w:r w:rsidRPr="00496737">
        <w:t>als diejenige für die Erhebung der personenbezogenen Daten</w:t>
      </w:r>
      <w:r>
        <w:t xml:space="preserve">“. Hieraus wird in der juristischen Literatur </w:t>
      </w:r>
      <w:r w:rsidR="007F605E">
        <w:t xml:space="preserve">teilweise </w:t>
      </w:r>
      <w:r>
        <w:t>abgeleitet, dass in diesen Fällen kein weiterer Erlaubnistatbestand benötigt wird, andere lehnen diese Sichtweise ab, da Art. 6 Abs. 1 DS-GVO grundsätzlich die Erfüllung der im ersten Absatz genannten Bedingungen fordert.</w:t>
      </w:r>
    </w:p>
    <w:p w14:paraId="7A4C20E9" w14:textId="01009C85" w:rsidR="00496737" w:rsidRDefault="00496737" w:rsidP="00496737">
      <w:r>
        <w:t>Zu beachten ist, dass bei einer Zweckänderung entsprechend Art. 6 Abs. 4 DS-GVO eine Prüfung auf Zweckvereinbarkeit mit dem ursprünglichen Zweck erfolgen muss. Art. 6 Abs. 4 DS-GVO enthält einen nicht abschließenden Katalog, welcher als Grundlage zur Abklärung der Vereinbarkeit von neuem und ursprüngliche</w:t>
      </w:r>
      <w:r w:rsidR="00E027A5">
        <w:t>m</w:t>
      </w:r>
      <w:r>
        <w:t xml:space="preserve"> Zweck bearbeitet werden muss.</w:t>
      </w:r>
    </w:p>
    <w:p w14:paraId="7FCD20F6" w14:textId="0F814D45" w:rsidR="00496737" w:rsidRDefault="00496737" w:rsidP="00496737">
      <w:pPr>
        <w:spacing w:after="0"/>
      </w:pPr>
      <w:r>
        <w:t>B</w:t>
      </w:r>
      <w:r w:rsidR="00E027A5">
        <w:t>ei der</w:t>
      </w:r>
      <w:r>
        <w:t xml:space="preserve"> „Zweckvereinbarkeit“ als Rechtsgrundlage muss daher beachtet werden:</w:t>
      </w:r>
    </w:p>
    <w:p w14:paraId="35182CC1" w14:textId="4E8121DE" w:rsidR="00496737" w:rsidRDefault="006330C9" w:rsidP="00496737">
      <w:pPr>
        <w:pStyle w:val="Listenabsatz"/>
        <w:numPr>
          <w:ilvl w:val="0"/>
          <w:numId w:val="28"/>
        </w:numPr>
      </w:pPr>
      <w:r>
        <w:t>O</w:t>
      </w:r>
      <w:r w:rsidR="00496737">
        <w:t>b bei Vorhandensein einer Zweckvereinbarkeit kein weiterer Erlaubnistatbestand benötigt wird, ist rechtlich nicht geklärt, auch wenn viel für die Annahme spricht. Wer Sicherheit benötigt (z. B. weil bei einer gerichtlich erzwungenen Löschung von Daten ggf. ein Produktrückruf erforderlich wird), sollte bzgl. der neuen Verarbeitung einen eigenen Erlaubnistatbestand nachweisen können.</w:t>
      </w:r>
    </w:p>
    <w:p w14:paraId="74B6828D" w14:textId="392D2EB1" w:rsidR="00496737" w:rsidRDefault="00463704" w:rsidP="00463704">
      <w:pPr>
        <w:pStyle w:val="Listenabsatz"/>
        <w:numPr>
          <w:ilvl w:val="0"/>
          <w:numId w:val="28"/>
        </w:numPr>
      </w:pPr>
      <w:r>
        <w:t xml:space="preserve">Grundsätzlich muss bei der Verarbeitung von in Art. 9 Abs. 1 </w:t>
      </w:r>
      <w:r w:rsidRPr="004832F9">
        <w:t>DS-GVO</w:t>
      </w:r>
      <w:r>
        <w:t xml:space="preserve"> genannten besonderen Kategorien von Daten immer mindestens einer der in </w:t>
      </w:r>
      <w:r w:rsidRPr="00463704">
        <w:t>Art.</w:t>
      </w:r>
      <w:r>
        <w:t> </w:t>
      </w:r>
      <w:r w:rsidRPr="00463704">
        <w:t>9 Abs.</w:t>
      </w:r>
      <w:r>
        <w:t> </w:t>
      </w:r>
      <w:r w:rsidRPr="00463704">
        <w:t>2</w:t>
      </w:r>
      <w:r>
        <w:t xml:space="preserve"> DS-GVO genannten Erlaubnistatbestände die Verarbeitung legitimierend, ergänzend muss </w:t>
      </w:r>
      <w:r w:rsidRPr="00463704">
        <w:t>auch mindestens eine der in Art</w:t>
      </w:r>
      <w:r>
        <w:t>. </w:t>
      </w:r>
      <w:r w:rsidRPr="00463704">
        <w:t>6 Abs.</w:t>
      </w:r>
      <w:r>
        <w:t> </w:t>
      </w:r>
      <w:r w:rsidRPr="00463704">
        <w:t xml:space="preserve">1 </w:t>
      </w:r>
      <w:r>
        <w:t xml:space="preserve">DS-GVO </w:t>
      </w:r>
      <w:r w:rsidRPr="00463704">
        <w:t>genannten Rechtmäßigkeitsvoraussetzungen erfüllt</w:t>
      </w:r>
      <w:r>
        <w:t xml:space="preserve"> sein</w:t>
      </w:r>
      <w:r w:rsidRPr="00463704">
        <w:t>.</w:t>
      </w:r>
      <w:r w:rsidRPr="00463704">
        <w:rPr>
          <w:rStyle w:val="Funotenzeichen"/>
        </w:rPr>
        <w:t xml:space="preserve"> </w:t>
      </w:r>
      <w:r>
        <w:rPr>
          <w:rStyle w:val="Funotenzeichen"/>
        </w:rPr>
        <w:footnoteReference w:id="43"/>
      </w:r>
      <w:r>
        <w:t xml:space="preserve"> Somit reicht </w:t>
      </w:r>
      <w:r w:rsidR="00EE28F8">
        <w:t>e</w:t>
      </w:r>
      <w:r>
        <w:t>ine Interessenabwägung nach Art. 6 Abs. 1 lit. f DS-GVO alleine nicht aus, um eine Verarbeitung von genetischen oder Gesundheitsdaten zu legitimieren: Es muss immer auch mindestens ein Erlaubnistatbestand entsprechend Art. 9 Abs. 2 lit. a-j DS-GVO erfüllt sein.</w:t>
      </w:r>
    </w:p>
    <w:p w14:paraId="7FFE6B83" w14:textId="356E6355" w:rsidR="00496737" w:rsidRPr="00496737" w:rsidRDefault="00496737" w:rsidP="00496737">
      <w:pPr>
        <w:pStyle w:val="Listenabsatz"/>
        <w:numPr>
          <w:ilvl w:val="0"/>
          <w:numId w:val="28"/>
        </w:numPr>
      </w:pPr>
      <w:r>
        <w:t>Die Vereinbarkeit de</w:t>
      </w:r>
      <w:r w:rsidR="00B979F5">
        <w:t>s</w:t>
      </w:r>
      <w:r>
        <w:t xml:space="preserve"> Zweck</w:t>
      </w:r>
      <w:r w:rsidR="00B979F5">
        <w:t>es</w:t>
      </w:r>
      <w:r>
        <w:t>, zu dem die Daten</w:t>
      </w:r>
      <w:r w:rsidR="00B979F5">
        <w:t xml:space="preserve"> ursprünglich</w:t>
      </w:r>
      <w:r>
        <w:t xml:space="preserve"> </w:t>
      </w:r>
      <w:r w:rsidRPr="006F0B0E">
        <w:t>erhoben wurden</w:t>
      </w:r>
      <w:r>
        <w:t xml:space="preserve"> (siehe ErwGr. 50 S. 1 DS-GVO, eine weitere Weitergabe zu später neu aufgekommenen Zwecken wird damit vermutlich eingeschränkt)</w:t>
      </w:r>
      <w:r w:rsidR="00B979F5">
        <w:t>,</w:t>
      </w:r>
      <w:r w:rsidR="004C1658">
        <w:t xml:space="preserve"> mit dem neuen Zweck</w:t>
      </w:r>
      <w:r>
        <w:t xml:space="preserve"> muss nachgewiesen werden. Dabei müssen auf jeden Fall </w:t>
      </w:r>
      <w:r w:rsidR="004C1658">
        <w:t xml:space="preserve">mindestens </w:t>
      </w:r>
      <w:r>
        <w:t>die Vorgaben in Art. 6 Abs. 4 lit. </w:t>
      </w:r>
      <w:r w:rsidRPr="004C1658">
        <w:t>a</w:t>
      </w:r>
      <w:r>
        <w:t xml:space="preserve"> bis e DS-GVO betrachtet und bewertet werden.</w:t>
      </w:r>
    </w:p>
    <w:p w14:paraId="097F8AF6" w14:textId="245F8A94" w:rsidR="00496737" w:rsidRDefault="00496737" w:rsidP="00496737">
      <w:pPr>
        <w:pStyle w:val="Listenabsatz"/>
        <w:numPr>
          <w:ilvl w:val="0"/>
          <w:numId w:val="28"/>
        </w:numPr>
      </w:pPr>
      <w:r>
        <w:t>Auch bei Annahme, dass die Auffassung</w:t>
      </w:r>
      <w:r w:rsidR="00B979F5">
        <w:t>,</w:t>
      </w:r>
      <w:r>
        <w:t xml:space="preserve"> der ursprüngliche Erlaubnistatbestand </w:t>
      </w:r>
      <w:r w:rsidR="004C1658" w:rsidRPr="004C1658">
        <w:t>reich</w:t>
      </w:r>
      <w:r w:rsidR="00E87699">
        <w:t>e</w:t>
      </w:r>
      <w:r w:rsidR="004C1658" w:rsidRPr="004C1658">
        <w:t xml:space="preserve"> für eine zweckändernde Verarbeitung bei einer Zweckvereinbarkeit von altem und neue</w:t>
      </w:r>
      <w:r w:rsidR="00F37D05">
        <w:t>m</w:t>
      </w:r>
      <w:r w:rsidR="004C1658" w:rsidRPr="004C1658">
        <w:t xml:space="preserve"> Zweck </w:t>
      </w:r>
      <w:r w:rsidRPr="004C1658">
        <w:t>aus</w:t>
      </w:r>
      <w:r w:rsidR="004C1658" w:rsidRPr="004C1658">
        <w:t xml:space="preserve">, </w:t>
      </w:r>
      <w:r w:rsidRPr="004C1658">
        <w:t>richtig ist</w:t>
      </w:r>
      <w:r>
        <w:t xml:space="preserve">, gilt der ursprüngliche Erlaubnistatbestand </w:t>
      </w:r>
      <w:r w:rsidR="004C1658">
        <w:t xml:space="preserve">ausschließlich </w:t>
      </w:r>
      <w:r>
        <w:t xml:space="preserve">für den Verantwortlichen, der ursprünglich die Daten für den ursprünglichen Zweck erhob und verarbeitet. Jeder andere Verantwortliche, der Daten für den neuen Zweck verarbeiten will, braucht auf jeden </w:t>
      </w:r>
      <w:r w:rsidR="00C738BE">
        <w:t xml:space="preserve">Fall </w:t>
      </w:r>
      <w:r>
        <w:t xml:space="preserve">einen eigenen Erlaubnistatbestand. Selbst dann, wenn </w:t>
      </w:r>
      <w:r w:rsidR="00B979F5">
        <w:t>eine gemeinsame Verantwortlichkeit für Datenverarbeitungsvorgänge entsprechend</w:t>
      </w:r>
      <w:r>
        <w:t xml:space="preserve"> Art. 26 DS-GVO („</w:t>
      </w:r>
      <w:r w:rsidRPr="00496737">
        <w:t>Gemeinsam Verantwortliche</w:t>
      </w:r>
      <w:r>
        <w:t>“) vorliegt.</w:t>
      </w:r>
    </w:p>
    <w:p w14:paraId="57D20C70" w14:textId="095EAE30" w:rsidR="00496737" w:rsidRDefault="00496737" w:rsidP="00496737">
      <w:pPr>
        <w:pStyle w:val="Listenabsatz"/>
        <w:numPr>
          <w:ilvl w:val="0"/>
          <w:numId w:val="28"/>
        </w:numPr>
      </w:pPr>
      <w:r>
        <w:t xml:space="preserve">Will ein </w:t>
      </w:r>
      <w:r w:rsidRPr="004832F9">
        <w:t>Verantwortlicher</w:t>
      </w:r>
      <w:r>
        <w:t xml:space="preserve"> Daten anonymisieren, um die anonymisierten Daten Dritten zu deren Zwecken zu übergeben, wird </w:t>
      </w:r>
      <w:r w:rsidRPr="004C1658">
        <w:t>i</w:t>
      </w:r>
      <w:r>
        <w:t>. </w:t>
      </w:r>
      <w:r w:rsidR="00E027A5">
        <w:t>d</w:t>
      </w:r>
      <w:r>
        <w:t>. R. die Anonymisierung nicht mit dem ursprünglichen Zweck vereinbar sein, d. h. allein für eine Anonymisierung wird dieser Erlaubnistatbestand kaum anwendbar sein.</w:t>
      </w:r>
    </w:p>
    <w:p w14:paraId="798E5BC7" w14:textId="15FCF479" w:rsidR="00AE4EA7" w:rsidRDefault="00000000">
      <w:pPr>
        <w:pStyle w:val="berschrift3"/>
      </w:pPr>
      <w:bookmarkStart w:id="92" w:name="_Toc154652597"/>
      <w:r>
        <w:t>Sonderfall Forschung</w:t>
      </w:r>
      <w:bookmarkEnd w:id="92"/>
    </w:p>
    <w:p w14:paraId="1085BB5A" w14:textId="7B90A076" w:rsidR="00C738BE" w:rsidRDefault="00000000" w:rsidP="00C738BE">
      <w:r>
        <w:t xml:space="preserve">Die DS-GVO privilegiert Verarbeitungen personenbezogener Daten zum Zwecke der </w:t>
      </w:r>
      <w:r w:rsidR="00C738BE">
        <w:t xml:space="preserve">wissenschaftlichen </w:t>
      </w:r>
      <w:r>
        <w:t>Forschung an unterschiedlichen Stellen. Insbesondere enthält die DS-GVO privilegierende Bestimmungen für wissenschaftliche und historische Forschungszwecke</w:t>
      </w:r>
      <w:r>
        <w:rPr>
          <w:rStyle w:val="Funotenanker"/>
        </w:rPr>
        <w:footnoteReference w:id="44"/>
      </w:r>
      <w:r>
        <w:t>. Hinsichtlich der Nutzung besonderer Kategorien personenbezogener Daten findet sich in Art. 9 Abs. 2 lit. j DS-GVO ein datenschutzrechtlicher Erlaubnistatbestand zur Nutzung von Daten zu Zwecken der wissenschaftlichen Forschung. Hiernach ist eine Verarbeitung gestattet, wenn die Verarbeitung gemäß Art. 89 Abs. 1 DS-GVO erforderlich ist und ein nationales oder europäisches Recht</w:t>
      </w:r>
      <w:r w:rsidR="00E87699">
        <w:t>,</w:t>
      </w:r>
      <w:r>
        <w:t xml:space="preserve"> welches den besonderen Anforderungen von Art. 89 Abs. 1 DS-GVO genügt</w:t>
      </w:r>
      <w:r w:rsidR="004D05D2">
        <w:t>,</w:t>
      </w:r>
      <w:r w:rsidR="004D05D2" w:rsidRPr="004D05D2">
        <w:t xml:space="preserve"> </w:t>
      </w:r>
      <w:r w:rsidR="004D05D2">
        <w:t>die Verarbeitung erlaubt oder sogar fordert</w:t>
      </w:r>
      <w:r w:rsidRPr="004832F9">
        <w:t>.</w:t>
      </w:r>
    </w:p>
    <w:p w14:paraId="6563CB77" w14:textId="42835918" w:rsidR="00AE4EA7" w:rsidRDefault="006330C9">
      <w:r>
        <w:t>D</w:t>
      </w:r>
      <w:r w:rsidR="00C738BE">
        <w:t xml:space="preserve">ie Verarbeitung zu wissenschaftlichen Forschungszwecken </w:t>
      </w:r>
      <w:r>
        <w:t xml:space="preserve">stellt </w:t>
      </w:r>
      <w:r w:rsidR="00C738BE">
        <w:t xml:space="preserve">jeden Verantwortlichen vor die besondere Herausforderung, die geplante Verarbeitung an den allgemein üblichen Definitionen des Forschungsbegriffes zu messen, da man nicht bei jeder Form der Forschung automatisch davon ausgehen kann, dass </w:t>
      </w:r>
      <w:r w:rsidR="004832F9">
        <w:t>die Verarbeitung</w:t>
      </w:r>
      <w:r w:rsidR="00C738BE">
        <w:t xml:space="preserve"> den Regelungen zur wissenschaftlichen Forschung </w:t>
      </w:r>
      <w:r w:rsidR="004832F9" w:rsidRPr="004832F9">
        <w:t>genügt</w:t>
      </w:r>
      <w:r w:rsidR="00C738BE">
        <w:t xml:space="preserve">. Da seitens der Gesetzgeber keine genaue Definition des Forschungsbegriffes vorgenommen wurde, </w:t>
      </w:r>
      <w:r w:rsidR="009C7361">
        <w:t xml:space="preserve">aus den Erwägungsgründen der DS-GVO jedoch ersichtlich wird, was der Gesetzgeber mit „Forschung“ adressieren will, müssen die Ziele des europäischen Gesetzgebers vom geplanten Vorhaben nachweisbar adressiert werden. Sollte </w:t>
      </w:r>
      <w:r w:rsidR="00C738BE">
        <w:t>die geplante Forschung einen transparenten Gewinn für die Volksgesundheit darstell</w:t>
      </w:r>
      <w:r w:rsidR="009C7361">
        <w:t>en, ist dies sicherlich der Fall. Auch Grundlagenforschung oder technologische (Weiter-)Entwicklungen</w:t>
      </w:r>
      <w:r w:rsidR="00DC3E96">
        <w:t xml:space="preserve"> </w:t>
      </w:r>
      <w:r w:rsidR="009C7361">
        <w:t>w</w:t>
      </w:r>
      <w:r w:rsidR="004D05D2">
        <w:t>e</w:t>
      </w:r>
      <w:r w:rsidR="009C7361">
        <w:t>rd</w:t>
      </w:r>
      <w:r w:rsidR="004D05D2">
        <w:t>en</w:t>
      </w:r>
      <w:r w:rsidR="009C7361">
        <w:t xml:space="preserve"> vom europäischen Gesetzgeber </w:t>
      </w:r>
      <w:r w:rsidR="00DC3E96" w:rsidRPr="004832F9">
        <w:t>entsprechend verschiedene</w:t>
      </w:r>
      <w:r w:rsidR="00C10BB0">
        <w:t xml:space="preserve">r </w:t>
      </w:r>
      <w:r w:rsidR="00DC3E96" w:rsidRPr="004832F9">
        <w:t>Erwägungsgründe</w:t>
      </w:r>
      <w:r w:rsidR="00DC3E96">
        <w:t xml:space="preserve"> der D</w:t>
      </w:r>
      <w:r w:rsidR="00D87A3C">
        <w:t>S</w:t>
      </w:r>
      <w:r w:rsidR="00DC3E96">
        <w:t>-GVO dem Begriff „Forschung“ zugeordnet</w:t>
      </w:r>
      <w:r w:rsidR="009C7361">
        <w:t>. Dabei ist die privat finanzierte Forschung der öffentlichen Forschung gleichgestellt</w:t>
      </w:r>
      <w:r w:rsidR="00C738BE">
        <w:t>.</w:t>
      </w:r>
    </w:p>
    <w:p w14:paraId="40817CE8" w14:textId="77777777" w:rsidR="00AE4EA7" w:rsidRDefault="00000000">
      <w:pPr>
        <w:pStyle w:val="berschrift4"/>
      </w:pPr>
      <w:bookmarkStart w:id="93" w:name="_Toc154652598"/>
      <w:r>
        <w:t>Forschung ohne Einwilligung nach § 27 BDSG</w:t>
      </w:r>
      <w:bookmarkEnd w:id="93"/>
    </w:p>
    <w:p w14:paraId="42A1A09B" w14:textId="514BFF7D" w:rsidR="00AE4EA7" w:rsidRDefault="00000000">
      <w:pPr>
        <w:spacing w:after="0"/>
      </w:pPr>
      <w:r>
        <w:t xml:space="preserve">In Deutschland erfolgte eine nationale Konkretisierung dieser Öffnungsklausel in § 27 BDSG. Die Regelung in § 27 BDSG gestattet die Verarbeitung besonderer Kategorien von Daten </w:t>
      </w:r>
      <w:r w:rsidR="00E027A5">
        <w:t>i. S. d.</w:t>
      </w:r>
      <w:r>
        <w:t xml:space="preserve"> Art. 9 Abs. 1 DS-GVO zu Forschungszwecken auch ohne Einwilligung, </w:t>
      </w:r>
      <w:r w:rsidRPr="004C1658">
        <w:t>wenn</w:t>
      </w:r>
    </w:p>
    <w:p w14:paraId="4D9B295C" w14:textId="77777777" w:rsidR="00AE4EA7" w:rsidRDefault="00000000">
      <w:pPr>
        <w:pStyle w:val="Listenabsatz"/>
        <w:numPr>
          <w:ilvl w:val="0"/>
          <w:numId w:val="12"/>
        </w:numPr>
      </w:pPr>
      <w:r w:rsidRPr="004832F9">
        <w:t>die</w:t>
      </w:r>
      <w:r>
        <w:t xml:space="preserve"> Verarbeitung zu diesen Zwecken erforderlich ist </w:t>
      </w:r>
      <w:r w:rsidRPr="004832F9">
        <w:t>und</w:t>
      </w:r>
    </w:p>
    <w:p w14:paraId="548E7A19" w14:textId="77777777" w:rsidR="00AE4EA7" w:rsidRDefault="00000000">
      <w:pPr>
        <w:pStyle w:val="Listenabsatz"/>
        <w:numPr>
          <w:ilvl w:val="0"/>
          <w:numId w:val="12"/>
        </w:numPr>
      </w:pPr>
      <w:r w:rsidRPr="004832F9">
        <w:t>die</w:t>
      </w:r>
      <w:r>
        <w:t xml:space="preserve"> Interessen der Verantwortlichen an der Verarbeitung die Interessen der betroffenen Person an der Nicht-Verarbeitung ihrer Daten erheblich überwiegen.</w:t>
      </w:r>
    </w:p>
    <w:p w14:paraId="78EEFC73" w14:textId="607F912B" w:rsidR="00AE4EA7" w:rsidRDefault="00000000">
      <w:r>
        <w:t>§ 27 Abs. 1 BDSG stellt somit einen Erlaubnistatbestand zur Verarbeitung von Gesundheitsdaten zu Forschungszwecken dar, wobei allerdings zu beachten ist, dass spezifischeres Bundes- oder Landesrecht vorrangig gelten kann (§ 1 Abs. 1 Nr. 2 BDSG)</w:t>
      </w:r>
      <w:r>
        <w:rPr>
          <w:rStyle w:val="Funotenanker"/>
        </w:rPr>
        <w:footnoteReference w:id="45"/>
      </w:r>
      <w:r>
        <w:t>. Weiterhin gilt § 27 Abs. 1 BDSG nur für die Verarbeitung von Daten i.S.v. Art. 9 Abs. 1 DS-GVO</w:t>
      </w:r>
      <w:r w:rsidR="00E027A5">
        <w:t>.</w:t>
      </w:r>
      <w:r>
        <w:t xml:space="preserve"> </w:t>
      </w:r>
      <w:r w:rsidR="00E027A5">
        <w:t>F</w:t>
      </w:r>
      <w:r>
        <w:t xml:space="preserve">ür Daten, </w:t>
      </w:r>
      <w:r w:rsidR="00E027A5">
        <w:t>welche</w:t>
      </w:r>
      <w:r>
        <w:t xml:space="preserve"> nicht unter Art. 9 Abs. 1 DS-GVO fallen, müssen andere Erlaubnistatbestände gefunden werden</w:t>
      </w:r>
      <w:r w:rsidR="00E027A5">
        <w:t>,</w:t>
      </w:r>
      <w:r>
        <w:t xml:space="preserve"> wie die in </w:t>
      </w:r>
      <w:r w:rsidR="004D05D2">
        <w:t xml:space="preserve">Art. 6 DS-GVO angegebenen </w:t>
      </w:r>
      <w:r w:rsidR="00E027A5">
        <w:t>Möglichkeiten</w:t>
      </w:r>
      <w:r>
        <w:t>.</w:t>
      </w:r>
    </w:p>
    <w:p w14:paraId="0357D326" w14:textId="5590C4CC" w:rsidR="00AE4EA7" w:rsidRDefault="00000000">
      <w:r>
        <w:t xml:space="preserve">Die von § 27 Abs. 1 </w:t>
      </w:r>
      <w:r w:rsidR="00E027A5">
        <w:t>BDSG</w:t>
      </w:r>
      <w:r>
        <w:t xml:space="preserve"> geforderte Interessenabwägung stellt hohe Anforderungen: </w:t>
      </w:r>
      <w:r w:rsidR="00C10BB0">
        <w:t>D</w:t>
      </w:r>
      <w:r>
        <w:t xml:space="preserve">ie Interessen des oder der Verantwortlichen müssen nicht nur überwiegen, sondern sie müssen </w:t>
      </w:r>
      <w:r w:rsidRPr="006F0B0E">
        <w:rPr>
          <w:b/>
          <w:bCs/>
          <w:iCs/>
        </w:rPr>
        <w:t>erheblich</w:t>
      </w:r>
      <w:r>
        <w:t xml:space="preserve"> überwiegen. Dementsprechend kann ein erhebliches Überwiegen des Interesses an der Forschung angenommen werden, wenn ein Forschungsvorhaben „erhebliche Verbesserungen für die Gesundheit oder soziale Sicherheit der Bevölkerung mit sich bringt“</w:t>
      </w:r>
      <w:r>
        <w:rPr>
          <w:rStyle w:val="Funotenanker"/>
        </w:rPr>
        <w:footnoteReference w:id="46"/>
      </w:r>
      <w:r>
        <w:t>.</w:t>
      </w:r>
    </w:p>
    <w:p w14:paraId="49041CB8" w14:textId="053CCA04" w:rsidR="00F20605" w:rsidRDefault="00A22CCF">
      <w:bookmarkStart w:id="94" w:name="_Hlk154303447"/>
      <w:r>
        <w:t xml:space="preserve">Entsprechend ErwGr. 47 DS-GVO stellt ein Faktor, der bei jeder Interessensabwägung berücksichtigt werden muss, </w:t>
      </w:r>
      <w:r w:rsidRPr="00A22CCF">
        <w:t xml:space="preserve">die </w:t>
      </w:r>
      <w:r>
        <w:t>„</w:t>
      </w:r>
      <w:r w:rsidRPr="00A22CCF">
        <w:t>vernünftigen Erwartungen</w:t>
      </w:r>
      <w:r>
        <w:t>“</w:t>
      </w:r>
      <w:r w:rsidRPr="00A22CCF">
        <w:t xml:space="preserve"> der betroffenen Person</w:t>
      </w:r>
      <w:r>
        <w:t xml:space="preserve"> dar</w:t>
      </w:r>
      <w:r w:rsidRPr="00A22CCF">
        <w:t xml:space="preserve">, die auf </w:t>
      </w:r>
      <w:r>
        <w:t xml:space="preserve">der </w:t>
      </w:r>
      <w:r w:rsidRPr="00A22CCF">
        <w:t xml:space="preserve">Beziehung </w:t>
      </w:r>
      <w:r>
        <w:t xml:space="preserve">der Person </w:t>
      </w:r>
      <w:r w:rsidRPr="00A22CCF">
        <w:t>zu dem Verantwortlichen beruhen</w:t>
      </w:r>
      <w:r>
        <w:t xml:space="preserve">. </w:t>
      </w:r>
      <w:bookmarkEnd w:id="94"/>
      <w:r>
        <w:t xml:space="preserve">Ein Patient, der zu seiner Behandlung in ein Krankenhaus oder eine Arztpraxis geht, wird als Erwartung regelhaft die Verarbeitung der </w:t>
      </w:r>
      <w:r w:rsidR="00F37D05">
        <w:t>G</w:t>
      </w:r>
      <w:r>
        <w:t xml:space="preserve">esundheitsdaten zur Behandlung aufweisen: Die betroffene Person geht in die Gesundheitseinrichtung zum </w:t>
      </w:r>
      <w:r w:rsidR="00F37D05">
        <w:t>Z</w:t>
      </w:r>
      <w:r>
        <w:t xml:space="preserve">wecke der </w:t>
      </w:r>
      <w:r w:rsidR="00F37D05">
        <w:t>Be</w:t>
      </w:r>
      <w:r>
        <w:t>handlung</w:t>
      </w:r>
      <w:r w:rsidR="004D05D2">
        <w:t>.</w:t>
      </w:r>
      <w:r>
        <w:t xml:space="preserve"> </w:t>
      </w:r>
      <w:r w:rsidR="00F37D05">
        <w:t>Z</w:t>
      </w:r>
      <w:r>
        <w:t xml:space="preserve">weck der Gesundheitseinrichtung ist i. d. R. ebenfalls die Behandlung und Betreuung von Patienten. Forschung mit diesen </w:t>
      </w:r>
      <w:r w:rsidR="004D05D2">
        <w:t>für die</w:t>
      </w:r>
      <w:r>
        <w:t xml:space="preserve"> Behandlung preisgegebenen Daten wird somit </w:t>
      </w:r>
      <w:r w:rsidR="00723031">
        <w:t xml:space="preserve">i. d. R. </w:t>
      </w:r>
      <w:r>
        <w:t>nicht zu den „</w:t>
      </w:r>
      <w:r w:rsidRPr="00A22CCF">
        <w:t>vernünftigen Erwartungen</w:t>
      </w:r>
      <w:r>
        <w:t xml:space="preserve">“ </w:t>
      </w:r>
      <w:r w:rsidR="004D05D2">
        <w:t>gehören</w:t>
      </w:r>
      <w:r>
        <w:t xml:space="preserve">. Eine Ausnahme kann – je nach öffentlicher Wahrnehmung – vorliegen, wenn die Behandlung in </w:t>
      </w:r>
      <w:r w:rsidRPr="00F37D05">
        <w:t>einem forschende</w:t>
      </w:r>
      <w:r w:rsidR="00723031">
        <w:t>n</w:t>
      </w:r>
      <w:r w:rsidRPr="00F37D05">
        <w:t xml:space="preserve"> Universitätsklinikum</w:t>
      </w:r>
      <w:r>
        <w:t xml:space="preserve"> erfolgt. </w:t>
      </w:r>
      <w:bookmarkStart w:id="95" w:name="_Hlk154303495"/>
      <w:r>
        <w:t xml:space="preserve">Ein weiterer </w:t>
      </w:r>
      <w:r w:rsidR="004D05D2">
        <w:t xml:space="preserve">zu </w:t>
      </w:r>
      <w:r>
        <w:t xml:space="preserve">beachtender Punkt liegt nach ErwGr. 47 DS-GVO in dem Umstand, </w:t>
      </w:r>
      <w:r w:rsidRPr="00A22CCF">
        <w:t>ob eine betroffene Person zum Zeitpunkt der Erhebung der personenbezogenen Daten und angesichts der Umstände, unter denen sie erfolgt, vernünftigerweise absehen kann, dass möglicherweise eine Verarbeitung für diesen Zweck erfolgen wird.</w:t>
      </w:r>
      <w:r>
        <w:t xml:space="preserve"> Laut ErwGr 47 DS-GVO können die Interessen der betroffenen Person i</w:t>
      </w:r>
      <w:r w:rsidRPr="00A22CCF">
        <w:t>nsbesondere dann</w:t>
      </w:r>
      <w:r>
        <w:t xml:space="preserve"> überwiegen</w:t>
      </w:r>
      <w:r w:rsidRPr="00A22CCF">
        <w:t>, wenn personenbezogene Daten in Situationen verarbeitet werden, in denen eine betroffene Person vernünftigerweise nicht mit einer weiteren Verarbeitung rechnen muss.</w:t>
      </w:r>
      <w:bookmarkEnd w:id="95"/>
      <w:r w:rsidR="00D234C9">
        <w:t xml:space="preserve"> Weiterhin zu beachten: </w:t>
      </w:r>
      <w:bookmarkStart w:id="96" w:name="_Hlk154303532"/>
      <w:r w:rsidR="00D234C9">
        <w:t xml:space="preserve">Je sensibler die Daten, desto schwerer ist entsprechend </w:t>
      </w:r>
      <w:r w:rsidR="00E87699">
        <w:t xml:space="preserve">der </w:t>
      </w:r>
      <w:r w:rsidR="00D234C9">
        <w:t>Rechtsprechung des EuGH</w:t>
      </w:r>
      <w:r w:rsidR="00D234C9">
        <w:rPr>
          <w:rStyle w:val="Funotenzeichen"/>
        </w:rPr>
        <w:footnoteReference w:id="47"/>
      </w:r>
      <w:r w:rsidR="00D234C9">
        <w:t xml:space="preserve"> der </w:t>
      </w:r>
      <w:r w:rsidR="00D234C9" w:rsidRPr="00D234C9">
        <w:t>Eingriff in die in den Art.</w:t>
      </w:r>
      <w:r w:rsidR="004D05D2">
        <w:t> </w:t>
      </w:r>
      <w:r w:rsidR="00D234C9" w:rsidRPr="00D234C9">
        <w:t>7 und 8 der Charta verankerten Grundrechte der betroffenen Person</w:t>
      </w:r>
      <w:r w:rsidR="00D234C9">
        <w:t>.</w:t>
      </w:r>
      <w:bookmarkEnd w:id="96"/>
    </w:p>
    <w:p w14:paraId="3EA3DDF3" w14:textId="495E602E" w:rsidR="00A22CCF" w:rsidRDefault="00EC1518">
      <w:r>
        <w:t xml:space="preserve">Die </w:t>
      </w:r>
      <w:r w:rsidRPr="004832F9">
        <w:t>DSK</w:t>
      </w:r>
      <w:r>
        <w:t xml:space="preserve"> sieht keine Möglichkeit, die „vernünftigen Erwartungen“ einer betroffenen Person durch Informationen nach Art. 13, 14 DS-GVO zu erweitern.</w:t>
      </w:r>
      <w:r>
        <w:rPr>
          <w:rStyle w:val="Funotenzeichen"/>
        </w:rPr>
        <w:footnoteReference w:id="48"/>
      </w:r>
      <w:r>
        <w:t xml:space="preserve"> Insbesondere, da die betroffene Person keine Pflicht zur Kenntnisnahme der Informationen trifft, erscheint diese Auffassung zutreffend: Inwieweit sollen Informationen, die nicht zur Kenntnis genommen werden müssen, Erwartungen der betroffenen Person beeinflussen? Hier wird mehr erforderlich sein, damit die </w:t>
      </w:r>
      <w:r w:rsidRPr="00EC1518">
        <w:t>vernünftigen Erwartungen</w:t>
      </w:r>
      <w:r>
        <w:t xml:space="preserve"> einer </w:t>
      </w:r>
      <w:r w:rsidRPr="00EC1518">
        <w:t xml:space="preserve">betroffenen Person </w:t>
      </w:r>
      <w:r>
        <w:t>berührt werden.</w:t>
      </w:r>
    </w:p>
    <w:p w14:paraId="5B4C0696" w14:textId="04786EC6" w:rsidR="00AE4EA7" w:rsidRDefault="00000000">
      <w:r>
        <w:t xml:space="preserve">Gemäß § 27 Abs. 3 BDSG sind besondere Kategorien personenbezogener Daten im Sinne des Art. 9 Abs. 1 DS-GVO zu anonymisieren, sobald dies nach dem Forschungs- oder Statistikzweck möglich ist, es sei denn, </w:t>
      </w:r>
      <w:r>
        <w:rPr>
          <w:u w:val="single"/>
        </w:rPr>
        <w:t xml:space="preserve">berechtigte Interessen der betroffenen </w:t>
      </w:r>
      <w:r w:rsidR="004D05D2" w:rsidRPr="008245E6">
        <w:rPr>
          <w:u w:val="single"/>
        </w:rPr>
        <w:t>Person</w:t>
      </w:r>
      <w:r w:rsidR="004D05D2">
        <w:rPr>
          <w:u w:val="single"/>
        </w:rPr>
        <w:t xml:space="preserve"> </w:t>
      </w:r>
      <w:r>
        <w:t>stehen einer Anonymisierung entgegen. Ist dies der Fall, sind die Merkmale, mit denen Einzelangaben über persönliche oder sachliche Verhältnisse einer bestimmten oder bestimmbaren Person zugeordnet werden können, gesondert zu speichern (§ 27 Abs. 3 S. 2 BDSG). Die Neuregelung des § 27 Abs. 3 BDSG verlangt somit, Forschung grundsätzlich mit anonymen Daten durchzuführen und in Ausnahmefällen mit pseudonymen Daten.</w:t>
      </w:r>
    </w:p>
    <w:p w14:paraId="5D71D6BC" w14:textId="0410A63E" w:rsidR="00C738BE" w:rsidRDefault="00000000" w:rsidP="00C738BE">
      <w:r>
        <w:t>Von einer Unvereinbarkeit einer Anonymisierung mit der Zweckerreichung eines Forschungsvorhabens kann zumindest immer dann ausgegangen werden, wenn eine fortlaufende Zuordnung von neuen Daten zu bereits vorhandenen Daten erforderlich ist</w:t>
      </w:r>
      <w:bookmarkStart w:id="97" w:name="_Ref514569844"/>
      <w:r>
        <w:rPr>
          <w:rStyle w:val="Funotenanker"/>
        </w:rPr>
        <w:footnoteReference w:id="49"/>
      </w:r>
      <w:bookmarkEnd w:id="97"/>
      <w:r>
        <w:t>. Gleiches gilt, wenn im Rahmen des Forschungsvorhabens die betroffene Person ggf. kontaktiert werden muss, z. B.</w:t>
      </w:r>
      <w:r w:rsidR="0093736C">
        <w:t>,</w:t>
      </w:r>
      <w:r>
        <w:t xml:space="preserve"> weil Forschungsergebnisse ihre Behandlung beeinflussen könnten. Weiterhin schließt die Nutzung von Biomaterialien, deren enthaltene genetische Informationen prinzipiell einen Personenbezug erlauben, eine Anonymisierung </w:t>
      </w:r>
      <w:r w:rsidRPr="004832F9">
        <w:t>aus</w:t>
      </w:r>
      <w:r w:rsidR="0093736C" w:rsidRPr="004832F9">
        <w:rPr>
          <w:vertAlign w:val="superscript"/>
        </w:rPr>
        <w:fldChar w:fldCharType="begin"/>
      </w:r>
      <w:r w:rsidR="0093736C" w:rsidRPr="004832F9">
        <w:rPr>
          <w:vertAlign w:val="superscript"/>
        </w:rPr>
        <w:instrText xml:space="preserve"> NOTEREF _Ref514569844 \h  \* MERGEFORMAT </w:instrText>
      </w:r>
      <w:r w:rsidR="0093736C" w:rsidRPr="004832F9">
        <w:rPr>
          <w:vertAlign w:val="superscript"/>
        </w:rPr>
      </w:r>
      <w:r w:rsidR="0093736C" w:rsidRPr="004832F9">
        <w:rPr>
          <w:vertAlign w:val="superscript"/>
        </w:rPr>
        <w:fldChar w:fldCharType="separate"/>
      </w:r>
      <w:r w:rsidR="00C9149F">
        <w:rPr>
          <w:vertAlign w:val="superscript"/>
        </w:rPr>
        <w:t>49</w:t>
      </w:r>
      <w:r w:rsidR="0093736C" w:rsidRPr="004832F9">
        <w:rPr>
          <w:vertAlign w:val="superscript"/>
        </w:rPr>
        <w:fldChar w:fldCharType="end"/>
      </w:r>
      <w:r w:rsidR="00F37D05">
        <w:t>.</w:t>
      </w:r>
    </w:p>
    <w:p w14:paraId="0EA581A9" w14:textId="6BEB68BB" w:rsidR="00AE4EA7" w:rsidRDefault="00C738BE" w:rsidP="00C738BE">
      <w:r>
        <w:t xml:space="preserve">Auch wenn eine dingliche Übereignung der Biomaterialien durch die betroffene Person erfolgt ist, was in vielen Einverständniserklärungen von Patienten bei der Aufnahme in einer Klinik </w:t>
      </w:r>
      <w:r w:rsidR="00D97F03">
        <w:t xml:space="preserve">abgefragt </w:t>
      </w:r>
      <w:r>
        <w:t xml:space="preserve">wird, kann daraus keinerlei Rückschluss auf den Willen der Patienten bezüglich der Verarbeitung der enthaltenen genetischen Informationen gezogen werden; von einer im Rahmen der eigenen Behandlung erforderlichen </w:t>
      </w:r>
      <w:r w:rsidR="006330C9">
        <w:t>Verarbeitung</w:t>
      </w:r>
      <w:r>
        <w:t xml:space="preserve"> abgesehen.</w:t>
      </w:r>
    </w:p>
    <w:p w14:paraId="7E6BE9B6" w14:textId="2A8A9F3E" w:rsidR="00AE4EA7" w:rsidRDefault="00000000">
      <w:r>
        <w:t>Eine Re-Identifizierung, die bei einer Verarbeitung pseudonymer Daten grundsätzlich möglich ist, darf entsprechend § 27 Abs. 3 S. 3. BDSG nur durchgeführt werden, wenn dies der Forschungs- oder Statistikzweck erfordert</w:t>
      </w:r>
      <w:r>
        <w:rPr>
          <w:rStyle w:val="Funotenanker"/>
        </w:rPr>
        <w:footnoteReference w:id="50"/>
      </w:r>
      <w:r>
        <w:t>.</w:t>
      </w:r>
    </w:p>
    <w:p w14:paraId="0CF1E999" w14:textId="77777777" w:rsidR="00AE4EA7" w:rsidRDefault="00000000">
      <w:pPr>
        <w:pStyle w:val="berschrift2"/>
      </w:pPr>
      <w:bookmarkStart w:id="98" w:name="_Ref154641216"/>
      <w:bookmarkStart w:id="99" w:name="_Toc154652599"/>
      <w:r>
        <w:t>Nachweispflichten</w:t>
      </w:r>
      <w:bookmarkEnd w:id="98"/>
      <w:bookmarkEnd w:id="99"/>
    </w:p>
    <w:p w14:paraId="379B5D70" w14:textId="0F329059" w:rsidR="00AE4EA7" w:rsidRDefault="00000000" w:rsidP="00101F9A">
      <w:r>
        <w:t xml:space="preserve">Entsprechend ErwGr. 26 DS-GVO sollen die Vorgaben der DS-GVO nicht für anonyme Daten gelten. Oder anderes ausgedrückt: Für anonyme Daten </w:t>
      </w:r>
      <w:r w:rsidR="00E027A5">
        <w:t>findet</w:t>
      </w:r>
      <w:r>
        <w:t xml:space="preserve"> die </w:t>
      </w:r>
      <w:r w:rsidRPr="00AF2176">
        <w:t xml:space="preserve">DS-GVO </w:t>
      </w:r>
      <w:r w:rsidR="00E027A5">
        <w:t>keine Anwendung</w:t>
      </w:r>
      <w:r w:rsidR="00101F9A">
        <w:t xml:space="preserve">, denn die Anwendbarkeit der DS-GVO hängt nach Art. 2 Abs. 1 DS-GVO – vorbehaltlich der in Art. 2 Abs. 2 DS-GVO beschriebenen Ausnahmen – in erster Linie von der Verarbeitung personenbezogener Daten ab – was die </w:t>
      </w:r>
      <w:r w:rsidR="00AF2176" w:rsidRPr="00AF2176">
        <w:t>Verarbeitung</w:t>
      </w:r>
      <w:r w:rsidR="00101F9A">
        <w:t xml:space="preserve"> anonymer Daten nicht beinhaltet</w:t>
      </w:r>
      <w:r>
        <w:t xml:space="preserve">. </w:t>
      </w:r>
    </w:p>
    <w:p w14:paraId="5E5C56C5" w14:textId="1F7D1D47" w:rsidR="00AE4EA7" w:rsidRDefault="00E027A5">
      <w:r>
        <w:t xml:space="preserve">Allerdings muss der Verantwortliche, u. a. aufgrund der Rechenschaftspflicht nach Art. 5 Abs. 2 DS-GVO, zu jedem Zeitpunkt der Verarbeitung (und damit insbesondere auch während der gesamten Speicherdauer) nachweisen können, dass </w:t>
      </w:r>
      <w:r w:rsidR="00027508">
        <w:t xml:space="preserve">es sich bei den </w:t>
      </w:r>
      <w:r>
        <w:t>anonymisierte</w:t>
      </w:r>
      <w:r w:rsidR="00027508">
        <w:t>n</w:t>
      </w:r>
      <w:r>
        <w:t xml:space="preserve"> Daten zu jedem Zeitpunkt der Verarbeitung </w:t>
      </w:r>
      <w:r w:rsidR="00027508">
        <w:t xml:space="preserve">um </w:t>
      </w:r>
      <w:r>
        <w:t xml:space="preserve">anonyme Daten </w:t>
      </w:r>
      <w:r w:rsidR="00027508">
        <w:t>handelt</w:t>
      </w:r>
      <w:r>
        <w:t>. Der Nachweis der Anonymisierung stellt also keinen einmaligen Vorgang dar, sondern muss als Prozess betrachtet werden, welcher den gesamten Lebenszyklus der Daten begleitet</w:t>
      </w:r>
      <w:r w:rsidRPr="004832F9">
        <w:t>.</w:t>
      </w:r>
      <w:r w:rsidR="006F562E" w:rsidRPr="004832F9">
        <w:rPr>
          <w:rStyle w:val="Funotenzeichen"/>
        </w:rPr>
        <w:footnoteReference w:id="51"/>
      </w:r>
      <w:r w:rsidR="004D0B3D" w:rsidRPr="004832F9">
        <w:rPr>
          <w:vertAlign w:val="superscript"/>
        </w:rPr>
        <w:t xml:space="preserve">, </w:t>
      </w:r>
      <w:r w:rsidR="004D0B3D" w:rsidRPr="004832F9">
        <w:rPr>
          <w:rStyle w:val="Funotenzeichen"/>
        </w:rPr>
        <w:footnoteReference w:id="52"/>
      </w:r>
    </w:p>
    <w:p w14:paraId="168222CE" w14:textId="503FD28A" w:rsidR="00496737" w:rsidRDefault="00496737">
      <w:r>
        <w:t>Der EuGH legt diese in Art. 5 Abs. 2 DS-GVO verankerte Pflicht zum Nachweis der DS</w:t>
      </w:r>
      <w:r>
        <w:rPr>
          <w:rFonts w:ascii="Cambria Math" w:hAnsi="Cambria Math" w:cs="Cambria Math"/>
        </w:rPr>
        <w:t>‑</w:t>
      </w:r>
      <w:r>
        <w:t>GVO-konformen Verarbeitung sehr weit aus, auch im Sinne einer Beweislastumkehr</w:t>
      </w:r>
      <w:r w:rsidR="003212CA">
        <w:rPr>
          <w:rStyle w:val="Funotenzeichen"/>
        </w:rPr>
        <w:footnoteReference w:id="53"/>
      </w:r>
      <w:r w:rsidR="00463704" w:rsidRPr="00463704">
        <w:rPr>
          <w:vertAlign w:val="superscript"/>
        </w:rPr>
        <w:t>,</w:t>
      </w:r>
      <w:r w:rsidR="00463704">
        <w:t> </w:t>
      </w:r>
      <w:r w:rsidR="00463704">
        <w:rPr>
          <w:rStyle w:val="Funotenzeichen"/>
        </w:rPr>
        <w:footnoteReference w:id="54"/>
      </w:r>
      <w:r w:rsidR="003212CA">
        <w:t>.</w:t>
      </w:r>
    </w:p>
    <w:p w14:paraId="7CCB5D90" w14:textId="0B9ACAF6" w:rsidR="00620905" w:rsidRDefault="003212CA" w:rsidP="00620905">
      <w:r>
        <w:t>Aus diesem Grund, aber auch i</w:t>
      </w:r>
      <w:r w:rsidR="00B979F5">
        <w:t>n</w:t>
      </w:r>
      <w:r>
        <w:t xml:space="preserve"> Anbetracht sich ändernder technischer Möglichkeiten</w:t>
      </w:r>
      <w:r w:rsidR="00101F9A">
        <w:t>,</w:t>
      </w:r>
      <w:r>
        <w:t xml:space="preserve"> muss diese</w:t>
      </w:r>
      <w:r w:rsidR="00027508">
        <w:t>r</w:t>
      </w:r>
      <w:r>
        <w:t xml:space="preserve"> Nachweis der Anonymisierung mit einer entsprechenden Sorgfalt erfolgen</w:t>
      </w:r>
      <w:r w:rsidR="00620905">
        <w:t xml:space="preserve"> und die dabei angewandte Methodik mindestens dem Stand der Technik entsprechen</w:t>
      </w:r>
      <w:r w:rsidR="002A7B67">
        <w:t xml:space="preserve"> (siehe hierzu auch Kapitel </w:t>
      </w:r>
      <w:r w:rsidR="002A7B67">
        <w:fldChar w:fldCharType="begin"/>
      </w:r>
      <w:r w:rsidR="002A7B67">
        <w:instrText xml:space="preserve"> REF _Ref154652695 \r \h </w:instrText>
      </w:r>
      <w:r w:rsidR="002A7B67">
        <w:fldChar w:fldCharType="separate"/>
      </w:r>
      <w:r w:rsidR="00C9149F">
        <w:t>9.14</w:t>
      </w:r>
      <w:r w:rsidR="002A7B67">
        <w:fldChar w:fldCharType="end"/>
      </w:r>
      <w:r w:rsidR="002A7B67">
        <w:t>)</w:t>
      </w:r>
      <w:r>
        <w:t xml:space="preserve">. So bieten </w:t>
      </w:r>
      <w:r w:rsidR="00F37D05">
        <w:t xml:space="preserve">z. B. </w:t>
      </w:r>
      <w:bookmarkStart w:id="100" w:name="_Hlk153607007"/>
      <w:r w:rsidR="00F37D05" w:rsidRPr="004832F9">
        <w:t>Bayes</w:t>
      </w:r>
      <w:r w:rsidR="00F37D05">
        <w:t>’</w:t>
      </w:r>
      <w:r w:rsidR="00F37D05" w:rsidRPr="004832F9">
        <w:t>sche</w:t>
      </w:r>
      <w:r w:rsidR="00F37D05">
        <w:t xml:space="preserve"> </w:t>
      </w:r>
      <w:bookmarkEnd w:id="100"/>
      <w:r>
        <w:t>Netzwerk</w:t>
      </w:r>
      <w:r w:rsidR="00B979F5">
        <w:t>e</w:t>
      </w:r>
      <w:r>
        <w:t xml:space="preserve"> heute Möglichkeiten der Zusammenführung von Daten, die noch vor wenigen Jahren so für nicht möglich gehalten wurden. </w:t>
      </w:r>
      <w:r w:rsidRPr="004C1658">
        <w:t>D. h.</w:t>
      </w:r>
      <w:r w:rsidR="004C1658" w:rsidRPr="004C1658">
        <w:t>,</w:t>
      </w:r>
      <w:r>
        <w:t xml:space="preserve"> Daten, welche 2016 noch als „anonym“ angesehen wurden, müssen heute in Anbetracht moderner IT-Verfahren evtl. als „einer Person zuordenbar“ und somit als „pseudonym“ angesehen werden.</w:t>
      </w:r>
      <w:r w:rsidR="006330C9">
        <w:t xml:space="preserve"> </w:t>
      </w:r>
      <w:r w:rsidR="00404AB5">
        <w:t xml:space="preserve">Daher sind Anonymisierungsverfahren </w:t>
      </w:r>
      <w:r w:rsidR="004D05D2">
        <w:t>regelmäßig</w:t>
      </w:r>
      <w:r w:rsidR="00404AB5">
        <w:t>, spätestens aber bei neuen Erkenntnissen/Algorithmen/Techniken aus Mathematik und IT-Wissenschaft anlassbezogen</w:t>
      </w:r>
      <w:r w:rsidR="00620905">
        <w:t xml:space="preserve"> zu evaluieren.</w:t>
      </w:r>
    </w:p>
    <w:p w14:paraId="3BD29AB2" w14:textId="20D149F6" w:rsidR="0037314C" w:rsidRDefault="00000000" w:rsidP="00D943A8">
      <w:pPr>
        <w:spacing w:after="0"/>
      </w:pPr>
      <w:bookmarkStart w:id="101" w:name="_Hlk154567937"/>
      <w:r>
        <w:t xml:space="preserve">Weiterhin muss beachtet werden, dass „neue“ Daten evtl. auch neue Möglichkeiten bieten. </w:t>
      </w:r>
      <w:bookmarkEnd w:id="101"/>
      <w:r w:rsidR="00027508">
        <w:t>So</w:t>
      </w:r>
      <w:r>
        <w:t xml:space="preserve"> kann es </w:t>
      </w:r>
      <w:r w:rsidR="00027508">
        <w:t xml:space="preserve">z. B. </w:t>
      </w:r>
      <w:r>
        <w:t>vorkommen, dass durch ein</w:t>
      </w:r>
      <w:r w:rsidR="00027508">
        <w:t>e</w:t>
      </w:r>
      <w:r>
        <w:t xml:space="preserve"> Unternehmens</w:t>
      </w:r>
      <w:r w:rsidR="00027508">
        <w:t>übernahme</w:t>
      </w:r>
      <w:r>
        <w:t xml:space="preserve"> Daten hinzukommen</w:t>
      </w:r>
      <w:r>
        <w:rPr>
          <w:rStyle w:val="Funotenanker"/>
        </w:rPr>
        <w:footnoteReference w:id="55"/>
      </w:r>
      <w:r>
        <w:t>, welche bei einer Zusammenführung eine Re-Identifikation ermöglichen.</w:t>
      </w:r>
      <w:r w:rsidR="0037314C">
        <w:t xml:space="preserve"> Ein Beispiel:</w:t>
      </w:r>
    </w:p>
    <w:p w14:paraId="32501128" w14:textId="43F26F8D" w:rsidR="00AE4EA7" w:rsidRDefault="0037314C" w:rsidP="0037314C">
      <w:pPr>
        <w:spacing w:after="0"/>
        <w:ind w:left="709"/>
      </w:pPr>
      <w:r>
        <w:t xml:space="preserve">Ein amerikanischer Dienstleister, dem unter dem </w:t>
      </w:r>
      <w:r w:rsidRPr="0037314C">
        <w:t xml:space="preserve">EU-US </w:t>
      </w:r>
      <w:r w:rsidRPr="004832F9">
        <w:t>Privacy</w:t>
      </w:r>
      <w:r w:rsidRPr="0037314C">
        <w:t xml:space="preserve"> </w:t>
      </w:r>
      <w:r w:rsidRPr="004832F9">
        <w:t>Shield</w:t>
      </w:r>
      <w:r>
        <w:t xml:space="preserve"> Daten im Rahmen einer Auftragsverarbeitung überlassen w</w:t>
      </w:r>
      <w:r w:rsidR="006330C9">
        <w:t>u</w:t>
      </w:r>
      <w:r>
        <w:t>rd</w:t>
      </w:r>
      <w:r w:rsidR="006330C9">
        <w:t>en</w:t>
      </w:r>
      <w:r>
        <w:t xml:space="preserve">, kauft einen anderen, europäischen Dienstleister auf, </w:t>
      </w:r>
      <w:r w:rsidRPr="004832F9">
        <w:t>sodass</w:t>
      </w:r>
      <w:r>
        <w:t xml:space="preserve"> jetzt auch diese </w:t>
      </w:r>
      <w:r w:rsidR="006330C9">
        <w:t xml:space="preserve">vormals „europäischen“ </w:t>
      </w:r>
      <w:r>
        <w:t xml:space="preserve">Daten </w:t>
      </w:r>
      <w:r w:rsidR="006330C9">
        <w:t xml:space="preserve">zusätzlich </w:t>
      </w:r>
      <w:r>
        <w:t>von dem amerikanischen Dienstleister verarbeitet werden.</w:t>
      </w:r>
    </w:p>
    <w:p w14:paraId="3E028DD6" w14:textId="3A171693" w:rsidR="0037314C" w:rsidRDefault="0037314C" w:rsidP="0030590C">
      <w:pPr>
        <w:spacing w:after="0"/>
        <w:ind w:left="709"/>
      </w:pPr>
      <w:r>
        <w:t xml:space="preserve">Das </w:t>
      </w:r>
      <w:r w:rsidRPr="004832F9">
        <w:t>EU-U.S</w:t>
      </w:r>
      <w:r w:rsidRPr="0037314C">
        <w:t>. D</w:t>
      </w:r>
      <w:r>
        <w:t xml:space="preserve">ata </w:t>
      </w:r>
      <w:r w:rsidRPr="004832F9">
        <w:t>Privacy</w:t>
      </w:r>
      <w:r>
        <w:t xml:space="preserve"> Framework schließt Verarbeitungen zu Zwecken des amerikanischen Auftragsverarbeiters nicht aus, schränkt diese jedoch ein. So findet sich im Kapitel „</w:t>
      </w:r>
      <w:r w:rsidRPr="0037314C">
        <w:t xml:space="preserve">Data </w:t>
      </w:r>
      <w:r w:rsidRPr="004832F9">
        <w:t>Privacy</w:t>
      </w:r>
      <w:r w:rsidRPr="0037314C">
        <w:t xml:space="preserve"> Framework </w:t>
      </w:r>
      <w:r w:rsidRPr="004832F9">
        <w:t>Principles</w:t>
      </w:r>
      <w:r>
        <w:t>“ unter Abschnitt 5 „D</w:t>
      </w:r>
      <w:r w:rsidRPr="0037314C">
        <w:t xml:space="preserve">ata </w:t>
      </w:r>
      <w:r w:rsidRPr="004832F9">
        <w:t>Integrity</w:t>
      </w:r>
      <w:r w:rsidRPr="0037314C">
        <w:t xml:space="preserve"> </w:t>
      </w:r>
      <w:r w:rsidRPr="004832F9">
        <w:t>and</w:t>
      </w:r>
      <w:r w:rsidRPr="0037314C">
        <w:t xml:space="preserve"> Purpose Limitation</w:t>
      </w:r>
      <w:r>
        <w:t>“</w:t>
      </w:r>
      <w:r w:rsidR="00450675">
        <w:rPr>
          <w:rStyle w:val="Funotenzeichen"/>
        </w:rPr>
        <w:footnoteReference w:id="56"/>
      </w:r>
      <w:r>
        <w:t xml:space="preserve"> zwar die Vorgabe, dass ein Unternehmen </w:t>
      </w:r>
      <w:r w:rsidRPr="0037314C">
        <w:t>personenbezogene Daten nicht in einer Weise verarbeiten</w:t>
      </w:r>
      <w:r>
        <w:t xml:space="preserve"> darf</w:t>
      </w:r>
      <w:r w:rsidRPr="0037314C">
        <w:t>, die mit den Zwecken unvereinbar ist,</w:t>
      </w:r>
      <w:r>
        <w:t xml:space="preserve"> jedoch ist unter Fußnote 6 zu lesen: „</w:t>
      </w:r>
      <w:r w:rsidR="00B979F5">
        <w:t xml:space="preserve">[…] können </w:t>
      </w:r>
      <w:r>
        <w:t>Beispiele für vereinbare Verarbeitungszwecke solche sein, die vernünftigerweise den Kundenbeziehungen, der Einhaltung von Vorschriften und rechtlichen Erwägungen, der Rechnungsprüfung, der Sicherheit und der Betrugsprävention, der Wahrung oder Verteidigung der gesetzlichen Rechte der Organisation oder anderen Zwecken dienen, die mit den Erwartungen einer vernünftigen Person angesichts des Kontextes der Datensammlung übereinstimmen.“</w:t>
      </w:r>
    </w:p>
    <w:p w14:paraId="03082FE6" w14:textId="17D4EF67" w:rsidR="0037314C" w:rsidRDefault="0037314C" w:rsidP="0037314C">
      <w:pPr>
        <w:ind w:left="708"/>
      </w:pPr>
      <w:r>
        <w:t xml:space="preserve">So können amerikanische Dienstleister die Daten eines europäischen Verantwortlichen </w:t>
      </w:r>
      <w:r w:rsidRPr="004C1658">
        <w:t>z.</w:t>
      </w:r>
      <w:r w:rsidR="004C1658" w:rsidRPr="004C1658">
        <w:t> </w:t>
      </w:r>
      <w:r w:rsidRPr="004C1658">
        <w:t>B.</w:t>
      </w:r>
      <w:r>
        <w:t xml:space="preserve"> für eigene Zwecke der Sicherheit oder </w:t>
      </w:r>
      <w:r w:rsidR="00F37D05">
        <w:t xml:space="preserve">Betrugsverarbeitung </w:t>
      </w:r>
      <w:r>
        <w:t>verarbeiten. Auch ist die Nutzung der Daten zu eigenen Forschungszwecken</w:t>
      </w:r>
      <w:r w:rsidR="0030590C">
        <w:rPr>
          <w:rStyle w:val="Funotenzeichen"/>
        </w:rPr>
        <w:footnoteReference w:id="57"/>
      </w:r>
      <w:r>
        <w:t xml:space="preserve"> möglich.</w:t>
      </w:r>
    </w:p>
    <w:p w14:paraId="09625FB4" w14:textId="5945E15C" w:rsidR="00AE4EA7" w:rsidRDefault="0030590C">
      <w:bookmarkStart w:id="102" w:name="_Hlk154568084"/>
      <w:r>
        <w:t>Die aus Art. 5 Abs. 2 DS-GVO resultierende Nachweispflicht fordert, dass der Nachweis erbracht wird, dass eine erfolgte Anonymisierung auch mit sich ändernden technischen Möglichkeiten oder mit neu erworbene</w:t>
      </w:r>
      <w:r w:rsidR="00E87699">
        <w:t>m</w:t>
      </w:r>
      <w:r>
        <w:t xml:space="preserve"> Zusatzwissen unumkehrbar ist. </w:t>
      </w:r>
      <w:r w:rsidR="00450675">
        <w:t xml:space="preserve">Eine </w:t>
      </w:r>
      <w:r>
        <w:t xml:space="preserve">regelmäßige Überprüfung </w:t>
      </w:r>
      <w:r w:rsidR="00450675">
        <w:t xml:space="preserve">des Vorhandenseins des immer noch richtigen Status „anonym“ bzw. „pseudonym“ sowie des davon abgeleiteten Schutzfaktors für die personenbezogenen Daten ist </w:t>
      </w:r>
      <w:r>
        <w:t>somit aus verschiedenen Gründen</w:t>
      </w:r>
      <w:r w:rsidR="00450675">
        <w:t xml:space="preserve"> zwingend erforderlich und der dazugehörige Prozess </w:t>
      </w:r>
      <w:r>
        <w:t xml:space="preserve">muss – ggf. inkl. evtl. erforderlicher Kriterien, wann eine Prüfung spätestens erfolgen muss </w:t>
      </w:r>
      <w:r w:rsidRPr="004C1658">
        <w:t>–</w:t>
      </w:r>
      <w:r w:rsidR="004C1658" w:rsidRPr="004C1658">
        <w:t xml:space="preserve"> </w:t>
      </w:r>
      <w:r w:rsidRPr="004C1658">
        <w:t>dokumentiert</w:t>
      </w:r>
      <w:r>
        <w:t xml:space="preserve"> sein, ebenso müssen die Überprüfungen </w:t>
      </w:r>
      <w:r w:rsidR="00450675">
        <w:t xml:space="preserve">selbst </w:t>
      </w:r>
      <w:r>
        <w:t>sowie die Ergebnisse nachvollziehbar dokumentiert werden.</w:t>
      </w:r>
    </w:p>
    <w:bookmarkEnd w:id="102"/>
    <w:p w14:paraId="7C784715" w14:textId="3329205A" w:rsidR="00C10F13" w:rsidRDefault="00C10F13">
      <w:r>
        <w:t xml:space="preserve">Diese Nachweispflicht obliegt </w:t>
      </w:r>
      <w:r w:rsidRPr="004832F9">
        <w:t>entsprechend de</w:t>
      </w:r>
      <w:r w:rsidR="004832F9" w:rsidRPr="004832F9">
        <w:t>n</w:t>
      </w:r>
      <w:r w:rsidRPr="004832F9">
        <w:t xml:space="preserve"> Vorgaben</w:t>
      </w:r>
      <w:r>
        <w:t xml:space="preserve"> von Art. 5 DS-GVO dem Verantwortlichen, welcher die Daten für den ursprünglichen Zweck erhob, verarbeitete und anschließend für einen anderen Zweck anonymisierte. Die Verpflichtung ist auch vertraglich nicht delegierbar, da die </w:t>
      </w:r>
      <w:r w:rsidRPr="004C1658">
        <w:t>D</w:t>
      </w:r>
      <w:r w:rsidR="004C1658" w:rsidRPr="004C1658">
        <w:t>S-</w:t>
      </w:r>
      <w:r w:rsidRPr="004C1658">
        <w:t>GVO</w:t>
      </w:r>
      <w:r>
        <w:t xml:space="preserve"> diese Pflicht unmittelbar an den Verantwortlichen richtet. Gleichwohl kann der Verantwortliche einzelne Aufgaben an andere natürliche oder juristische Personen delegieren, wenn die Delegation dieser Aufgaben weiterhin unbestritten Aufgabe des Verantwortlichen bleibt.</w:t>
      </w:r>
    </w:p>
    <w:p w14:paraId="1DFE3FE7" w14:textId="77777777" w:rsidR="00AE4EA7" w:rsidRDefault="00000000">
      <w:pPr>
        <w:pStyle w:val="berschrift2"/>
      </w:pPr>
      <w:bookmarkStart w:id="103" w:name="_Toc154652600"/>
      <w:bookmarkStart w:id="104" w:name="_Ref154773418"/>
      <w:r>
        <w:t>Betroffenenrechte</w:t>
      </w:r>
      <w:bookmarkEnd w:id="103"/>
      <w:bookmarkEnd w:id="104"/>
    </w:p>
    <w:p w14:paraId="3DE64DA5" w14:textId="77777777" w:rsidR="00AE4EA7" w:rsidRDefault="00000000">
      <w:pPr>
        <w:pStyle w:val="berschrift3"/>
      </w:pPr>
      <w:bookmarkStart w:id="105" w:name="_Toc154652601"/>
      <w:r>
        <w:t>Anonyme Daten und Betroffenenrechte</w:t>
      </w:r>
      <w:bookmarkEnd w:id="105"/>
    </w:p>
    <w:p w14:paraId="473D8CC8" w14:textId="798934F8" w:rsidR="00AE4EA7" w:rsidRDefault="00000000">
      <w:r>
        <w:t xml:space="preserve">Entsprechend ErwGr. 26 gelten für anonyme Daten die </w:t>
      </w:r>
      <w:r w:rsidR="006330C9">
        <w:t xml:space="preserve">Anforderungen </w:t>
      </w:r>
      <w:r>
        <w:t xml:space="preserve">der DS-GVO nicht. </w:t>
      </w:r>
      <w:r w:rsidR="00027508">
        <w:t>D</w:t>
      </w:r>
      <w:r>
        <w:t xml:space="preserve">ie </w:t>
      </w:r>
      <w:r w:rsidR="00027508">
        <w:t xml:space="preserve">sich </w:t>
      </w:r>
      <w:r>
        <w:t>aus den Ar</w:t>
      </w:r>
      <w:r w:rsidR="00027508">
        <w:t>t</w:t>
      </w:r>
      <w:r>
        <w:t xml:space="preserve">. 12 bis 22 DS-GVO </w:t>
      </w:r>
      <w:r w:rsidR="00027508">
        <w:t>ergebenden</w:t>
      </w:r>
      <w:r>
        <w:t xml:space="preserve"> Anforderungen </w:t>
      </w:r>
      <w:r w:rsidR="00027508">
        <w:t>an die Wahrung</w:t>
      </w:r>
      <w:r>
        <w:t xml:space="preserve"> der Betroffenenrechte</w:t>
      </w:r>
      <w:r w:rsidR="00027508">
        <w:t xml:space="preserve">n </w:t>
      </w:r>
      <w:r w:rsidR="00620905">
        <w:t>sind ebenfalls</w:t>
      </w:r>
      <w:r w:rsidR="00027508">
        <w:t xml:space="preserve"> nicht</w:t>
      </w:r>
      <w:r w:rsidR="00620905">
        <w:t xml:space="preserve"> einschlägig</w:t>
      </w:r>
      <w:r>
        <w:t xml:space="preserve">. </w:t>
      </w:r>
      <w:r w:rsidR="00E46DC2">
        <w:t>Für</w:t>
      </w:r>
      <w:r>
        <w:t xml:space="preserve"> die Zeit vor der Anonymisierung sind die jeweiligen Betroffenenrechte </w:t>
      </w:r>
      <w:r w:rsidR="00E46DC2">
        <w:t xml:space="preserve">jedoch </w:t>
      </w:r>
      <w:r>
        <w:t xml:space="preserve">vollumfänglich zu beachten. So ist </w:t>
      </w:r>
      <w:r w:rsidR="00027508">
        <w:t xml:space="preserve">die betroffene Person </w:t>
      </w:r>
      <w:r>
        <w:t xml:space="preserve">bei einer Anonymisierung ggf. u. a. </w:t>
      </w:r>
      <w:r w:rsidR="00027508">
        <w:t>über</w:t>
      </w:r>
      <w:r>
        <w:t xml:space="preserve"> de</w:t>
      </w:r>
      <w:r w:rsidR="00027508">
        <w:t>n</w:t>
      </w:r>
      <w:r>
        <w:t xml:space="preserve"> Anonymisierung</w:t>
      </w:r>
      <w:r w:rsidR="00027508">
        <w:t>svorgang</w:t>
      </w:r>
      <w:r>
        <w:t xml:space="preserve"> und – sofern vorhanden – d</w:t>
      </w:r>
      <w:r w:rsidR="004F4854">
        <w:t>i</w:t>
      </w:r>
      <w:r>
        <w:t xml:space="preserve">e Zweckänderung bei der Verarbeitung der Daten </w:t>
      </w:r>
      <w:r w:rsidR="00D97F03">
        <w:t>zu informieren</w:t>
      </w:r>
      <w:r>
        <w:t>.</w:t>
      </w:r>
    </w:p>
    <w:p w14:paraId="1F4EA655" w14:textId="77777777" w:rsidR="00AE4EA7" w:rsidRDefault="00000000">
      <w:pPr>
        <w:pStyle w:val="berschrift3"/>
      </w:pPr>
      <w:bookmarkStart w:id="106" w:name="_Toc154652602"/>
      <w:r>
        <w:t>Pseudonyme Daten und Betroffenenrechte</w:t>
      </w:r>
      <w:bookmarkEnd w:id="106"/>
    </w:p>
    <w:p w14:paraId="69087A42" w14:textId="698A8067" w:rsidR="00F07B36" w:rsidRDefault="00000000">
      <w:r>
        <w:t xml:space="preserve">Pseudonyme Daten gelten als personenbezogene Daten, daher gelten auch die Betroffenenrechte </w:t>
      </w:r>
      <w:r w:rsidR="00027508">
        <w:t>in vollem Umfang</w:t>
      </w:r>
      <w:r>
        <w:t>. Pseudonyme Daten weisen die Besonderheit auf, dass der Verantwortliche</w:t>
      </w:r>
      <w:r w:rsidR="00F07B36">
        <w:t>, der die pseudonymen Daten verarbeiten will,</w:t>
      </w:r>
      <w:r>
        <w:t xml:space="preserve"> die betroffene Person nicht identifizieren kann. </w:t>
      </w:r>
      <w:r w:rsidR="00F07B36">
        <w:t xml:space="preserve">Nur </w:t>
      </w:r>
      <w:r w:rsidR="00F07B36" w:rsidRPr="00F07B36">
        <w:t>der Verantwortliche</w:t>
      </w:r>
      <w:r w:rsidR="00F07B36">
        <w:t xml:space="preserve">, der die Daten ursprünglich personenbezogen erhoben und – idealerweise – dem anderen Verantwortlichen die </w:t>
      </w:r>
      <w:r w:rsidR="00F07B36" w:rsidRPr="004832F9">
        <w:t>pseudonymisierten</w:t>
      </w:r>
      <w:r w:rsidR="00F07B36">
        <w:t xml:space="preserve"> Daten</w:t>
      </w:r>
      <w:r w:rsidR="00F07B36" w:rsidRPr="00F07B36">
        <w:t xml:space="preserve"> </w:t>
      </w:r>
      <w:r w:rsidR="00F07B36">
        <w:t>zur Verfügung stellte, sollte eine Re-Identifikation durchführen können. Jeder Auftragsverarbeiter gehört in die Sphäre eines Verantwortlichen, sodass die Zuordnung pseudonyme Daten oder nicht, vom jeweiligen Verantwortlichen „geerbt“ wird.</w:t>
      </w:r>
    </w:p>
    <w:p w14:paraId="274FBDE8" w14:textId="59CA02A9" w:rsidR="00AE4EA7" w:rsidRDefault="00F07B36">
      <w:r>
        <w:t>Die Tatsache</w:t>
      </w:r>
      <w:r w:rsidR="006F0B0E">
        <w:t>,</w:t>
      </w:r>
      <w:r w:rsidR="00723031" w:rsidRPr="00723031">
        <w:t xml:space="preserve"> </w:t>
      </w:r>
      <w:r w:rsidR="00723031">
        <w:t xml:space="preserve">dass der </w:t>
      </w:r>
      <w:r w:rsidR="00723031" w:rsidRPr="004832F9">
        <w:t>die pseudonymen Daten verarbeitende Verantwortliche</w:t>
      </w:r>
      <w:r w:rsidR="00723031">
        <w:t xml:space="preserve"> </w:t>
      </w:r>
      <w:r>
        <w:t>keine Kontaktmöglichkeit zur betroffenen Person besitzt,</w:t>
      </w:r>
      <w:r w:rsidRPr="00F07B36">
        <w:t xml:space="preserve"> </w:t>
      </w:r>
      <w:r>
        <w:t>macht es notwendig, dass jegliche Kommunikation mit der betroffenen Person nur über den Verantwortlichen laufen kann, welcher die Daten (ursprünglich) erhoben hat, d. h. welcher die betroffenen Personen – ggf. mittels einer Zuordnungstabelle – identifizieren und somit</w:t>
      </w:r>
      <w:r w:rsidR="00FE3F29">
        <w:t xml:space="preserve"> </w:t>
      </w:r>
      <w:r>
        <w:t>auch kontaktieren kann.</w:t>
      </w:r>
    </w:p>
    <w:p w14:paraId="39353B82" w14:textId="77777777" w:rsidR="00AE4EA7" w:rsidRDefault="00000000">
      <w:pPr>
        <w:pStyle w:val="berschrift3"/>
      </w:pPr>
      <w:bookmarkStart w:id="107" w:name="_Toc154652603"/>
      <w:r>
        <w:t>Information bei Zweckänderung</w:t>
      </w:r>
      <w:bookmarkEnd w:id="107"/>
    </w:p>
    <w:p w14:paraId="4A38B5FB" w14:textId="5AF6EF70" w:rsidR="00AE4EA7" w:rsidRDefault="00000000">
      <w:r>
        <w:t xml:space="preserve">Häufig </w:t>
      </w:r>
      <w:r w:rsidR="00723031" w:rsidRPr="00723031">
        <w:t>werden Daten anonymisiert/pseudonymisiert</w:t>
      </w:r>
      <w:r>
        <w:t>, um die</w:t>
      </w:r>
      <w:r w:rsidR="00723031">
        <w:t>se</w:t>
      </w:r>
      <w:r>
        <w:t xml:space="preserve"> </w:t>
      </w:r>
      <w:r w:rsidR="00723031">
        <w:t>dann</w:t>
      </w:r>
      <w:r>
        <w:t xml:space="preserve"> </w:t>
      </w:r>
      <w:r w:rsidR="00723031">
        <w:t>für</w:t>
      </w:r>
      <w:r>
        <w:t xml:space="preserve"> eine</w:t>
      </w:r>
      <w:r w:rsidR="00723031">
        <w:t>n</w:t>
      </w:r>
      <w:r>
        <w:t xml:space="preserve"> anderen Zweck als de</w:t>
      </w:r>
      <w:r w:rsidR="00F07B36">
        <w:t>m</w:t>
      </w:r>
      <w:r>
        <w:t xml:space="preserve"> ursprünglichen zu verwenden. Gemäß Art. 13 Abs. 4 bzw. Art. 14 Abs. 4 DS-GVO muss der Verantwortliche </w:t>
      </w:r>
      <w:r>
        <w:rPr>
          <w:u w:val="single"/>
        </w:rPr>
        <w:t>vorher</w:t>
      </w:r>
      <w:r>
        <w:t xml:space="preserve"> (insbesondere noch vor der Pseudonymisierung/Anonymisierung) der bzw. den betroffenen Personen Informationen über diesen </w:t>
      </w:r>
      <w:r w:rsidR="00027508">
        <w:t>weiteren</w:t>
      </w:r>
      <w:r>
        <w:t xml:space="preserve"> Zweck und alle anderen maßgeblichen Informationen gemäß Art. 13</w:t>
      </w:r>
      <w:r w:rsidR="00F07B36">
        <w:t xml:space="preserve"> und/oder Art. </w:t>
      </w:r>
      <w:r>
        <w:t>14 Abs. 2 DS-GVO zur Verfügung stellen.</w:t>
      </w:r>
    </w:p>
    <w:p w14:paraId="7CAA2A28" w14:textId="77777777" w:rsidR="00AE4EA7" w:rsidRDefault="00000000">
      <w:pPr>
        <w:pStyle w:val="berschrift2"/>
      </w:pPr>
      <w:bookmarkStart w:id="108" w:name="_Toc154652604"/>
      <w:r w:rsidRPr="004832F9">
        <w:t>Privacy</w:t>
      </w:r>
      <w:r>
        <w:t xml:space="preserve"> </w:t>
      </w:r>
      <w:r w:rsidRPr="004832F9">
        <w:t>by</w:t>
      </w:r>
      <w:r>
        <w:t xml:space="preserve"> Design/Default</w:t>
      </w:r>
      <w:bookmarkEnd w:id="108"/>
    </w:p>
    <w:p w14:paraId="272047C7" w14:textId="6FAF4BDB" w:rsidR="00AE4EA7" w:rsidRDefault="00000000" w:rsidP="004D05D2">
      <w:r>
        <w:t>Entsprechend Art. 25 DS-GVO muss die Pseudonymisierung bzw. Anonymisierung über den vollständigen Lebenszyklus der Daten, d. h. von der Erhebung bis zur endgültigen Vernichtung</w:t>
      </w:r>
      <w:r w:rsidR="00F07B36">
        <w:t xml:space="preserve"> (z. B. eine vollständige Löschung)</w:t>
      </w:r>
      <w:r>
        <w:t xml:space="preserve">, aufrechterhalten werden. Änderungen in der technischen Entwicklung </w:t>
      </w:r>
      <w:r w:rsidR="00F07B36">
        <w:t>(Stand der Technik</w:t>
      </w:r>
      <w:r w:rsidR="002A7B67">
        <w:t xml:space="preserve">, ggf. auch Stand der Wissenschaft, siehe hierzu auch Kapitel </w:t>
      </w:r>
      <w:r w:rsidR="002A7B67">
        <w:fldChar w:fldCharType="begin"/>
      </w:r>
      <w:r w:rsidR="002A7B67">
        <w:instrText xml:space="preserve"> REF _Ref154652695 \r \h </w:instrText>
      </w:r>
      <w:r w:rsidR="002A7B67">
        <w:fldChar w:fldCharType="separate"/>
      </w:r>
      <w:r w:rsidR="00C9149F">
        <w:t>9.14</w:t>
      </w:r>
      <w:r w:rsidR="002A7B67">
        <w:fldChar w:fldCharType="end"/>
      </w:r>
      <w:r w:rsidR="00F07B36">
        <w:t xml:space="preserve">) </w:t>
      </w:r>
      <w:r>
        <w:t xml:space="preserve">müssen während dieser Zeit betrachtet, </w:t>
      </w:r>
      <w:r w:rsidR="00F07B36">
        <w:t>hinsichtlich</w:t>
      </w:r>
      <w:r>
        <w:t xml:space="preserve"> der Auswirkungen auf die </w:t>
      </w:r>
      <w:r w:rsidRPr="004832F9">
        <w:t>pseudonymisierten</w:t>
      </w:r>
      <w:r>
        <w:t>/anonymisierten Daten bewertet und ggf. erforderliche Maßnahmen abgeleitet und umgesetzt werden</w:t>
      </w:r>
      <w:r>
        <w:rPr>
          <w:rStyle w:val="Funotenanker"/>
        </w:rPr>
        <w:footnoteReference w:id="58"/>
      </w:r>
      <w:r>
        <w:t>.</w:t>
      </w:r>
    </w:p>
    <w:p w14:paraId="5413EE13" w14:textId="7F87496D" w:rsidR="00AE4EA7" w:rsidRDefault="00000000">
      <w:pPr>
        <w:pStyle w:val="berschrift2"/>
      </w:pPr>
      <w:bookmarkStart w:id="109" w:name="_Toc154652605"/>
      <w:r>
        <w:t>Datenschutz-</w:t>
      </w:r>
      <w:r w:rsidR="00F37D05">
        <w:t>Folgenabschätzung</w:t>
      </w:r>
      <w:bookmarkEnd w:id="109"/>
    </w:p>
    <w:p w14:paraId="3F33369C" w14:textId="6AF9D6C4" w:rsidR="00AE4EA7" w:rsidRDefault="00CE7680" w:rsidP="00CE7680">
      <w:r>
        <w:t>Entsprechend Art. 35 Abs. 4 D</w:t>
      </w:r>
      <w:r w:rsidR="00DA4224">
        <w:t>S-</w:t>
      </w:r>
      <w:r>
        <w:t xml:space="preserve">GVO müssen Aufsichtsbehörden </w:t>
      </w:r>
      <w:r w:rsidRPr="000F54FE">
        <w:t xml:space="preserve">eine Liste </w:t>
      </w:r>
      <w:r w:rsidRPr="004832F9">
        <w:t>mit Verarbeitungsvorgänge</w:t>
      </w:r>
      <w:r w:rsidR="004832F9" w:rsidRPr="004832F9">
        <w:t>n</w:t>
      </w:r>
      <w:r w:rsidRPr="000F54FE">
        <w:t>,</w:t>
      </w:r>
      <w:r>
        <w:t xml:space="preserve"> für die eine Datenschutz-Folgenabschätzung erf</w:t>
      </w:r>
      <w:r w:rsidR="00DA4224">
        <w:t>o</w:t>
      </w:r>
      <w:r>
        <w:t xml:space="preserve">rderlich ist, veröffentlichen. Dementsprechend </w:t>
      </w:r>
      <w:r w:rsidRPr="004832F9">
        <w:t xml:space="preserve">veröffentlichten auch die Aufsichtsbehörden </w:t>
      </w:r>
      <w:r w:rsidR="004832F9" w:rsidRPr="004832F9">
        <w:t xml:space="preserve">des Bundes und </w:t>
      </w:r>
      <w:r w:rsidRPr="004832F9">
        <w:t xml:space="preserve">der jeweiligen Bundesländer </w:t>
      </w:r>
      <w:r>
        <w:t>Listen mit Kriterien, wann eine Datenschutz</w:t>
      </w:r>
      <w:r w:rsidR="004D05D2">
        <w:t>-F</w:t>
      </w:r>
      <w:r>
        <w:t xml:space="preserve">olgenabschätzung erforderlich ist. </w:t>
      </w:r>
      <w:r w:rsidR="00306A58">
        <w:t>D</w:t>
      </w:r>
      <w:r>
        <w:t>abei unterscheiden die Aufsichtsbehörden zwischen Verarbeitungen von öffentlichen und nicht-öffentlichen Stellen.</w:t>
      </w:r>
      <w:r w:rsidDel="00CE7680">
        <w:t xml:space="preserve"> </w:t>
      </w:r>
    </w:p>
    <w:p w14:paraId="2AC2C661" w14:textId="3EA17371" w:rsidR="00AE4EA7" w:rsidRDefault="00000000">
      <w:pPr>
        <w:spacing w:after="0"/>
      </w:pPr>
      <w:r>
        <w:t xml:space="preserve">2018 veröffentlichte die </w:t>
      </w:r>
      <w:r w:rsidRPr="004832F9">
        <w:t>DSK</w:t>
      </w:r>
      <w:r>
        <w:t xml:space="preserve"> eine abgestimmte Liste von Verarbeitungsvorgängen</w:t>
      </w:r>
      <w:r w:rsidR="00CE7680">
        <w:t xml:space="preserve"> für den nicht-öffentlichen Bereich</w:t>
      </w:r>
      <w:r w:rsidR="00CE7680">
        <w:rPr>
          <w:rStyle w:val="Funotenanker"/>
        </w:rPr>
        <w:t xml:space="preserve"> </w:t>
      </w:r>
      <w:r>
        <w:rPr>
          <w:rStyle w:val="Funotenanker"/>
        </w:rPr>
        <w:footnoteReference w:id="59"/>
      </w:r>
      <w:r>
        <w:t xml:space="preserve">, </w:t>
      </w:r>
      <w:r w:rsidR="00CE7680">
        <w:t xml:space="preserve">in </w:t>
      </w:r>
      <w:r>
        <w:t>welche</w:t>
      </w:r>
      <w:r w:rsidR="00CE7680">
        <w:t>r festgelegt wurde, welche Verarbeitungen auf jeden Fall</w:t>
      </w:r>
      <w:r>
        <w:t xml:space="preserve"> eine Datenschutz-Folgenabschätzung </w:t>
      </w:r>
      <w:r w:rsidRPr="004C1658">
        <w:t>erforde</w:t>
      </w:r>
      <w:r w:rsidR="004C1658" w:rsidRPr="004C1658">
        <w:t>r</w:t>
      </w:r>
      <w:r w:rsidRPr="004C1658">
        <w:t>n</w:t>
      </w:r>
      <w:r w:rsidR="00CE7680">
        <w:t>; diese Liste wurde inhaltlich von allen Aufsichtsbehörden übernommen. In dieser Liste</w:t>
      </w:r>
      <w:r>
        <w:t xml:space="preserve"> findet sich:</w:t>
      </w:r>
    </w:p>
    <w:tbl>
      <w:tblPr>
        <w:tblStyle w:val="Tabellenraster"/>
        <w:tblW w:w="9212" w:type="dxa"/>
        <w:tblLayout w:type="fixed"/>
        <w:tblLook w:val="04A0" w:firstRow="1" w:lastRow="0" w:firstColumn="1" w:lastColumn="0" w:noHBand="0" w:noVBand="1"/>
      </w:tblPr>
      <w:tblGrid>
        <w:gridCol w:w="958"/>
        <w:gridCol w:w="8254"/>
      </w:tblGrid>
      <w:tr w:rsidR="00AE4EA7" w14:paraId="5EF6FD16" w14:textId="77777777">
        <w:tc>
          <w:tcPr>
            <w:tcW w:w="958" w:type="dxa"/>
          </w:tcPr>
          <w:p w14:paraId="0D414A90" w14:textId="77777777" w:rsidR="00AE4EA7" w:rsidRDefault="00000000">
            <w:pPr>
              <w:widowControl w:val="0"/>
              <w:spacing w:after="0" w:line="240" w:lineRule="auto"/>
              <w:jc w:val="center"/>
              <w:rPr>
                <w:b/>
                <w:bCs/>
              </w:rPr>
            </w:pPr>
            <w:r>
              <w:rPr>
                <w:rFonts w:eastAsia="Calibri"/>
                <w:b/>
                <w:bCs/>
              </w:rPr>
              <w:t>Ziffer</w:t>
            </w:r>
          </w:p>
        </w:tc>
        <w:tc>
          <w:tcPr>
            <w:tcW w:w="8253" w:type="dxa"/>
          </w:tcPr>
          <w:p w14:paraId="1CD62931" w14:textId="77777777" w:rsidR="00AE4EA7" w:rsidRDefault="00000000">
            <w:pPr>
              <w:widowControl w:val="0"/>
              <w:spacing w:after="0" w:line="240" w:lineRule="auto"/>
              <w:jc w:val="center"/>
              <w:rPr>
                <w:b/>
                <w:bCs/>
              </w:rPr>
            </w:pPr>
            <w:r>
              <w:rPr>
                <w:rFonts w:eastAsia="Calibri"/>
                <w:b/>
                <w:bCs/>
              </w:rPr>
              <w:t>Kriterium</w:t>
            </w:r>
          </w:p>
        </w:tc>
      </w:tr>
      <w:tr w:rsidR="00AE4EA7" w14:paraId="2F35F7A9" w14:textId="77777777">
        <w:tc>
          <w:tcPr>
            <w:tcW w:w="958" w:type="dxa"/>
          </w:tcPr>
          <w:p w14:paraId="44582F5A" w14:textId="77777777" w:rsidR="00AE4EA7" w:rsidRDefault="00000000">
            <w:pPr>
              <w:widowControl w:val="0"/>
              <w:spacing w:after="0" w:line="240" w:lineRule="auto"/>
              <w:rPr>
                <w:rFonts w:ascii="Calibri" w:eastAsia="Calibri" w:hAnsi="Calibri"/>
              </w:rPr>
            </w:pPr>
            <w:r>
              <w:rPr>
                <w:rFonts w:eastAsia="Calibri"/>
              </w:rPr>
              <w:t>15</w:t>
            </w:r>
          </w:p>
        </w:tc>
        <w:tc>
          <w:tcPr>
            <w:tcW w:w="8253" w:type="dxa"/>
          </w:tcPr>
          <w:p w14:paraId="061D5AED" w14:textId="10A500ED" w:rsidR="00AE4EA7" w:rsidRDefault="00000000">
            <w:pPr>
              <w:widowControl w:val="0"/>
              <w:spacing w:after="0" w:line="240" w:lineRule="auto"/>
              <w:rPr>
                <w:rFonts w:ascii="Calibri" w:eastAsia="Calibri" w:hAnsi="Calibri"/>
              </w:rPr>
            </w:pPr>
            <w:r>
              <w:rPr>
                <w:rFonts w:eastAsia="Calibri"/>
              </w:rPr>
              <w:t xml:space="preserve">Anonymisierung von besonderen personenbezogenen Daten nach </w:t>
            </w:r>
            <w:r w:rsidR="009D356D">
              <w:rPr>
                <w:rFonts w:eastAsia="Calibri"/>
              </w:rPr>
              <w:t xml:space="preserve">Artikel </w:t>
            </w:r>
            <w:r>
              <w:rPr>
                <w:rFonts w:eastAsia="Calibri"/>
              </w:rPr>
              <w:t>9 DS-GVO nicht nur in Einzelfällen (in Bezug auf die Zahl der betroffenen Personen und die Angaben je betroffener Person) zum Zweck der Übermittlung an Dritte</w:t>
            </w:r>
          </w:p>
        </w:tc>
      </w:tr>
    </w:tbl>
    <w:p w14:paraId="446AE5C3" w14:textId="77777777" w:rsidR="00AE4EA7" w:rsidRDefault="00000000">
      <w:pPr>
        <w:spacing w:before="200"/>
      </w:pPr>
      <w:r>
        <w:t xml:space="preserve">Als typisches Einsatzfeld für dieses Kriterium nennt die </w:t>
      </w:r>
      <w:r w:rsidRPr="004832F9">
        <w:t>DSK</w:t>
      </w:r>
      <w:r>
        <w:t xml:space="preserve"> „Anonymisierung von besonderen Arten personenbezogener Daten nach Artikel 9“, d. h. bei jeder Anonymisierung von genetischen oder Gesundheitsdaten wird eine Datenschutz-Folgenabschätzung erforderlich sein.</w:t>
      </w:r>
    </w:p>
    <w:p w14:paraId="0FD5EBBF" w14:textId="77777777" w:rsidR="00CE7680" w:rsidRDefault="00CE7680" w:rsidP="00CE7680">
      <w:pPr>
        <w:spacing w:after="80"/>
      </w:pPr>
      <w:r>
        <w:t>Für den öffentlichen Bereich finden sich Listen im Internet:</w:t>
      </w:r>
    </w:p>
    <w:p w14:paraId="1CC1A98C" w14:textId="5623CE0A" w:rsidR="00CE7680" w:rsidRDefault="00CE7680" w:rsidP="00CE7680">
      <w:pPr>
        <w:pStyle w:val="Listenabsatz"/>
        <w:numPr>
          <w:ilvl w:val="0"/>
          <w:numId w:val="53"/>
        </w:numPr>
        <w:spacing w:after="80"/>
        <w:jc w:val="left"/>
      </w:pPr>
      <w:r w:rsidRPr="000F54FE">
        <w:t>Bundesbeauftragte für den Datenschutz und die Informationsfreiheit</w:t>
      </w:r>
      <w:r>
        <w:t xml:space="preserve"> (BfDI)</w:t>
      </w:r>
      <w:r>
        <w:br/>
      </w:r>
      <w:hyperlink r:id="rId21" w:history="1">
        <w:r w:rsidRPr="004524E7">
          <w:rPr>
            <w:rStyle w:val="Hyperlink"/>
          </w:rPr>
          <w:t>https://www.bfdi.bund.de/DE/Fachthemen/Inhalte/Technik/Datenschutz-Folgenabschaetzungen.html</w:t>
        </w:r>
      </w:hyperlink>
    </w:p>
    <w:p w14:paraId="4C922B50" w14:textId="54F198CA" w:rsidR="00CE7680" w:rsidRDefault="00CE7680" w:rsidP="00CE7680">
      <w:pPr>
        <w:pStyle w:val="Listenabsatz"/>
        <w:numPr>
          <w:ilvl w:val="0"/>
          <w:numId w:val="53"/>
        </w:numPr>
        <w:spacing w:after="80"/>
        <w:jc w:val="left"/>
      </w:pPr>
      <w:r w:rsidRPr="000F54FE">
        <w:t>Bayerische Landesbeauftragte für den Datenschutz (</w:t>
      </w:r>
      <w:r w:rsidRPr="004832F9">
        <w:t>BayLfD</w:t>
      </w:r>
      <w:r w:rsidRPr="000F54FE">
        <w:t>)</w:t>
      </w:r>
      <w:r>
        <w:br/>
      </w:r>
      <w:hyperlink r:id="rId22" w:history="1">
        <w:r w:rsidRPr="004524E7">
          <w:rPr>
            <w:rStyle w:val="Hyperlink"/>
          </w:rPr>
          <w:t>https://www.datenschutz-bayern.de/datenschutzreform2018/DSFA_Blacklist.pdf</w:t>
        </w:r>
      </w:hyperlink>
    </w:p>
    <w:p w14:paraId="1E947288" w14:textId="5A1936A8" w:rsidR="00CE7680" w:rsidRDefault="00CE7680" w:rsidP="00CE7680">
      <w:pPr>
        <w:pStyle w:val="Listenabsatz"/>
        <w:numPr>
          <w:ilvl w:val="0"/>
          <w:numId w:val="53"/>
        </w:numPr>
        <w:spacing w:after="80"/>
        <w:jc w:val="left"/>
      </w:pPr>
      <w:r w:rsidRPr="000F54FE">
        <w:t>Berliner Beauftragte für Datenschutz und Informationsfreiheit</w:t>
      </w:r>
      <w:r>
        <w:br/>
      </w:r>
      <w:hyperlink r:id="rId23" w:history="1">
        <w:r w:rsidRPr="004524E7">
          <w:rPr>
            <w:rStyle w:val="Hyperlink"/>
          </w:rPr>
          <w:t>https://www.datenschutz-berlin.de/datenschutz/datenschutz-folgenabschaetzung/</w:t>
        </w:r>
      </w:hyperlink>
    </w:p>
    <w:p w14:paraId="3FFA9669" w14:textId="4634BB03" w:rsidR="00CE7680" w:rsidRDefault="00CE7680" w:rsidP="00CE7680">
      <w:pPr>
        <w:pStyle w:val="Listenabsatz"/>
        <w:numPr>
          <w:ilvl w:val="0"/>
          <w:numId w:val="53"/>
        </w:numPr>
        <w:spacing w:after="80"/>
        <w:jc w:val="left"/>
      </w:pPr>
      <w:r w:rsidRPr="000F54FE">
        <w:t>Landesbeauftragte für den Datenschutz und für das Recht auf Akteneinsicht</w:t>
      </w:r>
      <w:r>
        <w:t xml:space="preserve"> Brandenburg</w:t>
      </w:r>
      <w:r>
        <w:br/>
      </w:r>
      <w:hyperlink r:id="rId24" w:history="1">
        <w:r w:rsidRPr="004524E7">
          <w:rPr>
            <w:rStyle w:val="Hyperlink"/>
          </w:rPr>
          <w:t>https://www.lda.brandenburg.de/sixcms/media.php/9/DSFA_Muss_Liste_oeffentlich_21062019.pdf</w:t>
        </w:r>
      </w:hyperlink>
    </w:p>
    <w:p w14:paraId="0B690D2B" w14:textId="7D1BB01A" w:rsidR="00CE7680" w:rsidRDefault="00CE7680" w:rsidP="00CE7680">
      <w:pPr>
        <w:pStyle w:val="Listenabsatz"/>
        <w:numPr>
          <w:ilvl w:val="0"/>
          <w:numId w:val="53"/>
        </w:numPr>
        <w:spacing w:after="80"/>
        <w:jc w:val="left"/>
      </w:pPr>
      <w:r w:rsidRPr="000F54FE">
        <w:t>Landesbeauftragte für Datenschutz und Informationsfreiheit</w:t>
      </w:r>
      <w:r>
        <w:t xml:space="preserve"> Bremen</w:t>
      </w:r>
      <w:r>
        <w:br/>
      </w:r>
      <w:hyperlink r:id="rId25" w:history="1">
        <w:r w:rsidRPr="004524E7">
          <w:rPr>
            <w:rStyle w:val="Hyperlink"/>
          </w:rPr>
          <w:t>https://www.datenschutz.bremen.de/sixcms/media.php/13/Liste%20von%20Verarbeitungsvorg%C3%A4ngen%20nach%20Artikel%2035.pdf</w:t>
        </w:r>
      </w:hyperlink>
    </w:p>
    <w:p w14:paraId="270785BC" w14:textId="6B4DB192" w:rsidR="001C645C" w:rsidRDefault="001C645C" w:rsidP="00CE7680">
      <w:pPr>
        <w:pStyle w:val="Listenabsatz"/>
        <w:numPr>
          <w:ilvl w:val="0"/>
          <w:numId w:val="53"/>
        </w:numPr>
        <w:spacing w:after="80"/>
        <w:jc w:val="left"/>
      </w:pPr>
      <w:r w:rsidRPr="001C645C">
        <w:t>Hamburgische Beauftragte für Datenschutz und Informationsfreiheit der Freien und Hansestadt Hamburg</w:t>
      </w:r>
      <w:r>
        <w:br/>
      </w:r>
      <w:hyperlink r:id="rId26" w:history="1">
        <w:r w:rsidRPr="000D3C69">
          <w:rPr>
            <w:rStyle w:val="Hyperlink"/>
          </w:rPr>
          <w:t>https://datenschutz-hamburg.de/fileadmin/user</w:t>
        </w:r>
        <w:r w:rsidRPr="004832F9">
          <w:rPr>
            <w:rStyle w:val="Hyperlink"/>
          </w:rPr>
          <w:t>_upload</w:t>
        </w:r>
        <w:r w:rsidRPr="000D3C69">
          <w:rPr>
            <w:rStyle w:val="Hyperlink"/>
          </w:rPr>
          <w:t>/</w:t>
        </w:r>
        <w:r w:rsidRPr="004832F9">
          <w:rPr>
            <w:rStyle w:val="Hyperlink"/>
          </w:rPr>
          <w:t>HmbBfDI</w:t>
        </w:r>
        <w:r w:rsidRPr="000D3C69">
          <w:rPr>
            <w:rStyle w:val="Hyperlink"/>
          </w:rPr>
          <w:t>/Datenschutz/Informationen/</w:t>
        </w:r>
        <w:r w:rsidRPr="004832F9">
          <w:rPr>
            <w:rStyle w:val="Hyperlink"/>
          </w:rPr>
          <w:t>Liste_Art_35-4_DSGVO_HmbBfDI-oeffentlicher_Bereich_v2.0a.pdf</w:t>
        </w:r>
      </w:hyperlink>
    </w:p>
    <w:p w14:paraId="2D672DE3" w14:textId="4C149208" w:rsidR="004079CF" w:rsidRDefault="004079CF" w:rsidP="00CE7680">
      <w:pPr>
        <w:pStyle w:val="Listenabsatz"/>
        <w:numPr>
          <w:ilvl w:val="0"/>
          <w:numId w:val="53"/>
        </w:numPr>
        <w:spacing w:after="80"/>
        <w:jc w:val="left"/>
      </w:pPr>
      <w:r w:rsidRPr="004079CF">
        <w:t>Landesbeauftragter für Datenschutz und Informationsfreiheit</w:t>
      </w:r>
      <w:r>
        <w:t xml:space="preserve"> </w:t>
      </w:r>
      <w:r w:rsidRPr="004079CF">
        <w:t>Mecklenburg-Vorpommern</w:t>
      </w:r>
      <w:r>
        <w:br/>
      </w:r>
      <w:hyperlink r:id="rId27" w:history="1">
        <w:r w:rsidRPr="000D3C69">
          <w:rPr>
            <w:rStyle w:val="Hyperlink"/>
          </w:rPr>
          <w:t>https://www.datenschutz-mv.de/static/DS/Dateien/DS-GVO/HilfsmittelzurUmsetzung/MV-DSFA-Muss-Liste-Oeffentlicher-Bereich.pdf</w:t>
        </w:r>
      </w:hyperlink>
    </w:p>
    <w:p w14:paraId="67712323" w14:textId="5D16A4EA" w:rsidR="002C5FB1" w:rsidRDefault="002C5FB1" w:rsidP="00CE7680">
      <w:pPr>
        <w:pStyle w:val="Listenabsatz"/>
        <w:numPr>
          <w:ilvl w:val="0"/>
          <w:numId w:val="53"/>
        </w:numPr>
        <w:spacing w:after="80"/>
        <w:jc w:val="left"/>
      </w:pPr>
      <w:r w:rsidRPr="002C5FB1">
        <w:t>Landesbeauftragte für den Datenschutz Niedersachsen</w:t>
      </w:r>
      <w:r>
        <w:br/>
      </w:r>
      <w:hyperlink r:id="rId28" w:history="1">
        <w:r w:rsidRPr="000D3C69">
          <w:rPr>
            <w:rStyle w:val="Hyperlink"/>
          </w:rPr>
          <w:t>https://www.lfd.niedersachsen.de/startseite/datenschutzrecht/ds_gvo/liste_von_verarbeitungsvorgangen_nach_art_35_abs_4_ds_gvo/muss-listen-zur-datenschutz-folgenabschatzung-179663.html</w:t>
        </w:r>
      </w:hyperlink>
    </w:p>
    <w:p w14:paraId="04BF15FB" w14:textId="42FDF310" w:rsidR="008C6D31" w:rsidRDefault="008C6D31" w:rsidP="00CE7680">
      <w:pPr>
        <w:pStyle w:val="Listenabsatz"/>
        <w:numPr>
          <w:ilvl w:val="0"/>
          <w:numId w:val="53"/>
        </w:numPr>
        <w:spacing w:after="80"/>
        <w:jc w:val="left"/>
      </w:pPr>
      <w:r w:rsidRPr="008C6D31">
        <w:t>Landesbeauftragte für Datenschutz und Informationsfreiheit Nordrhein-Westfalen</w:t>
      </w:r>
      <w:r>
        <w:br/>
      </w:r>
      <w:hyperlink r:id="rId29" w:history="1">
        <w:r w:rsidRPr="000D3C69">
          <w:rPr>
            <w:rStyle w:val="Hyperlink"/>
          </w:rPr>
          <w:t>https://www.ldi.nrw.de/liste-von-verarbeitungsvorgaengen-nach-art-35-abs-4-ds-gvo-fuer-den-oeffentlichen-bereich</w:t>
        </w:r>
      </w:hyperlink>
    </w:p>
    <w:p w14:paraId="0FEA33EB" w14:textId="16AC1CA5" w:rsidR="008B6A2F" w:rsidRDefault="008B6A2F" w:rsidP="008B6A2F">
      <w:pPr>
        <w:pStyle w:val="Listenabsatz"/>
        <w:numPr>
          <w:ilvl w:val="0"/>
          <w:numId w:val="53"/>
        </w:numPr>
        <w:spacing w:after="80"/>
        <w:jc w:val="left"/>
      </w:pPr>
      <w:r w:rsidRPr="008B6A2F">
        <w:t>Landesbeauftragte für den Datenschutz und die Informationsfreiheit Rheinland-Pfalz</w:t>
      </w:r>
      <w:r>
        <w:br/>
      </w:r>
      <w:hyperlink r:id="rId30" w:history="1">
        <w:r w:rsidRPr="000D3C69">
          <w:rPr>
            <w:rStyle w:val="Hyperlink"/>
          </w:rPr>
          <w:t>https://www.datenschutz.rlp.de/de/themenfelder-themen/datenschutz-grundverordnung/datenschutz-folgenabschaetzung/</w:t>
        </w:r>
      </w:hyperlink>
    </w:p>
    <w:p w14:paraId="582AE7FC" w14:textId="474CD412" w:rsidR="00CE7680" w:rsidRDefault="00A85B83" w:rsidP="00CE7680">
      <w:pPr>
        <w:pStyle w:val="Listenabsatz"/>
        <w:numPr>
          <w:ilvl w:val="0"/>
          <w:numId w:val="53"/>
        </w:numPr>
        <w:spacing w:after="80"/>
        <w:jc w:val="left"/>
      </w:pPr>
      <w:r w:rsidRPr="00A85B83">
        <w:t>Landesbeauftragter für den Datenschutz Sachsen-Anhalt</w:t>
      </w:r>
      <w:r>
        <w:br/>
      </w:r>
      <w:hyperlink r:id="rId31" w:history="1">
        <w:r w:rsidRPr="000D3C69">
          <w:rPr>
            <w:rStyle w:val="Hyperlink"/>
          </w:rPr>
          <w:t>https://datenschutz.sachsen-anhalt.de/informationen/internationales/datenschutz-grundverordnung/liste-datenschutz-folgenabschaetzung</w:t>
        </w:r>
      </w:hyperlink>
    </w:p>
    <w:p w14:paraId="53F82D0D" w14:textId="1CECDB98" w:rsidR="00A85B83" w:rsidRDefault="00A562BF" w:rsidP="00CE7680">
      <w:pPr>
        <w:pStyle w:val="Listenabsatz"/>
        <w:numPr>
          <w:ilvl w:val="0"/>
          <w:numId w:val="53"/>
        </w:numPr>
        <w:spacing w:after="80"/>
        <w:jc w:val="left"/>
      </w:pPr>
      <w:r w:rsidRPr="00A562BF">
        <w:t>Unabhängiges Landeszentrum für Datenschutz Schleswig-Holstein</w:t>
      </w:r>
      <w:r>
        <w:br/>
      </w:r>
      <w:hyperlink r:id="rId32" w:anchor="dsfa" w:history="1">
        <w:r w:rsidRPr="000D3C69">
          <w:rPr>
            <w:rStyle w:val="Hyperlink"/>
          </w:rPr>
          <w:t>https://www.datenschutzzentrum.de/dsgvo/#dsfa</w:t>
        </w:r>
      </w:hyperlink>
    </w:p>
    <w:p w14:paraId="171AC008" w14:textId="38AA6B57" w:rsidR="00A562BF" w:rsidRDefault="00A562BF" w:rsidP="00A562BF">
      <w:pPr>
        <w:pStyle w:val="Listenabsatz"/>
        <w:numPr>
          <w:ilvl w:val="0"/>
          <w:numId w:val="53"/>
        </w:numPr>
        <w:spacing w:after="80"/>
        <w:jc w:val="left"/>
      </w:pPr>
      <w:r w:rsidRPr="00A562BF">
        <w:t>Thüringer Landesbeauftragter für den Datenschutz und die Informationsfreiheit (</w:t>
      </w:r>
      <w:r w:rsidRPr="004832F9">
        <w:t>TLfDI</w:t>
      </w:r>
      <w:r w:rsidRPr="00A562BF">
        <w:t>)</w:t>
      </w:r>
      <w:r>
        <w:br/>
      </w:r>
      <w:hyperlink r:id="rId33" w:history="1">
        <w:r w:rsidRPr="000D3C69">
          <w:rPr>
            <w:rStyle w:val="Hyperlink"/>
          </w:rPr>
          <w:t>https://www.tlfdi.de/fileadmin/tlfdi/datenschutz/dsfa_muss-liste_04_07_18.pdf</w:t>
        </w:r>
      </w:hyperlink>
    </w:p>
    <w:p w14:paraId="0B91AA89" w14:textId="09CBB691" w:rsidR="00CE7680" w:rsidRDefault="00A562BF">
      <w:pPr>
        <w:spacing w:before="200"/>
      </w:pPr>
      <w:r>
        <w:t>Die Listen beinhalten - direkt oder indirekt – Verarbeitungen, welche eine Anonymisierung und/oder Pseudonymisierung adressieren und somit eine Datenschutz-Folgenabschätzung vor Beginn der Verarbeitung verlangen.</w:t>
      </w:r>
    </w:p>
    <w:tbl>
      <w:tblPr>
        <w:tblStyle w:val="Tabellenraster"/>
        <w:tblW w:w="9212" w:type="dxa"/>
        <w:tblLayout w:type="fixed"/>
        <w:tblLook w:val="04A0" w:firstRow="1" w:lastRow="0" w:firstColumn="1" w:lastColumn="0" w:noHBand="0" w:noVBand="1"/>
      </w:tblPr>
      <w:tblGrid>
        <w:gridCol w:w="6629"/>
        <w:gridCol w:w="2583"/>
      </w:tblGrid>
      <w:tr w:rsidR="00CE7680" w14:paraId="7CD6CA9B" w14:textId="77777777" w:rsidTr="00822206">
        <w:trPr>
          <w:tblHeader/>
        </w:trPr>
        <w:tc>
          <w:tcPr>
            <w:tcW w:w="6629" w:type="dxa"/>
          </w:tcPr>
          <w:p w14:paraId="77587273" w14:textId="77777777" w:rsidR="00CE7680" w:rsidRDefault="00CE7680" w:rsidP="009B69EC">
            <w:pPr>
              <w:widowControl w:val="0"/>
              <w:spacing w:after="0" w:line="240" w:lineRule="auto"/>
              <w:jc w:val="center"/>
              <w:rPr>
                <w:b/>
              </w:rPr>
            </w:pPr>
            <w:r>
              <w:rPr>
                <w:rFonts w:eastAsia="Calibri"/>
                <w:b/>
              </w:rPr>
              <w:t>Kriterium</w:t>
            </w:r>
          </w:p>
        </w:tc>
        <w:tc>
          <w:tcPr>
            <w:tcW w:w="2583" w:type="dxa"/>
          </w:tcPr>
          <w:p w14:paraId="172B8D42" w14:textId="77777777" w:rsidR="00CE7680" w:rsidRDefault="00CE7680" w:rsidP="009B69EC">
            <w:pPr>
              <w:widowControl w:val="0"/>
              <w:spacing w:after="0" w:line="240" w:lineRule="auto"/>
              <w:jc w:val="center"/>
              <w:rPr>
                <w:b/>
              </w:rPr>
            </w:pPr>
            <w:r>
              <w:rPr>
                <w:rFonts w:eastAsia="Calibri"/>
                <w:b/>
              </w:rPr>
              <w:t>Bundesland</w:t>
            </w:r>
          </w:p>
        </w:tc>
      </w:tr>
      <w:tr w:rsidR="00CE7680" w:rsidRPr="00F07B36" w14:paraId="6C1E095E" w14:textId="77777777" w:rsidTr="00822206">
        <w:tc>
          <w:tcPr>
            <w:tcW w:w="6629" w:type="dxa"/>
          </w:tcPr>
          <w:p w14:paraId="57278DE6" w14:textId="1DA9A149" w:rsidR="00CE7680" w:rsidRDefault="00CE7680" w:rsidP="00CE7680">
            <w:pPr>
              <w:widowControl w:val="0"/>
              <w:spacing w:after="0" w:line="240" w:lineRule="auto"/>
              <w:jc w:val="left"/>
              <w:rPr>
                <w:rFonts w:ascii="Calibri" w:eastAsia="Calibri" w:hAnsi="Calibri"/>
              </w:rPr>
            </w:pPr>
            <w:r>
              <w:rPr>
                <w:rFonts w:eastAsia="Calibri"/>
              </w:rPr>
              <w:t>Verarbeitung von Patientendaten (</w:t>
            </w:r>
            <w:r w:rsidRPr="004832F9">
              <w:rPr>
                <w:rFonts w:eastAsia="Calibri"/>
              </w:rPr>
              <w:t>Ziff</w:t>
            </w:r>
            <w:r>
              <w:rPr>
                <w:rFonts w:eastAsia="Calibri"/>
              </w:rPr>
              <w:t>. 4, 7 und evtl. 9)</w:t>
            </w:r>
          </w:p>
        </w:tc>
        <w:tc>
          <w:tcPr>
            <w:tcW w:w="2583" w:type="dxa"/>
          </w:tcPr>
          <w:p w14:paraId="37D7C7F0" w14:textId="0F9D1EC0" w:rsidR="00CE7680" w:rsidRPr="00F07B36" w:rsidRDefault="00CE7680" w:rsidP="00CE7680">
            <w:pPr>
              <w:pStyle w:val="Listenabsatz"/>
              <w:widowControl w:val="0"/>
              <w:numPr>
                <w:ilvl w:val="0"/>
                <w:numId w:val="23"/>
              </w:numPr>
              <w:spacing w:after="0" w:line="240" w:lineRule="auto"/>
              <w:ind w:left="319"/>
              <w:jc w:val="left"/>
              <w:rPr>
                <w:rFonts w:eastAsia="Calibri"/>
              </w:rPr>
            </w:pPr>
            <w:r>
              <w:rPr>
                <w:rFonts w:eastAsia="Calibri"/>
              </w:rPr>
              <w:t>Bund</w:t>
            </w:r>
          </w:p>
        </w:tc>
      </w:tr>
      <w:tr w:rsidR="00CE7680" w:rsidRPr="00F07B36" w14:paraId="6664EDE2" w14:textId="77777777" w:rsidTr="00822206">
        <w:tc>
          <w:tcPr>
            <w:tcW w:w="6629" w:type="dxa"/>
          </w:tcPr>
          <w:p w14:paraId="2941B280" w14:textId="6F81FD4D" w:rsidR="00CE7680" w:rsidRDefault="00CE7680" w:rsidP="00CE7680">
            <w:pPr>
              <w:widowControl w:val="0"/>
              <w:spacing w:after="0" w:line="240" w:lineRule="auto"/>
              <w:jc w:val="left"/>
              <w:rPr>
                <w:rFonts w:eastAsia="Calibri"/>
              </w:rPr>
            </w:pPr>
            <w:r w:rsidRPr="000F54FE">
              <w:rPr>
                <w:rFonts w:eastAsia="Calibri"/>
              </w:rPr>
              <w:t>Umfangreiche Verarbeitung inklusive Anonymisierung vertraulicher oder höchstpersönlicher Daten im Rahmen der amtlichen Statistik oder zum Zweck der Übermittlung an Dritte</w:t>
            </w:r>
          </w:p>
        </w:tc>
        <w:tc>
          <w:tcPr>
            <w:tcW w:w="2583" w:type="dxa"/>
          </w:tcPr>
          <w:p w14:paraId="58699ACF" w14:textId="29AC4FA2" w:rsidR="00CE7680" w:rsidRDefault="00CE7680" w:rsidP="00CE7680">
            <w:pPr>
              <w:pStyle w:val="Listenabsatz"/>
              <w:widowControl w:val="0"/>
              <w:numPr>
                <w:ilvl w:val="0"/>
                <w:numId w:val="23"/>
              </w:numPr>
              <w:spacing w:after="0" w:line="240" w:lineRule="auto"/>
              <w:ind w:left="319"/>
              <w:jc w:val="left"/>
              <w:rPr>
                <w:rFonts w:eastAsia="Calibri"/>
              </w:rPr>
            </w:pPr>
            <w:r w:rsidRPr="004832F9">
              <w:t>BayLfD</w:t>
            </w:r>
          </w:p>
        </w:tc>
      </w:tr>
      <w:tr w:rsidR="00CE7680" w:rsidRPr="00F07B36" w14:paraId="5E4A789F" w14:textId="77777777" w:rsidTr="00822206">
        <w:tc>
          <w:tcPr>
            <w:tcW w:w="6629" w:type="dxa"/>
          </w:tcPr>
          <w:p w14:paraId="32CB723E" w14:textId="13A4791B" w:rsidR="00CE7680" w:rsidRPr="000F54FE" w:rsidRDefault="00CE7680" w:rsidP="00CE7680">
            <w:pPr>
              <w:widowControl w:val="0"/>
              <w:spacing w:after="0" w:line="240" w:lineRule="auto"/>
              <w:jc w:val="left"/>
              <w:rPr>
                <w:rFonts w:eastAsia="Calibri"/>
              </w:rPr>
            </w:pPr>
            <w:r w:rsidRPr="000F54FE">
              <w:rPr>
                <w:rFonts w:eastAsia="Calibri"/>
              </w:rPr>
              <w:t>Die Verarbeitung von Daten gemäß Art. 9 Abs. 1 und 10 DS-GVO und von anderen Daten, die dem Sozial-, einem Berufs- oder besonderen Amtsgeheimnis unterliegen, soweit sie</w:t>
            </w:r>
            <w:r>
              <w:rPr>
                <w:rFonts w:eastAsia="Calibri"/>
              </w:rPr>
              <w:t xml:space="preserve"> </w:t>
            </w:r>
            <w:r w:rsidRPr="000F54FE">
              <w:rPr>
                <w:rFonts w:eastAsia="Calibri"/>
              </w:rPr>
              <w:t xml:space="preserve">einem anderen Zweck als demjenigen dient, zu dem die Daten erhoben </w:t>
            </w:r>
            <w:r w:rsidRPr="004832F9">
              <w:rPr>
                <w:rFonts w:eastAsia="Calibri"/>
              </w:rPr>
              <w:t>wurden</w:t>
            </w:r>
            <w:r w:rsidR="004832F9" w:rsidRPr="004832F9">
              <w:rPr>
                <w:rFonts w:eastAsia="Calibri"/>
              </w:rPr>
              <w:t>.</w:t>
            </w:r>
          </w:p>
        </w:tc>
        <w:tc>
          <w:tcPr>
            <w:tcW w:w="2583" w:type="dxa"/>
          </w:tcPr>
          <w:p w14:paraId="1AAB24E2" w14:textId="77777777" w:rsidR="00CE7680" w:rsidRDefault="00CE7680" w:rsidP="00CE7680">
            <w:pPr>
              <w:pStyle w:val="Listenabsatz"/>
              <w:widowControl w:val="0"/>
              <w:numPr>
                <w:ilvl w:val="0"/>
                <w:numId w:val="23"/>
              </w:numPr>
              <w:spacing w:after="0" w:line="240" w:lineRule="auto"/>
              <w:ind w:left="319"/>
              <w:jc w:val="left"/>
            </w:pPr>
            <w:r>
              <w:t>Berlin</w:t>
            </w:r>
          </w:p>
          <w:p w14:paraId="3898305F" w14:textId="0961C769" w:rsidR="004079CF" w:rsidRDefault="004079CF" w:rsidP="00CE7680">
            <w:pPr>
              <w:pStyle w:val="Listenabsatz"/>
              <w:widowControl w:val="0"/>
              <w:numPr>
                <w:ilvl w:val="0"/>
                <w:numId w:val="23"/>
              </w:numPr>
              <w:spacing w:after="0" w:line="240" w:lineRule="auto"/>
              <w:ind w:left="319"/>
              <w:jc w:val="left"/>
            </w:pPr>
            <w:r w:rsidRPr="004079CF">
              <w:t>Mecklenburg-Vorpommern</w:t>
            </w:r>
          </w:p>
          <w:p w14:paraId="41EA8DB0" w14:textId="7360B86A" w:rsidR="008B6A2F" w:rsidRPr="000F54FE" w:rsidRDefault="008B6A2F" w:rsidP="00CE7680">
            <w:pPr>
              <w:pStyle w:val="Listenabsatz"/>
              <w:widowControl w:val="0"/>
              <w:numPr>
                <w:ilvl w:val="0"/>
                <w:numId w:val="23"/>
              </w:numPr>
              <w:spacing w:after="0" w:line="240" w:lineRule="auto"/>
              <w:ind w:left="319"/>
              <w:jc w:val="left"/>
            </w:pPr>
            <w:r w:rsidRPr="008B6A2F">
              <w:t>Rheinland-Pfalz</w:t>
            </w:r>
          </w:p>
        </w:tc>
      </w:tr>
      <w:tr w:rsidR="00CE7680" w:rsidRPr="00F07B36" w14:paraId="375C10F4" w14:textId="77777777" w:rsidTr="00822206">
        <w:tc>
          <w:tcPr>
            <w:tcW w:w="6629" w:type="dxa"/>
          </w:tcPr>
          <w:p w14:paraId="6E027DAD" w14:textId="62034245" w:rsidR="00CE7680" w:rsidRPr="000F54FE" w:rsidRDefault="00CE7680" w:rsidP="00CE7680">
            <w:pPr>
              <w:widowControl w:val="0"/>
              <w:spacing w:after="0" w:line="240" w:lineRule="auto"/>
              <w:jc w:val="left"/>
              <w:rPr>
                <w:rFonts w:eastAsia="Calibri"/>
              </w:rPr>
            </w:pPr>
            <w:r w:rsidRPr="000F54FE">
              <w:rPr>
                <w:rFonts w:eastAsia="Calibri"/>
              </w:rPr>
              <w:t>Umfangreiche Verarbeitung personenbezogener</w:t>
            </w:r>
            <w:r>
              <w:rPr>
                <w:rFonts w:eastAsia="Calibri"/>
              </w:rPr>
              <w:t xml:space="preserve"> </w:t>
            </w:r>
            <w:r w:rsidRPr="000F54FE">
              <w:rPr>
                <w:rFonts w:eastAsia="Calibri"/>
              </w:rPr>
              <w:t>Daten im Rahmen der amtlichen</w:t>
            </w:r>
            <w:r>
              <w:rPr>
                <w:rFonts w:eastAsia="Calibri"/>
              </w:rPr>
              <w:t xml:space="preserve"> </w:t>
            </w:r>
            <w:r w:rsidRPr="000F54FE">
              <w:rPr>
                <w:rFonts w:eastAsia="Calibri"/>
              </w:rPr>
              <w:t>Statistik, deren Erhebung, Speicherung und</w:t>
            </w:r>
            <w:r>
              <w:rPr>
                <w:rFonts w:eastAsia="Calibri"/>
              </w:rPr>
              <w:t xml:space="preserve"> </w:t>
            </w:r>
            <w:r w:rsidRPr="000F54FE">
              <w:rPr>
                <w:rFonts w:eastAsia="Calibri"/>
              </w:rPr>
              <w:t>Verarbeitung, insbesondere der Anonymisierungs-</w:t>
            </w:r>
            <w:r>
              <w:rPr>
                <w:rFonts w:eastAsia="Calibri"/>
              </w:rPr>
              <w:t xml:space="preserve"> </w:t>
            </w:r>
            <w:r w:rsidRPr="000F54FE">
              <w:rPr>
                <w:rFonts w:eastAsia="Calibri"/>
              </w:rPr>
              <w:t>oder Pseudonymisierungsprozesse</w:t>
            </w:r>
            <w:r>
              <w:rPr>
                <w:rFonts w:eastAsia="Calibri"/>
              </w:rPr>
              <w:t xml:space="preserve"> </w:t>
            </w:r>
            <w:r w:rsidRPr="000F54FE">
              <w:rPr>
                <w:rFonts w:eastAsia="Calibri"/>
              </w:rPr>
              <w:t>und statistische Aufbereitung vor/für</w:t>
            </w:r>
            <w:r>
              <w:rPr>
                <w:rFonts w:eastAsia="Calibri"/>
              </w:rPr>
              <w:t xml:space="preserve"> </w:t>
            </w:r>
            <w:r w:rsidRPr="000F54FE">
              <w:rPr>
                <w:rFonts w:eastAsia="Calibri"/>
              </w:rPr>
              <w:t>die Übermittlung der Informationen an</w:t>
            </w:r>
            <w:r>
              <w:rPr>
                <w:rFonts w:eastAsia="Calibri"/>
              </w:rPr>
              <w:t xml:space="preserve"> </w:t>
            </w:r>
            <w:r w:rsidRPr="000F54FE">
              <w:rPr>
                <w:rFonts w:eastAsia="Calibri"/>
              </w:rPr>
              <w:t>Dritte.</w:t>
            </w:r>
          </w:p>
        </w:tc>
        <w:tc>
          <w:tcPr>
            <w:tcW w:w="2583" w:type="dxa"/>
          </w:tcPr>
          <w:p w14:paraId="709C4DA8" w14:textId="321244E8" w:rsidR="00CE7680" w:rsidRDefault="00CE7680" w:rsidP="00CE7680">
            <w:pPr>
              <w:pStyle w:val="Listenabsatz"/>
              <w:widowControl w:val="0"/>
              <w:numPr>
                <w:ilvl w:val="0"/>
                <w:numId w:val="23"/>
              </w:numPr>
              <w:spacing w:after="0" w:line="240" w:lineRule="auto"/>
              <w:ind w:left="319"/>
              <w:jc w:val="left"/>
            </w:pPr>
            <w:r>
              <w:t>Brandenburg</w:t>
            </w:r>
          </w:p>
        </w:tc>
      </w:tr>
      <w:tr w:rsidR="00CE7680" w:rsidRPr="00F07B36" w14:paraId="476F369E" w14:textId="77777777" w:rsidTr="00822206">
        <w:tc>
          <w:tcPr>
            <w:tcW w:w="6629" w:type="dxa"/>
          </w:tcPr>
          <w:p w14:paraId="37B6087F" w14:textId="3CAF7D3C" w:rsidR="00CE7680" w:rsidRPr="000F54FE" w:rsidRDefault="00CE7680" w:rsidP="00CE7680">
            <w:pPr>
              <w:widowControl w:val="0"/>
              <w:spacing w:after="0" w:line="240" w:lineRule="auto"/>
              <w:jc w:val="left"/>
              <w:rPr>
                <w:rFonts w:eastAsia="Calibri"/>
              </w:rPr>
            </w:pPr>
            <w:r w:rsidRPr="000F54FE">
              <w:rPr>
                <w:rFonts w:eastAsia="Calibri"/>
              </w:rPr>
              <w:t>Anonymisierung von besonderen Kategorien personenbezogener Daten nach Artikel 9 DSGVO nicht nur in Einzelfällen (in Bezug auf die Zahl der betroffenen Personen und die Angaben je betroffener Person) zum Zweck der Übermittlung an Dritte</w:t>
            </w:r>
            <w:r w:rsidR="004832F9">
              <w:rPr>
                <w:rFonts w:eastAsia="Calibri"/>
              </w:rPr>
              <w:t>.</w:t>
            </w:r>
          </w:p>
        </w:tc>
        <w:tc>
          <w:tcPr>
            <w:tcW w:w="2583" w:type="dxa"/>
          </w:tcPr>
          <w:p w14:paraId="05879153" w14:textId="77777777" w:rsidR="00CE7680" w:rsidRDefault="00CE7680" w:rsidP="00CE7680">
            <w:pPr>
              <w:pStyle w:val="Listenabsatz"/>
              <w:widowControl w:val="0"/>
              <w:numPr>
                <w:ilvl w:val="0"/>
                <w:numId w:val="23"/>
              </w:numPr>
              <w:spacing w:after="0" w:line="240" w:lineRule="auto"/>
              <w:ind w:left="319"/>
              <w:jc w:val="left"/>
            </w:pPr>
            <w:r>
              <w:t>Bremen</w:t>
            </w:r>
          </w:p>
          <w:p w14:paraId="5D70B226" w14:textId="7BB76B36" w:rsidR="001C645C" w:rsidRDefault="001C645C" w:rsidP="00CE7680">
            <w:pPr>
              <w:pStyle w:val="Listenabsatz"/>
              <w:widowControl w:val="0"/>
              <w:numPr>
                <w:ilvl w:val="0"/>
                <w:numId w:val="23"/>
              </w:numPr>
              <w:spacing w:after="0" w:line="240" w:lineRule="auto"/>
              <w:ind w:left="319"/>
              <w:jc w:val="left"/>
            </w:pPr>
            <w:r>
              <w:t>Hamburg</w:t>
            </w:r>
          </w:p>
        </w:tc>
      </w:tr>
      <w:tr w:rsidR="00A85B83" w:rsidRPr="00F07B36" w14:paraId="2D979E74" w14:textId="77777777" w:rsidTr="00822206">
        <w:tc>
          <w:tcPr>
            <w:tcW w:w="6629" w:type="dxa"/>
          </w:tcPr>
          <w:p w14:paraId="131A0E61" w14:textId="656E5B14" w:rsidR="00A85B83" w:rsidRPr="000F54FE" w:rsidRDefault="00A85B83" w:rsidP="00CE7680">
            <w:pPr>
              <w:widowControl w:val="0"/>
              <w:spacing w:after="0" w:line="240" w:lineRule="auto"/>
              <w:jc w:val="left"/>
              <w:rPr>
                <w:rFonts w:eastAsia="Calibri"/>
              </w:rPr>
            </w:pPr>
            <w:r w:rsidRPr="00A85B83">
              <w:rPr>
                <w:rFonts w:eastAsia="Calibri"/>
              </w:rPr>
              <w:t>Anonymisierung von besonderen Kategorien personenbezogener Daten nach Art. 9 DS-GVO nicht nur in Einzelfällen (in Bezug auf die Zahl der betroffenen Personen und die Angaben je betroffener Person) zum Zweck der Übermittlung an Dritte</w:t>
            </w:r>
            <w:r w:rsidR="004832F9">
              <w:rPr>
                <w:rFonts w:eastAsia="Calibri"/>
              </w:rPr>
              <w:t>.</w:t>
            </w:r>
          </w:p>
        </w:tc>
        <w:tc>
          <w:tcPr>
            <w:tcW w:w="2583" w:type="dxa"/>
          </w:tcPr>
          <w:p w14:paraId="69A65855" w14:textId="12B996AB" w:rsidR="00A85B83" w:rsidRDefault="00A85B83" w:rsidP="00CE7680">
            <w:pPr>
              <w:pStyle w:val="Listenabsatz"/>
              <w:widowControl w:val="0"/>
              <w:numPr>
                <w:ilvl w:val="0"/>
                <w:numId w:val="23"/>
              </w:numPr>
              <w:spacing w:after="0" w:line="240" w:lineRule="auto"/>
              <w:ind w:left="319"/>
              <w:jc w:val="left"/>
            </w:pPr>
            <w:r w:rsidRPr="00A85B83">
              <w:t>Sachsen-Anhalt</w:t>
            </w:r>
          </w:p>
        </w:tc>
      </w:tr>
    </w:tbl>
    <w:p w14:paraId="112DB090" w14:textId="77777777" w:rsidR="00C9149F" w:rsidRDefault="00C9149F">
      <w:r>
        <w:br w:type="page"/>
      </w:r>
    </w:p>
    <w:tbl>
      <w:tblPr>
        <w:tblStyle w:val="Tabellenraster"/>
        <w:tblW w:w="9212" w:type="dxa"/>
        <w:tblLayout w:type="fixed"/>
        <w:tblLook w:val="04A0" w:firstRow="1" w:lastRow="0" w:firstColumn="1" w:lastColumn="0" w:noHBand="0" w:noVBand="1"/>
      </w:tblPr>
      <w:tblGrid>
        <w:gridCol w:w="6629"/>
        <w:gridCol w:w="2583"/>
      </w:tblGrid>
      <w:tr w:rsidR="00C9149F" w14:paraId="28CC417A" w14:textId="77777777" w:rsidTr="00CF66CC">
        <w:trPr>
          <w:tblHeader/>
        </w:trPr>
        <w:tc>
          <w:tcPr>
            <w:tcW w:w="6629" w:type="dxa"/>
          </w:tcPr>
          <w:p w14:paraId="42B6BB70" w14:textId="77777777" w:rsidR="00C9149F" w:rsidRDefault="00C9149F" w:rsidP="00CF66CC">
            <w:pPr>
              <w:widowControl w:val="0"/>
              <w:spacing w:after="0" w:line="240" w:lineRule="auto"/>
              <w:jc w:val="center"/>
              <w:rPr>
                <w:b/>
              </w:rPr>
            </w:pPr>
            <w:r>
              <w:rPr>
                <w:rFonts w:eastAsia="Calibri"/>
                <w:b/>
              </w:rPr>
              <w:t>Kriterium</w:t>
            </w:r>
          </w:p>
        </w:tc>
        <w:tc>
          <w:tcPr>
            <w:tcW w:w="2583" w:type="dxa"/>
          </w:tcPr>
          <w:p w14:paraId="77418D07" w14:textId="77777777" w:rsidR="00C9149F" w:rsidRDefault="00C9149F" w:rsidP="00CF66CC">
            <w:pPr>
              <w:widowControl w:val="0"/>
              <w:spacing w:after="0" w:line="240" w:lineRule="auto"/>
              <w:jc w:val="center"/>
              <w:rPr>
                <w:b/>
              </w:rPr>
            </w:pPr>
            <w:r>
              <w:rPr>
                <w:rFonts w:eastAsia="Calibri"/>
                <w:b/>
              </w:rPr>
              <w:t>Bundesland</w:t>
            </w:r>
          </w:p>
        </w:tc>
      </w:tr>
      <w:tr w:rsidR="002C5FB1" w:rsidRPr="00F07B36" w14:paraId="16675FC6" w14:textId="77777777" w:rsidTr="00822206">
        <w:tc>
          <w:tcPr>
            <w:tcW w:w="6629" w:type="dxa"/>
          </w:tcPr>
          <w:p w14:paraId="6A74D87A" w14:textId="6AD89088" w:rsidR="002C5FB1" w:rsidRPr="00A562BF" w:rsidRDefault="002C5FB1" w:rsidP="00CE7680">
            <w:pPr>
              <w:widowControl w:val="0"/>
              <w:spacing w:after="0" w:line="240" w:lineRule="auto"/>
              <w:jc w:val="left"/>
              <w:rPr>
                <w:rFonts w:eastAsia="Calibri"/>
              </w:rPr>
            </w:pPr>
            <w:r w:rsidRPr="002C5FB1">
              <w:rPr>
                <w:rFonts w:eastAsia="Calibri"/>
              </w:rPr>
              <w:t>Umfangreiche Verarbeitung personenbezogener Daten im Rahmen der amtlichen Statistik, deren Erhebung, Speicherung und Verarbeitung, insbesondere der Anonymisierungsprozesse sowie deren Anonymisierung und statistische Aufbereitung vor/für die Übermittlung der Informationen an Dritte (Verarbeitung der personenbezogenen Daten im Rahmen der amtlichen Statistik).</w:t>
            </w:r>
          </w:p>
        </w:tc>
        <w:tc>
          <w:tcPr>
            <w:tcW w:w="2583" w:type="dxa"/>
          </w:tcPr>
          <w:p w14:paraId="1FA19F42" w14:textId="443072BC" w:rsidR="002C5FB1" w:rsidRPr="008C6D31" w:rsidRDefault="002C5FB1" w:rsidP="00CE7680">
            <w:pPr>
              <w:pStyle w:val="Listenabsatz"/>
              <w:widowControl w:val="0"/>
              <w:numPr>
                <w:ilvl w:val="0"/>
                <w:numId w:val="23"/>
              </w:numPr>
              <w:spacing w:after="0" w:line="240" w:lineRule="auto"/>
              <w:ind w:left="319"/>
              <w:jc w:val="left"/>
            </w:pPr>
            <w:r w:rsidRPr="002C5FB1">
              <w:t>Niedersachsen</w:t>
            </w:r>
          </w:p>
        </w:tc>
      </w:tr>
      <w:tr w:rsidR="00A562BF" w:rsidRPr="00F07B36" w14:paraId="3D87EA42" w14:textId="77777777" w:rsidTr="00822206">
        <w:tc>
          <w:tcPr>
            <w:tcW w:w="6629" w:type="dxa"/>
          </w:tcPr>
          <w:p w14:paraId="0043CE57" w14:textId="56F01498" w:rsidR="00A562BF" w:rsidRPr="00A85B83" w:rsidRDefault="00A562BF" w:rsidP="00CE7680">
            <w:pPr>
              <w:widowControl w:val="0"/>
              <w:spacing w:after="0" w:line="240" w:lineRule="auto"/>
              <w:jc w:val="left"/>
              <w:rPr>
                <w:rFonts w:eastAsia="Calibri"/>
              </w:rPr>
            </w:pPr>
            <w:r w:rsidRPr="00A562BF">
              <w:rPr>
                <w:rFonts w:eastAsia="Calibri"/>
              </w:rPr>
              <w:t>Umfangreiche Verarbeitung personenbezogener Daten im Rahmen der amtlichen Statistik, deren Erhebung, Speicherung und Verarbeitung, insbesondere der Anonymisierungsprozesse sowie deren Anonymisierung und statistische Aufbereitung vor/für die Übermittlung der Informationen an Dritt</w:t>
            </w:r>
            <w:r w:rsidR="00822206">
              <w:rPr>
                <w:rFonts w:eastAsia="Calibri"/>
              </w:rPr>
              <w:t>e</w:t>
            </w:r>
          </w:p>
        </w:tc>
        <w:tc>
          <w:tcPr>
            <w:tcW w:w="2583" w:type="dxa"/>
          </w:tcPr>
          <w:p w14:paraId="24171F24" w14:textId="77777777" w:rsidR="00A562BF" w:rsidRDefault="008C6D31" w:rsidP="00CE7680">
            <w:pPr>
              <w:pStyle w:val="Listenabsatz"/>
              <w:widowControl w:val="0"/>
              <w:numPr>
                <w:ilvl w:val="0"/>
                <w:numId w:val="23"/>
              </w:numPr>
              <w:spacing w:after="0" w:line="240" w:lineRule="auto"/>
              <w:ind w:left="319"/>
              <w:jc w:val="left"/>
            </w:pPr>
            <w:r w:rsidRPr="008C6D31">
              <w:t>Nordrhein-Westfalen</w:t>
            </w:r>
          </w:p>
          <w:p w14:paraId="444F9EB2" w14:textId="243F9EBD" w:rsidR="00822206" w:rsidRPr="00A85B83" w:rsidRDefault="00822206" w:rsidP="00CE7680">
            <w:pPr>
              <w:pStyle w:val="Listenabsatz"/>
              <w:widowControl w:val="0"/>
              <w:numPr>
                <w:ilvl w:val="0"/>
                <w:numId w:val="23"/>
              </w:numPr>
              <w:spacing w:after="0" w:line="240" w:lineRule="auto"/>
              <w:ind w:left="319"/>
              <w:jc w:val="left"/>
            </w:pPr>
            <w:r>
              <w:t>Hamburg</w:t>
            </w:r>
          </w:p>
        </w:tc>
      </w:tr>
    </w:tbl>
    <w:p w14:paraId="4772537A" w14:textId="44A1211F" w:rsidR="00CE7680" w:rsidRDefault="00306A58">
      <w:pPr>
        <w:spacing w:before="200"/>
      </w:pPr>
      <w:r>
        <w:t>Demnach erfordert die Anonymisierung von in Art. 9 Abs. 1 DS-GVO genannten Daten ggf. eine Datenschutz-Folgenabschätzung entsprechend Art. 35 DS-GVO, unabhängig davon, ob die Anonymisierung oder Pseudonymisierung von einer öffentlichen oder nicht-öffentlichen Stelle durchgeführt wird. Hinweise zum Umgang mit einer Datenschutz-Folgenabschätzung finden sich im Internet</w:t>
      </w:r>
      <w:r w:rsidRPr="004832F9">
        <w:t>.</w:t>
      </w:r>
      <w:r w:rsidRPr="004832F9">
        <w:rPr>
          <w:rStyle w:val="Funotenanker"/>
        </w:rPr>
        <w:t xml:space="preserve"> </w:t>
      </w:r>
      <w:r w:rsidRPr="004832F9">
        <w:rPr>
          <w:rStyle w:val="Funotenanker"/>
        </w:rPr>
        <w:footnoteReference w:id="60"/>
      </w:r>
    </w:p>
    <w:p w14:paraId="3BC89992" w14:textId="77777777" w:rsidR="00CE7680" w:rsidRDefault="00CE7680">
      <w:pPr>
        <w:spacing w:before="200"/>
      </w:pPr>
    </w:p>
    <w:p w14:paraId="53FD3BBC"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34E98998" w14:textId="024EF03A" w:rsidR="00AE4EA7" w:rsidRDefault="00000000">
      <w:pPr>
        <w:pStyle w:val="berschrift1"/>
      </w:pPr>
      <w:bookmarkStart w:id="110" w:name="_Toc154652606"/>
      <w:r>
        <w:t xml:space="preserve">Sonderfall: </w:t>
      </w:r>
      <w:r w:rsidRPr="004832F9">
        <w:t>Genetische</w:t>
      </w:r>
      <w:r>
        <w:t xml:space="preserve"> Daten/</w:t>
      </w:r>
      <w:r w:rsidR="00027508">
        <w:t>Biomaterial</w:t>
      </w:r>
      <w:bookmarkEnd w:id="110"/>
    </w:p>
    <w:p w14:paraId="7E504E14" w14:textId="0B375CD9" w:rsidR="00AE4EA7" w:rsidRDefault="00027508">
      <w:pPr>
        <w:spacing w:after="0"/>
      </w:pPr>
      <w:r>
        <w:t>Bereits 2005 wurde auf der 27. Internationalen Konferenz der Beauftragten für Datenschutz und den Schutz der Privatsphäre in Montreux in Bezug auf genetische Daten Folgendes festgehalten</w:t>
      </w:r>
      <w:r>
        <w:rPr>
          <w:rStyle w:val="Funotenanker"/>
        </w:rPr>
        <w:footnoteReference w:id="61"/>
      </w:r>
      <w:r>
        <w:t>:</w:t>
      </w:r>
    </w:p>
    <w:p w14:paraId="69D04881" w14:textId="77777777" w:rsidR="00AE4EA7" w:rsidRDefault="00000000">
      <w:pPr>
        <w:spacing w:after="0"/>
        <w:ind w:left="708"/>
      </w:pPr>
      <w:r>
        <w:t>„Die Datenschutzbeauftragten</w:t>
      </w:r>
    </w:p>
    <w:p w14:paraId="767A64C9" w14:textId="77777777" w:rsidR="00AE4EA7" w:rsidRDefault="00000000">
      <w:pPr>
        <w:spacing w:after="0"/>
        <w:ind w:left="1134" w:hanging="285"/>
      </w:pPr>
      <w:r>
        <w:t>1.</w:t>
      </w:r>
      <w:r>
        <w:tab/>
        <w:t>[…]</w:t>
      </w:r>
    </w:p>
    <w:p w14:paraId="507970C0" w14:textId="0D0CA5E9" w:rsidR="00AE4EA7" w:rsidRDefault="00000000">
      <w:pPr>
        <w:spacing w:after="0"/>
        <w:ind w:left="1134" w:hanging="285"/>
      </w:pPr>
      <w:r>
        <w:t>7.</w:t>
      </w:r>
      <w:r>
        <w:tab/>
      </w:r>
      <w:r w:rsidR="00F07B36">
        <w:t>s</w:t>
      </w:r>
      <w:r>
        <w:t>ind sich bewusst, dass aufgrund des rasch wachsenden Kenntnisstandes im Bereich der Genetik Daten über die menschliche DNA zu den sensibelsten überhaupt werden können, und dass die Gewährleistung eines angemessenen rechtlichen Schutzes dieser Daten angesichts der beschleunigten Wissensentwicklung wachsende Bedeutung erlangt,</w:t>
      </w:r>
    </w:p>
    <w:p w14:paraId="5DE747CC" w14:textId="77777777" w:rsidR="00AE4EA7" w:rsidRDefault="00000000">
      <w:pPr>
        <w:spacing w:after="0"/>
        <w:ind w:left="1135" w:hanging="284"/>
      </w:pPr>
      <w:r>
        <w:t>8.</w:t>
      </w:r>
      <w:r>
        <w:tab/>
        <w:t>[…]“</w:t>
      </w:r>
    </w:p>
    <w:p w14:paraId="0CBA32FB" w14:textId="3F15FB5E" w:rsidR="00AE4EA7" w:rsidRDefault="00000000">
      <w:r>
        <w:t>Aktuellere Untersuchungen haben ergeben, dass genetische Daten nicht als anonym angesehen werden können</w:t>
      </w:r>
      <w:r>
        <w:rPr>
          <w:rStyle w:val="Funotenanker"/>
        </w:rPr>
        <w:footnoteReference w:id="62"/>
      </w:r>
      <w:r>
        <w:t xml:space="preserve">. Genetische Daten können daher maximal </w:t>
      </w:r>
      <w:r w:rsidRPr="00AF2176">
        <w:t>pseudonymisiert</w:t>
      </w:r>
      <w:r>
        <w:t xml:space="preserve"> werden bzw. </w:t>
      </w:r>
      <w:r w:rsidR="004C1658">
        <w:t xml:space="preserve">bei entsprechender </w:t>
      </w:r>
      <w:r w:rsidR="004C1658" w:rsidRPr="004832F9">
        <w:t>Anpassung</w:t>
      </w:r>
      <w:r w:rsidR="004C1658">
        <w:t xml:space="preserve"> bestenfalls </w:t>
      </w:r>
      <w:r>
        <w:t>als pseudonym</w:t>
      </w:r>
      <w:r w:rsidR="004C1658">
        <w:t>e Daten</w:t>
      </w:r>
      <w:r>
        <w:t xml:space="preserve"> angesehen werden.</w:t>
      </w:r>
      <w:r w:rsidR="002846F8">
        <w:t xml:space="preserve"> Entsprechend urteilte der </w:t>
      </w:r>
      <w:r w:rsidR="002846F8" w:rsidRPr="00AF2176">
        <w:t>EuG</w:t>
      </w:r>
      <w:r w:rsidR="00AF2176" w:rsidRPr="00AF2176">
        <w:t>H</w:t>
      </w:r>
      <w:r w:rsidR="002846F8">
        <w:t xml:space="preserve"> in Bezug auf Fingerabdrücke, dass diese </w:t>
      </w:r>
      <w:r w:rsidR="002846F8" w:rsidRPr="002846F8">
        <w:t xml:space="preserve">unter </w:t>
      </w:r>
      <w:r w:rsidR="002846F8">
        <w:t xml:space="preserve">den </w:t>
      </w:r>
      <w:r w:rsidR="002846F8" w:rsidRPr="002846F8">
        <w:t>Begriff</w:t>
      </w:r>
      <w:r w:rsidR="002846F8">
        <w:t xml:space="preserve"> eines personenbezogenen Datums fallen</w:t>
      </w:r>
      <w:r w:rsidR="002846F8" w:rsidRPr="002846F8">
        <w:t xml:space="preserve">, da </w:t>
      </w:r>
      <w:r w:rsidR="002846F8">
        <w:t>Fingerabdrücke</w:t>
      </w:r>
      <w:r w:rsidR="002846F8" w:rsidRPr="002846F8">
        <w:t xml:space="preserve"> </w:t>
      </w:r>
      <w:r w:rsidR="002846F8">
        <w:t>„</w:t>
      </w:r>
      <w:r w:rsidR="002846F8" w:rsidRPr="002846F8">
        <w:t>objektiv unverwechselbare Informationen über natürliche Personen enthalten und deren genaue Identifizierung ermöglichen</w:t>
      </w:r>
      <w:r w:rsidR="002846F8">
        <w:t>“</w:t>
      </w:r>
      <w:r w:rsidR="002846F8">
        <w:rPr>
          <w:rStyle w:val="Funotenzeichen"/>
        </w:rPr>
        <w:footnoteReference w:id="63"/>
      </w:r>
      <w:r w:rsidR="002846F8">
        <w:t>; gleiches gilt für die Gensequenz eines Menschen.</w:t>
      </w:r>
      <w:r w:rsidR="006F562E">
        <w:rPr>
          <w:rStyle w:val="Funotenzeichen"/>
        </w:rPr>
        <w:footnoteReference w:id="64"/>
      </w:r>
    </w:p>
    <w:p w14:paraId="365442DB" w14:textId="77777777" w:rsidR="00C9149F" w:rsidRDefault="00C9149F">
      <w:pPr>
        <w:spacing w:after="0" w:line="240" w:lineRule="auto"/>
        <w:jc w:val="left"/>
        <w:rPr>
          <w:rFonts w:asciiTheme="majorHAnsi" w:eastAsiaTheme="majorEastAsia" w:hAnsiTheme="majorHAnsi" w:cstheme="majorBidi"/>
          <w:b/>
          <w:bCs/>
          <w:color w:val="4F81BD" w:themeColor="accent1"/>
          <w:sz w:val="26"/>
          <w:szCs w:val="26"/>
        </w:rPr>
      </w:pPr>
      <w:bookmarkStart w:id="111" w:name="_Toc154652607"/>
      <w:r>
        <w:br w:type="page"/>
      </w:r>
    </w:p>
    <w:p w14:paraId="5E4280CD" w14:textId="0EF05E09" w:rsidR="00AE4EA7" w:rsidRDefault="00000000">
      <w:pPr>
        <w:pStyle w:val="berschrift2"/>
      </w:pPr>
      <w:r>
        <w:t>Biomaterial und Einwilligung</w:t>
      </w:r>
      <w:bookmarkEnd w:id="111"/>
    </w:p>
    <w:p w14:paraId="38542C76" w14:textId="419F41A9" w:rsidR="00AE4EA7" w:rsidRDefault="00D97F03">
      <w:r>
        <w:t xml:space="preserve">Biomaterial enthält durch seinen genetischen Inhalt prinzipiell auch Daten, durch die </w:t>
      </w:r>
      <w:r w:rsidR="00C738BE">
        <w:t>ggf.</w:t>
      </w:r>
      <w:r w:rsidR="009C7361">
        <w:t xml:space="preserve"> </w:t>
      </w:r>
      <w:r>
        <w:t>Rückschlüsse auf etwaige dem Betroffenen verwandte Personen wie beispielsweise Kinder, Eltern und/oder Enkel möglich sind.</w:t>
      </w:r>
      <w:r w:rsidR="008A4C9B">
        <w:rPr>
          <w:rStyle w:val="Funotenzeichen"/>
        </w:rPr>
        <w:footnoteReference w:id="65"/>
      </w:r>
      <w:r>
        <w:t xml:space="preserve"> Unter den Vorgaben der DS-GVO können diese Daten mittels Einwilligung kaum verarbeitet werden, da eine Einwilligung immer nur für eigene Daten</w:t>
      </w:r>
      <w:r w:rsidR="00F07B36">
        <w:t xml:space="preserve"> und deren Verarbeitung</w:t>
      </w:r>
      <w:r>
        <w:t>, nicht aber für die Daten Dritter gegeben werden kann.</w:t>
      </w:r>
    </w:p>
    <w:p w14:paraId="103A8B9A" w14:textId="059DC3B3" w:rsidR="00AE4EA7" w:rsidRDefault="00000000">
      <w:r>
        <w:t xml:space="preserve">Daraus folgt, dass wenn eine Person heute beispielsweise </w:t>
      </w:r>
      <w:r w:rsidR="00027508">
        <w:t xml:space="preserve">mittels einer Spende </w:t>
      </w:r>
      <w:r>
        <w:t xml:space="preserve">Biomaterial abgibt, ein heute noch nicht geborenes Enkelkind dieser Person aufgrund der Kenntnis dieses gespendeten Biomaterials durch eine </w:t>
      </w:r>
      <w:r w:rsidR="00027508">
        <w:t xml:space="preserve">heute noch gar nicht bekannte </w:t>
      </w:r>
      <w:r>
        <w:t>Erkrankung</w:t>
      </w:r>
      <w:r w:rsidR="00027508">
        <w:t>, die aber dem Erbgut innewohnt,</w:t>
      </w:r>
      <w:r>
        <w:t xml:space="preserve"> diskriminiert werden</w:t>
      </w:r>
      <w:r w:rsidR="00F07B36">
        <w:t xml:space="preserve"> kann</w:t>
      </w:r>
      <w:r>
        <w:t xml:space="preserve">. Auch diesen </w:t>
      </w:r>
      <w:r w:rsidR="00F07B36">
        <w:t xml:space="preserve">verwandten </w:t>
      </w:r>
      <w:r>
        <w:t xml:space="preserve">Personen muss ein „Recht auf Nichtwissen“ zugestanden werden, eine Einwilligung der </w:t>
      </w:r>
      <w:r w:rsidR="00027508">
        <w:t>spendenden</w:t>
      </w:r>
      <w:r w:rsidRPr="004C1658">
        <w:t xml:space="preserve"> Person</w:t>
      </w:r>
      <w:r>
        <w:t xml:space="preserve"> kann dies nicht legitimieren.</w:t>
      </w:r>
    </w:p>
    <w:p w14:paraId="75196DED" w14:textId="1980D95A" w:rsidR="00AE4EA7" w:rsidRDefault="00F07B36">
      <w:r>
        <w:t xml:space="preserve">Für die Verarbeitung derartiger personenbezogener bzw. personenbeziehbarer Daten ist daher ein gesetzlicher Erlaubnistatbestand erforderlich. Wenn seitens der Gesellschaft ein Konsens besteht, dass die Vorratsdatenspeicherung von Biomaterial mit recht </w:t>
      </w:r>
      <w:r w:rsidR="00E46DC2">
        <w:t xml:space="preserve">allgemeiner Zweckbindung („medizinische Forschung“) gewünscht ist, muss somit ein Gesetz diese Forschung explizit erlauben, </w:t>
      </w:r>
      <w:r w:rsidR="00E46DC2" w:rsidRPr="004C1658">
        <w:t>sodass</w:t>
      </w:r>
      <w:r w:rsidR="00E46DC2">
        <w:t xml:space="preserve"> eine Einwilligung </w:t>
      </w:r>
      <w:r>
        <w:t xml:space="preserve">zur Legitimierung der Verarbeitung </w:t>
      </w:r>
      <w:r w:rsidR="00E46DC2">
        <w:t xml:space="preserve">nicht </w:t>
      </w:r>
      <w:r>
        <w:t>erforderlich ist</w:t>
      </w:r>
      <w:r w:rsidRPr="00F07B36">
        <w:t xml:space="preserve"> </w:t>
      </w:r>
      <w:r>
        <w:t>und die Grundlage für die Rechtmäßigkeit der Verarbeitung die bereichsspezifische Norm ist</w:t>
      </w:r>
      <w:r w:rsidR="00E46DC2">
        <w:t xml:space="preserve">. </w:t>
      </w:r>
      <w:r>
        <w:t xml:space="preserve">Denn eine Einwilligung alleine des Spenders kann die damit verbundene Verarbeitung </w:t>
      </w:r>
      <w:r w:rsidR="00027508">
        <w:t>von Informationen</w:t>
      </w:r>
      <w:r>
        <w:t xml:space="preserve"> über Dritte (=</w:t>
      </w:r>
      <w:r w:rsidR="00D943A8">
        <w:t> </w:t>
      </w:r>
      <w:r w:rsidR="00027508">
        <w:t xml:space="preserve">genetisch </w:t>
      </w:r>
      <w:r>
        <w:t>Verwandte) enthaltenen Informationen nicht legitimieren.</w:t>
      </w:r>
    </w:p>
    <w:p w14:paraId="6B9B0DCA" w14:textId="77777777" w:rsidR="00AE4EA7" w:rsidRDefault="00AE4EA7"/>
    <w:p w14:paraId="366CDF6A"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09C3C80B" w14:textId="77777777" w:rsidR="00AE4EA7" w:rsidRDefault="00000000">
      <w:pPr>
        <w:pStyle w:val="berschrift1"/>
      </w:pPr>
      <w:bookmarkStart w:id="112" w:name="_Toc154652608"/>
      <w:r>
        <w:t xml:space="preserve">Exkurs: </w:t>
      </w:r>
      <w:r w:rsidRPr="004832F9">
        <w:t>HIPAA</w:t>
      </w:r>
      <w:r>
        <w:t xml:space="preserve"> und </w:t>
      </w:r>
      <w:r w:rsidRPr="004832F9">
        <w:t>De-Identification</w:t>
      </w:r>
      <w:r>
        <w:t xml:space="preserve"> – der amerikanische Weg</w:t>
      </w:r>
      <w:bookmarkEnd w:id="112"/>
    </w:p>
    <w:p w14:paraId="5C501A73" w14:textId="69C6C991" w:rsidR="001611B6" w:rsidRDefault="001611B6" w:rsidP="001611B6">
      <w:r>
        <w:t xml:space="preserve">Ähnlich wie in Deutschland gilt in </w:t>
      </w:r>
      <w:r w:rsidRPr="001611B6">
        <w:t xml:space="preserve">den Vereinigten Staaten von Amerika </w:t>
      </w:r>
      <w:r>
        <w:t xml:space="preserve">(USA) nicht nur Bundesrecht, sondern die einzelnen Mitgliedsstaaten haben eigene, souveräne </w:t>
      </w:r>
      <w:r w:rsidRPr="001611B6">
        <w:t>Rechte. Entsprechend</w:t>
      </w:r>
      <w:r>
        <w:t xml:space="preserve"> der amerikanischen Verfassung gelten </w:t>
      </w:r>
      <w:r w:rsidRPr="001611B6">
        <w:t xml:space="preserve">Bundesgesetze und </w:t>
      </w:r>
      <w:r>
        <w:t xml:space="preserve">ebenso von den USA anerkannte und </w:t>
      </w:r>
      <w:r w:rsidRPr="001611B6">
        <w:t>gegengezeichnete völkerrechtliche Verträge</w:t>
      </w:r>
      <w:r>
        <w:t xml:space="preserve"> als höchste Rechtsquell</w:t>
      </w:r>
      <w:r w:rsidR="00F37D05">
        <w:t>e. D</w:t>
      </w:r>
      <w:r>
        <w:t xml:space="preserve">ie amerikanische Verfassung </w:t>
      </w:r>
      <w:r w:rsidR="00F37D05">
        <w:t xml:space="preserve">enthält </w:t>
      </w:r>
      <w:r>
        <w:t>auch Beschränkungen für das Bundesrecht.</w:t>
      </w:r>
    </w:p>
    <w:p w14:paraId="43E6082D" w14:textId="748CE5B7" w:rsidR="001611B6" w:rsidRDefault="001611B6" w:rsidP="001611B6">
      <w:r>
        <w:t xml:space="preserve">Alle fünfzig Bundesstaaten besitzen eine eigene </w:t>
      </w:r>
      <w:r w:rsidRPr="001611B6">
        <w:t xml:space="preserve">Verfassung und das Recht, unabhängig </w:t>
      </w:r>
      <w:r>
        <w:t xml:space="preserve">vom Bundesrecht eigenes </w:t>
      </w:r>
      <w:r w:rsidRPr="001611B6">
        <w:t>Recht in allen Bereichen zu schaffen, die nicht ausdrücklich durch die Verfassung an den Bund übergeben wurden.</w:t>
      </w:r>
      <w:r>
        <w:t xml:space="preserve"> Das Datenschutzrecht ist überwiegend vom Recht der Bundesstaaten dominiert, sodass auch Fragen, was als „anonym“ oder „pseudonym“ anzusehen ist, vielfach vom jeweiligen Landesrecht beantwortet wird – wenn nicht aufgrund der </w:t>
      </w:r>
      <w:r w:rsidRPr="001611B6">
        <w:t>amerikanischen</w:t>
      </w:r>
      <w:r>
        <w:t xml:space="preserve"> Verfassung für ein</w:t>
      </w:r>
      <w:r w:rsidR="004F4854">
        <w:t>en</w:t>
      </w:r>
      <w:r>
        <w:t xml:space="preserve"> bestimmten Bereich das Bundesrecht vorrangig gilt. In diesem Fall gelten in einem Bundesstaat je nach Anwendungsfall zwei verschiedene Interpretationen, jeweils voneinander abgegrenzt allein durch den Umstand, wann was anzuwenden ist.</w:t>
      </w:r>
    </w:p>
    <w:p w14:paraId="329156E5" w14:textId="7A497815" w:rsidR="001611B6" w:rsidRDefault="001611B6" w:rsidP="001611B6">
      <w:pPr>
        <w:spacing w:after="0"/>
      </w:pPr>
      <w:r>
        <w:t>Die Gesundheitsversorgung wird überwiegend vom amerikanischen Bundesrecht dominiert. Die wichtigsten Regelungen sind:</w:t>
      </w:r>
    </w:p>
    <w:p w14:paraId="39C3EF9C" w14:textId="77777777" w:rsidR="001611B6" w:rsidRDefault="001611B6" w:rsidP="001611B6">
      <w:pPr>
        <w:pStyle w:val="Listenabsatz"/>
        <w:numPr>
          <w:ilvl w:val="0"/>
          <w:numId w:val="14"/>
        </w:numPr>
      </w:pPr>
      <w:r w:rsidRPr="004832F9">
        <w:t>Health</w:t>
      </w:r>
      <w:r w:rsidRPr="001611B6">
        <w:t xml:space="preserve"> </w:t>
      </w:r>
      <w:r w:rsidRPr="004832F9">
        <w:t>Insurance</w:t>
      </w:r>
      <w:r w:rsidRPr="001611B6">
        <w:t xml:space="preserve"> Portability </w:t>
      </w:r>
      <w:r w:rsidRPr="004832F9">
        <w:t>and</w:t>
      </w:r>
      <w:r w:rsidRPr="001611B6">
        <w:t xml:space="preserve"> Accountability Act </w:t>
      </w:r>
      <w:r w:rsidRPr="004832F9">
        <w:t>of</w:t>
      </w:r>
      <w:r w:rsidRPr="001611B6">
        <w:t xml:space="preserve"> (</w:t>
      </w:r>
      <w:r w:rsidRPr="004832F9">
        <w:t>HIPAA</w:t>
      </w:r>
      <w:r w:rsidRPr="001611B6">
        <w:t>)</w:t>
      </w:r>
    </w:p>
    <w:p w14:paraId="23A274D4" w14:textId="37016FBF" w:rsidR="001611B6" w:rsidRDefault="001611B6" w:rsidP="001611B6">
      <w:pPr>
        <w:pStyle w:val="Listenabsatz"/>
        <w:numPr>
          <w:ilvl w:val="1"/>
          <w:numId w:val="14"/>
        </w:numPr>
      </w:pPr>
      <w:r w:rsidRPr="001611B6">
        <w:t xml:space="preserve">1996 </w:t>
      </w:r>
      <w:r w:rsidR="00E87699">
        <w:t xml:space="preserve">wurde HIPAA </w:t>
      </w:r>
      <w:r w:rsidRPr="001611B6">
        <w:t xml:space="preserve">eingeführt, 2003 durch </w:t>
      </w:r>
      <w:r w:rsidRPr="004832F9">
        <w:t>Privacy</w:t>
      </w:r>
      <w:r w:rsidRPr="001611B6">
        <w:t xml:space="preserve"> </w:t>
      </w:r>
      <w:r w:rsidRPr="004832F9">
        <w:t>Rule</w:t>
      </w:r>
      <w:r w:rsidRPr="001611B6">
        <w:t xml:space="preserve"> umgesetzt</w:t>
      </w:r>
      <w:r>
        <w:t>,</w:t>
      </w:r>
    </w:p>
    <w:p w14:paraId="5E43DA4D" w14:textId="77777777" w:rsidR="001611B6" w:rsidRPr="004832F9" w:rsidRDefault="001611B6" w:rsidP="001611B6">
      <w:pPr>
        <w:pStyle w:val="Listenabsatz"/>
        <w:numPr>
          <w:ilvl w:val="1"/>
          <w:numId w:val="14"/>
        </w:numPr>
      </w:pPr>
      <w:r w:rsidRPr="004832F9">
        <w:t>2009 durch Health Information Technology for Economic and Clinical Health Act (HITECH),</w:t>
      </w:r>
    </w:p>
    <w:p w14:paraId="691BD712" w14:textId="119A0F26" w:rsidR="001611B6" w:rsidRDefault="001611B6" w:rsidP="001611B6">
      <w:pPr>
        <w:pStyle w:val="Listenabsatz"/>
        <w:numPr>
          <w:ilvl w:val="1"/>
          <w:numId w:val="14"/>
        </w:numPr>
      </w:pPr>
      <w:r>
        <w:t xml:space="preserve">2022 Datenschutzvorgaben durch </w:t>
      </w:r>
      <w:r w:rsidRPr="001611B6">
        <w:t xml:space="preserve">Coronavirus </w:t>
      </w:r>
      <w:r w:rsidRPr="004832F9">
        <w:t>Aid</w:t>
      </w:r>
      <w:r w:rsidRPr="001611B6">
        <w:t xml:space="preserve">, Relief, </w:t>
      </w:r>
      <w:r w:rsidRPr="004832F9">
        <w:t>and</w:t>
      </w:r>
      <w:r w:rsidRPr="001611B6">
        <w:t xml:space="preserve"> </w:t>
      </w:r>
      <w:r w:rsidRPr="004832F9">
        <w:t>Economic</w:t>
      </w:r>
      <w:r w:rsidRPr="001611B6">
        <w:t xml:space="preserve"> Security Act (</w:t>
      </w:r>
      <w:r w:rsidRPr="004832F9">
        <w:t>CARES</w:t>
      </w:r>
      <w:r w:rsidRPr="001611B6">
        <w:t xml:space="preserve"> Act)</w:t>
      </w:r>
      <w:r>
        <w:t xml:space="preserve"> </w:t>
      </w:r>
      <w:r w:rsidRPr="004832F9">
        <w:t>eingeschränkt</w:t>
      </w:r>
    </w:p>
    <w:p w14:paraId="1DD88DE6" w14:textId="5B3755DE" w:rsidR="001611B6" w:rsidRDefault="001611B6" w:rsidP="001611B6">
      <w:pPr>
        <w:pStyle w:val="Listenabsatz"/>
        <w:numPr>
          <w:ilvl w:val="0"/>
          <w:numId w:val="14"/>
        </w:numPr>
      </w:pPr>
      <w:r w:rsidRPr="004832F9">
        <w:t>Genetic</w:t>
      </w:r>
      <w:r w:rsidRPr="001611B6">
        <w:t xml:space="preserve"> Information </w:t>
      </w:r>
      <w:r w:rsidRPr="004832F9">
        <w:t>Nondiscrimination</w:t>
      </w:r>
      <w:r w:rsidRPr="001611B6">
        <w:t xml:space="preserve"> Act (GINA)</w:t>
      </w:r>
      <w:r>
        <w:t xml:space="preserve">; </w:t>
      </w:r>
      <w:r w:rsidRPr="001611B6">
        <w:t xml:space="preserve">GINA ergänzt </w:t>
      </w:r>
      <w:r w:rsidRPr="004832F9">
        <w:t>HIPAA</w:t>
      </w:r>
      <w:r>
        <w:t xml:space="preserve"> </w:t>
      </w:r>
      <w:r w:rsidRPr="004832F9">
        <w:t>Privacy</w:t>
      </w:r>
      <w:r w:rsidRPr="001611B6">
        <w:t xml:space="preserve"> </w:t>
      </w:r>
      <w:r w:rsidRPr="004832F9">
        <w:t>Rule</w:t>
      </w:r>
      <w:r w:rsidRPr="001611B6">
        <w:t xml:space="preserve"> </w:t>
      </w:r>
      <w:r>
        <w:t>mit Regelungen zum</w:t>
      </w:r>
      <w:r w:rsidRPr="001611B6">
        <w:t xml:space="preserve"> Umgang mit genetischen </w:t>
      </w:r>
      <w:r w:rsidRPr="004832F9">
        <w:t>Daten</w:t>
      </w:r>
    </w:p>
    <w:p w14:paraId="592B072E" w14:textId="33B53187" w:rsidR="001611B6" w:rsidRDefault="001611B6" w:rsidP="001611B6">
      <w:pPr>
        <w:pStyle w:val="Listenabsatz"/>
        <w:numPr>
          <w:ilvl w:val="1"/>
          <w:numId w:val="14"/>
        </w:numPr>
      </w:pPr>
      <w:r>
        <w:t xml:space="preserve">2008 in Kraft </w:t>
      </w:r>
      <w:r w:rsidRPr="004832F9">
        <w:t>getreten</w:t>
      </w:r>
    </w:p>
    <w:p w14:paraId="6E46C1DD" w14:textId="1917A247" w:rsidR="001611B6" w:rsidRDefault="001611B6" w:rsidP="001611B6">
      <w:pPr>
        <w:pStyle w:val="Listenabsatz"/>
        <w:numPr>
          <w:ilvl w:val="1"/>
          <w:numId w:val="14"/>
        </w:numPr>
      </w:pPr>
      <w:r w:rsidRPr="001611B6">
        <w:t xml:space="preserve">2016 </w:t>
      </w:r>
      <w:r>
        <w:t>durch</w:t>
      </w:r>
      <w:r w:rsidRPr="001611B6">
        <w:t xml:space="preserve"> d</w:t>
      </w:r>
      <w:r>
        <w:t>en</w:t>
      </w:r>
      <w:r w:rsidRPr="001611B6">
        <w:t xml:space="preserve"> </w:t>
      </w:r>
      <w:r w:rsidRPr="004832F9">
        <w:t>Equal</w:t>
      </w:r>
      <w:r w:rsidRPr="001611B6">
        <w:t xml:space="preserve"> </w:t>
      </w:r>
      <w:r w:rsidRPr="004832F9">
        <w:t>Employment</w:t>
      </w:r>
      <w:r w:rsidRPr="001611B6">
        <w:t xml:space="preserve"> </w:t>
      </w:r>
      <w:r w:rsidRPr="004832F9">
        <w:t>Opportunity</w:t>
      </w:r>
      <w:r w:rsidRPr="001611B6">
        <w:t xml:space="preserve"> Commission (</w:t>
      </w:r>
      <w:r w:rsidRPr="004832F9">
        <w:t>EEOC</w:t>
      </w:r>
      <w:r w:rsidRPr="001611B6">
        <w:t>)</w:t>
      </w:r>
      <w:r w:rsidR="008444FB">
        <w:t xml:space="preserve"> überarbeitet</w:t>
      </w:r>
      <w:r>
        <w:t xml:space="preserve">, </w:t>
      </w:r>
      <w:r w:rsidRPr="001611B6">
        <w:t xml:space="preserve">um </w:t>
      </w:r>
      <w:r w:rsidR="008444FB">
        <w:t xml:space="preserve">die </w:t>
      </w:r>
      <w:r w:rsidRPr="001611B6">
        <w:t>Zulässigkeit von Wellness-Programmen am Arbeitsplatz zu klären</w:t>
      </w:r>
      <w:r w:rsidR="00F07B36">
        <w:t>.</w:t>
      </w:r>
    </w:p>
    <w:p w14:paraId="6DB3B725" w14:textId="6B67A7D9" w:rsidR="001611B6" w:rsidRDefault="001611B6" w:rsidP="001611B6">
      <w:r>
        <w:t xml:space="preserve">Hinsichtlich des Themas Anonymisierung/Pseudonymisierung in Bezug auf Patientendaten ist überwiegend </w:t>
      </w:r>
      <w:r w:rsidRPr="004832F9">
        <w:t>HIPAA</w:t>
      </w:r>
      <w:r>
        <w:t xml:space="preserve"> die maßgebliche Regelung, jedoch müssen ggf. datenschutzrechtliche Regelungen des </w:t>
      </w:r>
      <w:r w:rsidR="00F07B36">
        <w:t xml:space="preserve">jeweiligen </w:t>
      </w:r>
      <w:r>
        <w:t xml:space="preserve">Bundesstaates zusätzlich betrachtet werden, wenn Daten amerikanischer Patienten </w:t>
      </w:r>
      <w:r w:rsidRPr="001611B6">
        <w:t>anonymisiert</w:t>
      </w:r>
      <w:r>
        <w:t xml:space="preserve"> und pseudonymisiert werden sollen.</w:t>
      </w:r>
    </w:p>
    <w:p w14:paraId="26009117" w14:textId="77777777" w:rsidR="00C9149F" w:rsidRPr="001611B6" w:rsidRDefault="00C9149F" w:rsidP="001611B6"/>
    <w:p w14:paraId="2238B6EF" w14:textId="77777777" w:rsidR="00C9149F" w:rsidRDefault="00C9149F">
      <w:pPr>
        <w:spacing w:after="0" w:line="240" w:lineRule="auto"/>
        <w:jc w:val="left"/>
        <w:rPr>
          <w:rFonts w:asciiTheme="majorHAnsi" w:eastAsiaTheme="majorEastAsia" w:hAnsiTheme="majorHAnsi" w:cstheme="majorBidi"/>
          <w:b/>
          <w:bCs/>
          <w:color w:val="4F81BD" w:themeColor="accent1"/>
          <w:sz w:val="26"/>
          <w:szCs w:val="26"/>
        </w:rPr>
      </w:pPr>
      <w:bookmarkStart w:id="113" w:name="_Toc154652609"/>
      <w:r>
        <w:br w:type="page"/>
      </w:r>
    </w:p>
    <w:p w14:paraId="5B192A94" w14:textId="2EF904C5" w:rsidR="001611B6" w:rsidRDefault="001611B6" w:rsidP="001611B6">
      <w:pPr>
        <w:pStyle w:val="berschrift2"/>
      </w:pPr>
      <w:r w:rsidRPr="004832F9">
        <w:t>Health</w:t>
      </w:r>
      <w:r w:rsidRPr="001611B6">
        <w:t xml:space="preserve"> </w:t>
      </w:r>
      <w:r w:rsidRPr="004832F9">
        <w:t>Insurance</w:t>
      </w:r>
      <w:r w:rsidRPr="001611B6">
        <w:t xml:space="preserve"> Portability </w:t>
      </w:r>
      <w:r w:rsidRPr="004832F9">
        <w:t>and</w:t>
      </w:r>
      <w:r w:rsidRPr="001611B6">
        <w:t xml:space="preserve"> Accountability Act</w:t>
      </w:r>
      <w:bookmarkEnd w:id="113"/>
    </w:p>
    <w:p w14:paraId="36DDFC01" w14:textId="2950030A" w:rsidR="00AE4EA7" w:rsidRDefault="00000000">
      <w:r>
        <w:t>Der amerikanische „</w:t>
      </w:r>
      <w:r w:rsidRPr="004832F9">
        <w:t>Health</w:t>
      </w:r>
      <w:r>
        <w:t xml:space="preserve"> </w:t>
      </w:r>
      <w:r w:rsidRPr="004832F9">
        <w:t>Insurance</w:t>
      </w:r>
      <w:r>
        <w:t xml:space="preserve"> Portability </w:t>
      </w:r>
      <w:r w:rsidRPr="004832F9">
        <w:t>and</w:t>
      </w:r>
      <w:r>
        <w:t xml:space="preserve"> Accountability Act</w:t>
      </w:r>
      <w:r>
        <w:rPr>
          <w:rStyle w:val="Funotenanker"/>
        </w:rPr>
        <w:footnoteReference w:id="66"/>
      </w:r>
      <w:r>
        <w:t>“ (</w:t>
      </w:r>
      <w:r w:rsidRPr="004832F9">
        <w:t>HIPAA</w:t>
      </w:r>
      <w:r>
        <w:t xml:space="preserve">) kennt den Begriff der </w:t>
      </w:r>
      <w:r w:rsidRPr="004832F9">
        <w:t>De-identification</w:t>
      </w:r>
      <w:r>
        <w:t xml:space="preserve">, also den Prozess, um Personen vor der Identifikation zu schützen. Das Vorgehen hierzu wird in Abschnitt 164.514 von </w:t>
      </w:r>
      <w:r w:rsidRPr="004832F9">
        <w:t>HIPAA</w:t>
      </w:r>
      <w:r>
        <w:t xml:space="preserve"> beschrieben</w:t>
      </w:r>
      <w:r>
        <w:rPr>
          <w:rStyle w:val="Funotenanker"/>
        </w:rPr>
        <w:footnoteReference w:id="67"/>
      </w:r>
      <w:r>
        <w:t xml:space="preserve">. Das U. S. Department </w:t>
      </w:r>
      <w:r w:rsidRPr="004832F9">
        <w:t>of</w:t>
      </w:r>
      <w:r>
        <w:t xml:space="preserve"> </w:t>
      </w:r>
      <w:r w:rsidRPr="004832F9">
        <w:t>Health</w:t>
      </w:r>
      <w:r>
        <w:t xml:space="preserve"> &amp; </w:t>
      </w:r>
      <w:r w:rsidRPr="004832F9">
        <w:t>Human</w:t>
      </w:r>
      <w:r>
        <w:t xml:space="preserve"> Services veröffentlichte eine diesbezügliche Leitlinie</w:t>
      </w:r>
      <w:r w:rsidR="00B979F5">
        <w:t>, in welcher vorgegeben wird,</w:t>
      </w:r>
      <w:r>
        <w:t xml:space="preserve"> wie </w:t>
      </w:r>
      <w:r w:rsidRPr="004832F9">
        <w:t>De-Identifikation</w:t>
      </w:r>
      <w:r>
        <w:t xml:space="preserve"> in Bezug auf medizinische Daten umgesetzt werden kann</w:t>
      </w:r>
      <w:bookmarkStart w:id="114" w:name="_Ref516904027"/>
      <w:r>
        <w:rPr>
          <w:rStyle w:val="Funotenanker"/>
        </w:rPr>
        <w:footnoteReference w:id="68"/>
      </w:r>
      <w:bookmarkEnd w:id="114"/>
      <w:r>
        <w:t>.</w:t>
      </w:r>
    </w:p>
    <w:p w14:paraId="7D197A11" w14:textId="77777777" w:rsidR="00AE4EA7" w:rsidRDefault="00000000">
      <w:pPr>
        <w:spacing w:after="0"/>
      </w:pPr>
      <w:r>
        <w:t xml:space="preserve">§ 16.4514(b) </w:t>
      </w:r>
      <w:r w:rsidRPr="004832F9">
        <w:t>HIPAA</w:t>
      </w:r>
      <w:r>
        <w:t xml:space="preserve"> enthält eine Spezifizierung bzgl. der Umsetzung der </w:t>
      </w:r>
      <w:r w:rsidRPr="004832F9">
        <w:t>De-Identifikation</w:t>
      </w:r>
      <w:r>
        <w:t xml:space="preserve"> und kennt zwei Methoden:</w:t>
      </w:r>
    </w:p>
    <w:p w14:paraId="556CD7DC" w14:textId="77777777" w:rsidR="00AE4EA7" w:rsidRDefault="00000000">
      <w:pPr>
        <w:pStyle w:val="Listenabsatz"/>
        <w:numPr>
          <w:ilvl w:val="0"/>
          <w:numId w:val="18"/>
        </w:numPr>
      </w:pPr>
      <w:r>
        <w:t>§ 16.4514(b)(1)</w:t>
      </w:r>
    </w:p>
    <w:p w14:paraId="4BA1EC29" w14:textId="77777777" w:rsidR="00AE4EA7" w:rsidRDefault="00000000">
      <w:pPr>
        <w:pStyle w:val="Listenabsatz"/>
      </w:pPr>
      <w:r>
        <w:t xml:space="preserve">Eine Person mit angemessenem Wissen und Erfahrung bzgl. allgemein anerkannten statistischen und wissenschaftlichen Prinzipien und Methoden hinsichtlich einer </w:t>
      </w:r>
      <w:r w:rsidRPr="004832F9">
        <w:t>De-Identifikation</w:t>
      </w:r>
    </w:p>
    <w:p w14:paraId="1DEDC78C" w14:textId="77777777" w:rsidR="00AE4EA7" w:rsidRDefault="00000000">
      <w:pPr>
        <w:pStyle w:val="Listenabsatz"/>
        <w:numPr>
          <w:ilvl w:val="0"/>
          <w:numId w:val="19"/>
        </w:numPr>
      </w:pPr>
      <w:r w:rsidRPr="004832F9">
        <w:t>entscheidet</w:t>
      </w:r>
      <w:r>
        <w:t xml:space="preserve">, dass das angewandte Verfahren zur </w:t>
      </w:r>
      <w:r w:rsidRPr="004832F9">
        <w:t>De-Identifikation</w:t>
      </w:r>
      <w:r>
        <w:t xml:space="preserve"> nur sehr geringe Risiken auch in Kombination mit Informationen, die anderen Stellen (Dritten i. S. d. DS-GVO) zur Verfügung stehen, hinsichtlich der Re-Identifizierung der betroffenen Person(en) beinhaltet </w:t>
      </w:r>
      <w:r w:rsidRPr="004832F9">
        <w:t>und</w:t>
      </w:r>
    </w:p>
    <w:p w14:paraId="460D19DB" w14:textId="77777777" w:rsidR="00AE4EA7" w:rsidRDefault="00000000">
      <w:pPr>
        <w:pStyle w:val="Listenabsatz"/>
        <w:numPr>
          <w:ilvl w:val="0"/>
          <w:numId w:val="19"/>
        </w:numPr>
      </w:pPr>
      <w:r w:rsidRPr="004832F9">
        <w:t>dokumentiert</w:t>
      </w:r>
      <w:r>
        <w:t xml:space="preserve"> die angewandten Methoden und die Analyse bzgl. der Risiken.</w:t>
      </w:r>
    </w:p>
    <w:p w14:paraId="7FA5B1C8" w14:textId="6BFF23DF" w:rsidR="00AE4EA7" w:rsidRDefault="00000000">
      <w:pPr>
        <w:pStyle w:val="Listenabsatz"/>
        <w:numPr>
          <w:ilvl w:val="0"/>
          <w:numId w:val="18"/>
        </w:numPr>
        <w:rPr>
          <w:lang w:val="en-US"/>
        </w:rPr>
      </w:pPr>
      <w:r>
        <w:rPr>
          <w:lang w:val="en-US"/>
        </w:rPr>
        <w:t>§ 16.4514(b)(2) (nach Angaben des U.S. Department of Health &amp; Human Services</w:t>
      </w:r>
      <w:r w:rsidR="0093736C" w:rsidRPr="0093736C">
        <w:rPr>
          <w:vertAlign w:val="superscript"/>
          <w:lang w:val="en-US"/>
        </w:rPr>
        <w:fldChar w:fldCharType="begin"/>
      </w:r>
      <w:r w:rsidR="0093736C" w:rsidRPr="0093736C">
        <w:rPr>
          <w:vertAlign w:val="superscript"/>
          <w:lang w:val="en-US"/>
        </w:rPr>
        <w:instrText xml:space="preserve"> NOTEREF _Ref516904027 \h </w:instrText>
      </w:r>
      <w:r w:rsidR="0093736C">
        <w:rPr>
          <w:vertAlign w:val="superscript"/>
          <w:lang w:val="en-US"/>
        </w:rPr>
        <w:instrText xml:space="preserve"> \* MERGEFORMAT </w:instrText>
      </w:r>
      <w:r w:rsidR="0093736C" w:rsidRPr="0093736C">
        <w:rPr>
          <w:vertAlign w:val="superscript"/>
          <w:lang w:val="en-US"/>
        </w:rPr>
      </w:r>
      <w:r w:rsidR="0093736C" w:rsidRPr="0093736C">
        <w:rPr>
          <w:vertAlign w:val="superscript"/>
          <w:lang w:val="en-US"/>
        </w:rPr>
        <w:fldChar w:fldCharType="separate"/>
      </w:r>
      <w:r w:rsidR="00C9149F">
        <w:rPr>
          <w:vertAlign w:val="superscript"/>
          <w:lang w:val="en-US"/>
        </w:rPr>
        <w:t>68</w:t>
      </w:r>
      <w:r w:rsidR="0093736C" w:rsidRPr="0093736C">
        <w:rPr>
          <w:vertAlign w:val="superscript"/>
          <w:lang w:val="en-US"/>
        </w:rPr>
        <w:fldChar w:fldCharType="end"/>
      </w:r>
      <w:r>
        <w:rPr>
          <w:lang w:val="en-US"/>
        </w:rPr>
        <w:t>)</w:t>
      </w:r>
    </w:p>
    <w:p w14:paraId="12A253F3" w14:textId="3B6CD93C" w:rsidR="00AE4EA7" w:rsidRDefault="00000000" w:rsidP="004832F9">
      <w:pPr>
        <w:pStyle w:val="Listenabsatz"/>
        <w:numPr>
          <w:ilvl w:val="0"/>
          <w:numId w:val="67"/>
        </w:numPr>
      </w:pPr>
      <w:r>
        <w:t>Es müssen nachfolgende Informationen von betroffenen Personen oder von Verwandten, Arbeitgebern</w:t>
      </w:r>
      <w:r w:rsidRPr="004832F9">
        <w:t xml:space="preserve"> oder</w:t>
      </w:r>
      <w:r>
        <w:t xml:space="preserve"> Haushaltsmitgliedern entfernt werden:</w:t>
      </w:r>
    </w:p>
    <w:p w14:paraId="787B425A" w14:textId="77777777" w:rsidR="00AE4EA7" w:rsidRDefault="00000000" w:rsidP="004832F9">
      <w:pPr>
        <w:pStyle w:val="Listenabsatz"/>
        <w:numPr>
          <w:ilvl w:val="0"/>
          <w:numId w:val="20"/>
        </w:numPr>
        <w:tabs>
          <w:tab w:val="clear" w:pos="0"/>
          <w:tab w:val="num" w:pos="336"/>
        </w:tabs>
        <w:ind w:left="1776"/>
      </w:pPr>
      <w:r>
        <w:t>Namen</w:t>
      </w:r>
    </w:p>
    <w:p w14:paraId="2BAD75ED" w14:textId="0D102EF0" w:rsidR="00AE4EA7" w:rsidRDefault="00000000" w:rsidP="004832F9">
      <w:pPr>
        <w:pStyle w:val="Listenabsatz"/>
        <w:numPr>
          <w:ilvl w:val="0"/>
          <w:numId w:val="20"/>
        </w:numPr>
        <w:tabs>
          <w:tab w:val="clear" w:pos="0"/>
          <w:tab w:val="num" w:pos="336"/>
        </w:tabs>
        <w:ind w:left="1776"/>
      </w:pPr>
      <w:r>
        <w:t>Alle ortsbezogenen Angaben kleiner als ein Staat, einschließlich Straßenadresse, Stadt, Bezirks, Postleitzahl, außer den ersten 3 Ziffern der Postleitzahl</w:t>
      </w:r>
    </w:p>
    <w:p w14:paraId="3891C90F" w14:textId="77777777" w:rsidR="00AE4EA7" w:rsidRDefault="00000000" w:rsidP="004832F9">
      <w:pPr>
        <w:pStyle w:val="Listenabsatz"/>
        <w:numPr>
          <w:ilvl w:val="0"/>
          <w:numId w:val="20"/>
        </w:numPr>
        <w:tabs>
          <w:tab w:val="clear" w:pos="0"/>
          <w:tab w:val="num" w:pos="336"/>
        </w:tabs>
        <w:ind w:left="1776"/>
      </w:pPr>
      <w:r>
        <w:t xml:space="preserve">Alle Datumsangaben, die direkt auf eine Person schließen lassen, außer dem </w:t>
      </w:r>
      <w:r w:rsidRPr="004832F9">
        <w:t>Jahr</w:t>
      </w:r>
    </w:p>
    <w:p w14:paraId="4BDB149F" w14:textId="77777777" w:rsidR="00AE4EA7" w:rsidRDefault="00000000" w:rsidP="004832F9">
      <w:pPr>
        <w:pStyle w:val="Listenabsatz"/>
        <w:numPr>
          <w:ilvl w:val="0"/>
          <w:numId w:val="20"/>
        </w:numPr>
        <w:tabs>
          <w:tab w:val="clear" w:pos="0"/>
          <w:tab w:val="num" w:pos="336"/>
        </w:tabs>
        <w:ind w:left="1776"/>
      </w:pPr>
      <w:r>
        <w:t>Telefonnummern</w:t>
      </w:r>
    </w:p>
    <w:p w14:paraId="2EB2FF3D" w14:textId="44A04D88" w:rsidR="00AE4EA7" w:rsidRDefault="00000000" w:rsidP="004832F9">
      <w:pPr>
        <w:pStyle w:val="Listenabsatz"/>
        <w:numPr>
          <w:ilvl w:val="0"/>
          <w:numId w:val="54"/>
        </w:numPr>
        <w:tabs>
          <w:tab w:val="clear" w:pos="0"/>
          <w:tab w:val="num" w:pos="336"/>
        </w:tabs>
        <w:ind w:left="1776"/>
      </w:pPr>
      <w:r>
        <w:t>Fahrzeugnummern</w:t>
      </w:r>
      <w:r w:rsidR="00EB5A16">
        <w:t xml:space="preserve"> und </w:t>
      </w:r>
      <w:r>
        <w:t xml:space="preserve">Seriennummer, </w:t>
      </w:r>
      <w:r w:rsidR="00EB5A16" w:rsidRPr="00EB5A16">
        <w:t>einschließlich Nummernschilder</w:t>
      </w:r>
    </w:p>
    <w:p w14:paraId="23F69B15" w14:textId="77777777" w:rsidR="00AE4EA7" w:rsidRDefault="00000000" w:rsidP="004832F9">
      <w:pPr>
        <w:pStyle w:val="Listenabsatz"/>
        <w:numPr>
          <w:ilvl w:val="0"/>
          <w:numId w:val="55"/>
        </w:numPr>
        <w:tabs>
          <w:tab w:val="clear" w:pos="0"/>
          <w:tab w:val="num" w:pos="336"/>
        </w:tabs>
        <w:ind w:left="1776"/>
      </w:pPr>
      <w:r>
        <w:t>Faxnummern</w:t>
      </w:r>
    </w:p>
    <w:p w14:paraId="46A838E3" w14:textId="77777777" w:rsidR="00AE4EA7" w:rsidRDefault="00000000" w:rsidP="004832F9">
      <w:pPr>
        <w:pStyle w:val="Listenabsatz"/>
        <w:numPr>
          <w:ilvl w:val="0"/>
          <w:numId w:val="56"/>
        </w:numPr>
        <w:tabs>
          <w:tab w:val="clear" w:pos="0"/>
          <w:tab w:val="num" w:pos="336"/>
        </w:tabs>
        <w:ind w:left="1776"/>
      </w:pPr>
      <w:r w:rsidRPr="004832F9">
        <w:t>Geräte-Identifizierer</w:t>
      </w:r>
      <w:r>
        <w:t xml:space="preserve"> sowie Seriennummern</w:t>
      </w:r>
    </w:p>
    <w:p w14:paraId="3E9B4883" w14:textId="77777777" w:rsidR="00AE4EA7" w:rsidRDefault="00000000" w:rsidP="004832F9">
      <w:pPr>
        <w:pStyle w:val="Listenabsatz"/>
        <w:numPr>
          <w:ilvl w:val="0"/>
          <w:numId w:val="57"/>
        </w:numPr>
        <w:tabs>
          <w:tab w:val="clear" w:pos="0"/>
          <w:tab w:val="num" w:pos="336"/>
        </w:tabs>
        <w:ind w:left="1776"/>
      </w:pPr>
      <w:r w:rsidRPr="004832F9">
        <w:t>E-Mailadressen</w:t>
      </w:r>
    </w:p>
    <w:p w14:paraId="6639A094" w14:textId="77777777" w:rsidR="00AE4EA7" w:rsidRDefault="00000000" w:rsidP="004832F9">
      <w:pPr>
        <w:pStyle w:val="Listenabsatz"/>
        <w:numPr>
          <w:ilvl w:val="0"/>
          <w:numId w:val="58"/>
        </w:numPr>
        <w:tabs>
          <w:tab w:val="clear" w:pos="0"/>
          <w:tab w:val="num" w:pos="336"/>
        </w:tabs>
        <w:ind w:left="1776"/>
      </w:pPr>
      <w:r>
        <w:t xml:space="preserve">Web Universal </w:t>
      </w:r>
      <w:r w:rsidRPr="004832F9">
        <w:t>Resource</w:t>
      </w:r>
      <w:r>
        <w:t xml:space="preserve"> Locators (URLs)</w:t>
      </w:r>
    </w:p>
    <w:p w14:paraId="4BD2498C" w14:textId="77777777" w:rsidR="00AE4EA7" w:rsidRDefault="00000000" w:rsidP="004832F9">
      <w:pPr>
        <w:pStyle w:val="Listenabsatz"/>
        <w:numPr>
          <w:ilvl w:val="0"/>
          <w:numId w:val="59"/>
        </w:numPr>
        <w:tabs>
          <w:tab w:val="clear" w:pos="0"/>
          <w:tab w:val="num" w:pos="336"/>
        </w:tabs>
        <w:ind w:left="1776"/>
      </w:pPr>
      <w:r>
        <w:t>Sozialversicherungsnummern</w:t>
      </w:r>
    </w:p>
    <w:p w14:paraId="5D5C5C65" w14:textId="77777777" w:rsidR="00AE4EA7" w:rsidRDefault="00000000" w:rsidP="004832F9">
      <w:pPr>
        <w:pStyle w:val="Listenabsatz"/>
        <w:numPr>
          <w:ilvl w:val="0"/>
          <w:numId w:val="60"/>
        </w:numPr>
        <w:tabs>
          <w:tab w:val="clear" w:pos="0"/>
          <w:tab w:val="num" w:pos="336"/>
        </w:tabs>
        <w:ind w:left="1776"/>
      </w:pPr>
      <w:r>
        <w:t xml:space="preserve">Internet </w:t>
      </w:r>
      <w:r w:rsidRPr="004832F9">
        <w:t>Protocol</w:t>
      </w:r>
      <w:r>
        <w:t xml:space="preserve"> (IP) Adressen</w:t>
      </w:r>
    </w:p>
    <w:p w14:paraId="3B51750B" w14:textId="77777777" w:rsidR="00AE4EA7" w:rsidRDefault="00000000" w:rsidP="004832F9">
      <w:pPr>
        <w:pStyle w:val="Listenabsatz"/>
        <w:numPr>
          <w:ilvl w:val="0"/>
          <w:numId w:val="61"/>
        </w:numPr>
        <w:tabs>
          <w:tab w:val="clear" w:pos="0"/>
          <w:tab w:val="num" w:pos="336"/>
        </w:tabs>
        <w:ind w:left="1776"/>
      </w:pPr>
      <w:r>
        <w:t>Patienten-IDs aus elektronischen Patientenakten</w:t>
      </w:r>
    </w:p>
    <w:p w14:paraId="3F04057B" w14:textId="77777777" w:rsidR="00AE4EA7" w:rsidRDefault="00000000" w:rsidP="004832F9">
      <w:pPr>
        <w:pStyle w:val="Listenabsatz"/>
        <w:numPr>
          <w:ilvl w:val="0"/>
          <w:numId w:val="62"/>
        </w:numPr>
        <w:tabs>
          <w:tab w:val="clear" w:pos="0"/>
          <w:tab w:val="num" w:pos="336"/>
        </w:tabs>
        <w:ind w:left="1776"/>
      </w:pPr>
      <w:r>
        <w:t xml:space="preserve">Biometrische Identifikatoren, Fingerprint und Stimme </w:t>
      </w:r>
      <w:r w:rsidRPr="004832F9">
        <w:t>eingeschlossen</w:t>
      </w:r>
    </w:p>
    <w:p w14:paraId="18531B66" w14:textId="54CB21F6" w:rsidR="00AE4EA7" w:rsidRDefault="00EB5A16" w:rsidP="004832F9">
      <w:pPr>
        <w:pStyle w:val="Listenabsatz"/>
        <w:numPr>
          <w:ilvl w:val="0"/>
          <w:numId w:val="63"/>
        </w:numPr>
        <w:tabs>
          <w:tab w:val="clear" w:pos="0"/>
          <w:tab w:val="num" w:pos="336"/>
        </w:tabs>
        <w:ind w:left="1776"/>
      </w:pPr>
      <w:r w:rsidRPr="00EB5A16">
        <w:t xml:space="preserve"> Nummern der Leistungsempfänger der </w:t>
      </w:r>
      <w:r w:rsidRPr="004832F9">
        <w:t>Krankenkasse</w:t>
      </w:r>
    </w:p>
    <w:p w14:paraId="474ED81E" w14:textId="434F91B3" w:rsidR="00AE4EA7" w:rsidRDefault="00000000" w:rsidP="004832F9">
      <w:pPr>
        <w:pStyle w:val="Listenabsatz"/>
        <w:numPr>
          <w:ilvl w:val="0"/>
          <w:numId w:val="64"/>
        </w:numPr>
        <w:tabs>
          <w:tab w:val="clear" w:pos="0"/>
          <w:tab w:val="num" w:pos="336"/>
        </w:tabs>
        <w:ind w:left="1776"/>
      </w:pPr>
      <w:r w:rsidRPr="004C1658">
        <w:t>Fotogra</w:t>
      </w:r>
      <w:r w:rsidR="004C1658" w:rsidRPr="004C1658">
        <w:t>f</w:t>
      </w:r>
      <w:r w:rsidRPr="004C1658">
        <w:t>ien</w:t>
      </w:r>
      <w:r>
        <w:t xml:space="preserve">, die das gesamte Gesicht zeigen, und alle vergleichbaren </w:t>
      </w:r>
      <w:r w:rsidRPr="004832F9">
        <w:t>Bildnisse</w:t>
      </w:r>
    </w:p>
    <w:p w14:paraId="36C5DC5A" w14:textId="77777777" w:rsidR="00AE4EA7" w:rsidRDefault="00000000" w:rsidP="004832F9">
      <w:pPr>
        <w:pStyle w:val="Listenabsatz"/>
        <w:numPr>
          <w:ilvl w:val="0"/>
          <w:numId w:val="65"/>
        </w:numPr>
        <w:tabs>
          <w:tab w:val="clear" w:pos="0"/>
          <w:tab w:val="num" w:pos="336"/>
        </w:tabs>
        <w:ind w:left="1776"/>
      </w:pPr>
      <w:r>
        <w:t>Kontonummern, Abrechnungsnummern</w:t>
      </w:r>
    </w:p>
    <w:p w14:paraId="5FA34049" w14:textId="09D72805" w:rsidR="00AE4EA7" w:rsidRDefault="00000000" w:rsidP="004832F9">
      <w:pPr>
        <w:pStyle w:val="Listenabsatz"/>
        <w:numPr>
          <w:ilvl w:val="0"/>
          <w:numId w:val="65"/>
        </w:numPr>
        <w:tabs>
          <w:tab w:val="clear" w:pos="0"/>
          <w:tab w:val="num" w:pos="336"/>
        </w:tabs>
        <w:ind w:left="1776"/>
      </w:pPr>
      <w:r>
        <w:t>Jede andere ein Individuum identifizierende Nummer</w:t>
      </w:r>
      <w:r w:rsidR="00EB5A16">
        <w:t xml:space="preserve">, Merkmal </w:t>
      </w:r>
      <w:r>
        <w:t xml:space="preserve">oder </w:t>
      </w:r>
      <w:r w:rsidR="00EB5A16">
        <w:t>Code</w:t>
      </w:r>
      <w:r>
        <w:t xml:space="preserve">, ausgenommen Angaben bzgl. § 16.4514(c) </w:t>
      </w:r>
      <w:r w:rsidRPr="004832F9">
        <w:t>HIPAA</w:t>
      </w:r>
      <w:r>
        <w:t xml:space="preserve"> (Angaben zur Re-Identifikation</w:t>
      </w:r>
      <w:r w:rsidRPr="004832F9">
        <w:t>)</w:t>
      </w:r>
    </w:p>
    <w:p w14:paraId="14E61753" w14:textId="77777777" w:rsidR="00AE4EA7" w:rsidRDefault="00000000" w:rsidP="004832F9">
      <w:pPr>
        <w:pStyle w:val="Listenabsatz"/>
        <w:numPr>
          <w:ilvl w:val="0"/>
          <w:numId w:val="66"/>
        </w:numPr>
        <w:tabs>
          <w:tab w:val="clear" w:pos="0"/>
          <w:tab w:val="num" w:pos="336"/>
        </w:tabs>
        <w:ind w:left="1776"/>
      </w:pPr>
      <w:r>
        <w:t xml:space="preserve">Nummern von Zeugnissen, Zertifikaten, Attesten, </w:t>
      </w:r>
      <w:r w:rsidRPr="004832F9">
        <w:t>Führerscheinnummer</w:t>
      </w:r>
    </w:p>
    <w:p w14:paraId="5A1986B8" w14:textId="09F637F5" w:rsidR="00AE4EA7" w:rsidRDefault="00EB5A16" w:rsidP="004832F9">
      <w:pPr>
        <w:pStyle w:val="Listenabsatz"/>
        <w:numPr>
          <w:ilvl w:val="0"/>
          <w:numId w:val="67"/>
        </w:numPr>
      </w:pPr>
      <w:r>
        <w:t xml:space="preserve">Der oder die Verantwortliche/-n </w:t>
      </w:r>
      <w:r w:rsidRPr="00EB5A16">
        <w:t xml:space="preserve">hat keine tatsächliche Kenntnis davon, dass die Informationen allein oder in Kombination mit anderen Informationen zur Identifizierung einer Person, die Gegenstand der Informationen ist, verwendet werden </w:t>
      </w:r>
      <w:r w:rsidRPr="004832F9">
        <w:t>könnten</w:t>
      </w:r>
      <w:r w:rsidR="004832F9" w:rsidRPr="004832F9">
        <w:t>.</w:t>
      </w:r>
    </w:p>
    <w:p w14:paraId="20522A32" w14:textId="77777777" w:rsidR="00AE4EA7" w:rsidRDefault="00000000">
      <w:r>
        <w:t xml:space="preserve">§ 16.4514(c) </w:t>
      </w:r>
      <w:r w:rsidRPr="004832F9">
        <w:t>HIPAA</w:t>
      </w:r>
      <w:r>
        <w:t xml:space="preserve"> sieht die Möglichkeit einer Re-Identifikation vor. Dazu kann einer betroffenen Person im Rahmen der </w:t>
      </w:r>
      <w:r w:rsidRPr="004832F9">
        <w:t>De-Identifikation</w:t>
      </w:r>
      <w:r>
        <w:t xml:space="preserve"> ein Code oder ein anderes Identifizierungskennzeichen zugewiesen werden, um dadurch eine Möglichkeit zur Re-Identifikation zu erhalten.</w:t>
      </w:r>
    </w:p>
    <w:p w14:paraId="0B29827B" w14:textId="071F8C03" w:rsidR="00AE4EA7" w:rsidRDefault="00000000">
      <w:r>
        <w:t xml:space="preserve">Dieses wiederum hat zur Konsequenz, dass eine </w:t>
      </w:r>
      <w:r w:rsidRPr="004832F9">
        <w:t>De-Identifikation</w:t>
      </w:r>
      <w:r>
        <w:t xml:space="preserve"> nach </w:t>
      </w:r>
      <w:r w:rsidRPr="004832F9">
        <w:t>HIPAA</w:t>
      </w:r>
      <w:r>
        <w:t xml:space="preserve"> somit keine Anonymisierung im Sinne des europäischen Rechts darstellt. Eine </w:t>
      </w:r>
      <w:r w:rsidRPr="004832F9">
        <w:t>De-Identifikation</w:t>
      </w:r>
      <w:r>
        <w:t xml:space="preserve"> nach </w:t>
      </w:r>
      <w:r w:rsidRPr="004832F9">
        <w:t>HIPAA</w:t>
      </w:r>
      <w:r>
        <w:t xml:space="preserve"> kann jedoch den aus der DS-GVO resultierenden Anforderungen bezüglich einer Pseudonymisierung genügen, wenn der Verantwortliche keinen Zugriff auf die ggf. vorhandene </w:t>
      </w:r>
      <w:r w:rsidR="004D05D2" w:rsidRPr="004D05D2">
        <w:t xml:space="preserve">Möglichkeit einer </w:t>
      </w:r>
      <w:r>
        <w:t>Re-Identifikation hat.</w:t>
      </w:r>
    </w:p>
    <w:p w14:paraId="527F52A5" w14:textId="77777777" w:rsidR="00AE4EA7" w:rsidRDefault="00AE4EA7"/>
    <w:p w14:paraId="799252FD"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7D86A5F3" w14:textId="77777777" w:rsidR="00AE4EA7" w:rsidRDefault="00000000">
      <w:pPr>
        <w:pStyle w:val="berschrift1"/>
      </w:pPr>
      <w:bookmarkStart w:id="115" w:name="_Toc154652610"/>
      <w:r w:rsidRPr="004832F9">
        <w:t>Hands</w:t>
      </w:r>
      <w:r>
        <w:t xml:space="preserve"> on: Wie geht man vor?</w:t>
      </w:r>
      <w:bookmarkEnd w:id="115"/>
    </w:p>
    <w:p w14:paraId="04F753D8" w14:textId="198E779D" w:rsidR="008D5618" w:rsidRDefault="00BC61D4" w:rsidP="008D5618">
      <w:r>
        <w:t xml:space="preserve">Zunächst müssen die Daten überprüft </w:t>
      </w:r>
      <w:r w:rsidR="00F07B36">
        <w:t xml:space="preserve">und kategorisiert </w:t>
      </w:r>
      <w:r>
        <w:t>werden: Welche Art von Daten liegt vor?</w:t>
      </w:r>
    </w:p>
    <w:p w14:paraId="56BDE0F9" w14:textId="7598CF7F" w:rsidR="00A64241" w:rsidRDefault="00A64241" w:rsidP="00A64241">
      <w:r w:rsidRPr="00A64241">
        <w:rPr>
          <w:noProof/>
        </w:rPr>
        <w:drawing>
          <wp:inline distT="0" distB="0" distL="0" distR="0" wp14:anchorId="5F11034B" wp14:editId="7CEBD05F">
            <wp:extent cx="5760720" cy="2626995"/>
            <wp:effectExtent l="0" t="0" r="0" b="1905"/>
            <wp:docPr id="13983277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626995"/>
                    </a:xfrm>
                    <a:prstGeom prst="rect">
                      <a:avLst/>
                    </a:prstGeom>
                    <a:noFill/>
                    <a:ln>
                      <a:noFill/>
                    </a:ln>
                  </pic:spPr>
                </pic:pic>
              </a:graphicData>
            </a:graphic>
          </wp:inline>
        </w:drawing>
      </w:r>
    </w:p>
    <w:p w14:paraId="3880341C" w14:textId="758A1CCD" w:rsidR="00BC61D4" w:rsidRDefault="00BC61D4" w:rsidP="00BC61D4">
      <w:pPr>
        <w:pStyle w:val="Beschriftung"/>
      </w:pPr>
      <w:r>
        <w:t xml:space="preserve">Abbildung </w:t>
      </w:r>
      <w:r w:rsidR="00000000">
        <w:fldChar w:fldCharType="begin"/>
      </w:r>
      <w:r w:rsidR="00000000">
        <w:instrText xml:space="preserve"> SEQ Abbildung \* ARABIC </w:instrText>
      </w:r>
      <w:r w:rsidR="00000000">
        <w:fldChar w:fldCharType="separate"/>
      </w:r>
      <w:r w:rsidR="00C9149F">
        <w:rPr>
          <w:noProof/>
        </w:rPr>
        <w:t>1</w:t>
      </w:r>
      <w:r w:rsidR="00000000">
        <w:rPr>
          <w:noProof/>
        </w:rPr>
        <w:fldChar w:fldCharType="end"/>
      </w:r>
      <w:r>
        <w:t xml:space="preserve">: Prüfschema, welche Art von Daten </w:t>
      </w:r>
      <w:r w:rsidRPr="004832F9">
        <w:t>vorliegen</w:t>
      </w:r>
    </w:p>
    <w:p w14:paraId="28C01F41" w14:textId="20DA33E3" w:rsidR="00BC61D4" w:rsidRDefault="00BC61D4" w:rsidP="008D5618">
      <w:r>
        <w:t xml:space="preserve">Liegen personenbezogene Daten vor, welche </w:t>
      </w:r>
      <w:r w:rsidRPr="00AF2176">
        <w:t>pseudonymisiert</w:t>
      </w:r>
      <w:r>
        <w:t xml:space="preserve"> oder anonymisiert werden sollen, müssen als </w:t>
      </w:r>
      <w:r w:rsidR="00AF2176" w:rsidRPr="00AF2176">
        <w:t>E</w:t>
      </w:r>
      <w:r w:rsidRPr="00AF2176">
        <w:t>rstes</w:t>
      </w:r>
      <w:r>
        <w:t xml:space="preserve"> die </w:t>
      </w:r>
      <w:r w:rsidRPr="00BC61D4">
        <w:t>direkten und indirekten</w:t>
      </w:r>
      <w:r w:rsidR="00A0465D">
        <w:t xml:space="preserve"> </w:t>
      </w:r>
      <w:r w:rsidRPr="00BC61D4">
        <w:t>identifizierenden Daten</w:t>
      </w:r>
      <w:r>
        <w:t xml:space="preserve"> bestimmt werden</w:t>
      </w:r>
      <w:r w:rsidR="00A0465D">
        <w:t xml:space="preserve">; </w:t>
      </w:r>
      <w:r w:rsidR="00F07B36">
        <w:t xml:space="preserve">eine </w:t>
      </w:r>
      <w:r w:rsidR="00A0465D">
        <w:t xml:space="preserve">andere Bezeichnung für diese identifizierenden Daten </w:t>
      </w:r>
      <w:r w:rsidR="00404AB5">
        <w:t>ist</w:t>
      </w:r>
      <w:r w:rsidR="00A0465D">
        <w:t xml:space="preserve"> „d</w:t>
      </w:r>
      <w:r w:rsidR="00A0465D" w:rsidRPr="00A0465D">
        <w:t>irekte Identifikatoren</w:t>
      </w:r>
      <w:r w:rsidR="00A0465D">
        <w:t>“ bzw. „Quasi-Identifikatoren“.</w:t>
      </w:r>
    </w:p>
    <w:p w14:paraId="6BE5E7EC" w14:textId="324BC2D8" w:rsidR="002A377A" w:rsidRPr="008D5618" w:rsidRDefault="002A377A" w:rsidP="008D5618">
      <w:r>
        <w:t xml:space="preserve">Dabei ist zu beachten, dass jede Pseudonymisierung </w:t>
      </w:r>
      <w:r w:rsidR="00F07B36">
        <w:t xml:space="preserve">und </w:t>
      </w:r>
      <w:r>
        <w:t xml:space="preserve">erst recht jede </w:t>
      </w:r>
      <w:r w:rsidRPr="002A377A">
        <w:t xml:space="preserve">Anonymisierung von Merkmalsträgern </w:t>
      </w:r>
      <w:r w:rsidR="00E46DC2">
        <w:t xml:space="preserve">auch </w:t>
      </w:r>
      <w:r w:rsidR="00F07B36" w:rsidRPr="002A377A">
        <w:t xml:space="preserve">immer </w:t>
      </w:r>
      <w:r w:rsidR="00F07B36">
        <w:t xml:space="preserve">mit </w:t>
      </w:r>
      <w:r w:rsidRPr="002A377A">
        <w:t>ein</w:t>
      </w:r>
      <w:r w:rsidR="00F07B36">
        <w:t>em</w:t>
      </w:r>
      <w:r w:rsidRPr="002A377A">
        <w:t xml:space="preserve"> Informationsverlust der zugehörigen Daten verbunden</w:t>
      </w:r>
      <w:r w:rsidR="00E46DC2">
        <w:t xml:space="preserve"> ist</w:t>
      </w:r>
      <w:r w:rsidR="00F07B36">
        <w:t>,</w:t>
      </w:r>
      <w:r>
        <w:t xml:space="preserve"> </w:t>
      </w:r>
      <w:r w:rsidR="00E46DC2">
        <w:t>da</w:t>
      </w:r>
      <w:r>
        <w:t xml:space="preserve"> ja Daten des ursprünglichen Datensatzes verändert</w:t>
      </w:r>
      <w:r w:rsidR="00E46DC2">
        <w:t xml:space="preserve"> werden</w:t>
      </w:r>
      <w:r>
        <w:t xml:space="preserve">. </w:t>
      </w:r>
      <w:r w:rsidRPr="002A377A">
        <w:t xml:space="preserve">Um diesen Verlust so gering wie möglich zu halten, </w:t>
      </w:r>
      <w:r>
        <w:t xml:space="preserve">können u. U. </w:t>
      </w:r>
      <w:r w:rsidRPr="002A377A">
        <w:t xml:space="preserve">diejenigen Merkmalsträger schwächer </w:t>
      </w:r>
      <w:r w:rsidRPr="00AF2176">
        <w:t>pseudonymisiert</w:t>
      </w:r>
      <w:r>
        <w:t>/</w:t>
      </w:r>
      <w:r w:rsidRPr="002A377A">
        <w:t>anonymisiert</w:t>
      </w:r>
      <w:r>
        <w:t xml:space="preserve"> werden</w:t>
      </w:r>
      <w:r w:rsidRPr="002A377A">
        <w:t xml:space="preserve">, </w:t>
      </w:r>
      <w:r>
        <w:t xml:space="preserve">welche </w:t>
      </w:r>
      <w:r w:rsidRPr="002A377A">
        <w:t xml:space="preserve">einem geringeren </w:t>
      </w:r>
      <w:r>
        <w:t>Re-Identifikationsrisiko</w:t>
      </w:r>
      <w:r w:rsidRPr="002A377A">
        <w:t xml:space="preserve"> ausgesetzt sind.</w:t>
      </w:r>
      <w:r>
        <w:t xml:space="preserve"> Inwieweit dies möglich ist, ohne den Schutz der Pseudonymisierung</w:t>
      </w:r>
      <w:r w:rsidR="00F07B36">
        <w:t xml:space="preserve"> bzw. </w:t>
      </w:r>
      <w:r>
        <w:t>A</w:t>
      </w:r>
      <w:r w:rsidRPr="002A377A">
        <w:t>nonymisier</w:t>
      </w:r>
      <w:r>
        <w:t xml:space="preserve">ung zu verlieren, hängt </w:t>
      </w:r>
      <w:r w:rsidR="00F07B36">
        <w:t>zum einen</w:t>
      </w:r>
      <w:r>
        <w:t xml:space="preserve"> vom Schutzbedarf der Daten selbst ab, </w:t>
      </w:r>
      <w:r w:rsidR="00F07B36">
        <w:t xml:space="preserve">zum anderen </w:t>
      </w:r>
      <w:r>
        <w:t>aber auch</w:t>
      </w:r>
      <w:r w:rsidR="00F07B36">
        <w:t xml:space="preserve"> davon</w:t>
      </w:r>
      <w:r>
        <w:t xml:space="preserve">, ob </w:t>
      </w:r>
      <w:r w:rsidR="00D102B5">
        <w:t xml:space="preserve">die </w:t>
      </w:r>
      <w:r w:rsidR="00D102B5" w:rsidRPr="00BC61D4">
        <w:t>direkt und indirekt identifizierenden Daten</w:t>
      </w:r>
      <w:r w:rsidR="00D102B5">
        <w:t xml:space="preserve"> </w:t>
      </w:r>
      <w:r>
        <w:t>unterschiedliche Risiken zur Re-Identifikation beinhalten und ob durch eine schwächere Pseudonymisierung/A</w:t>
      </w:r>
      <w:r w:rsidRPr="002A377A">
        <w:t>nonymisier</w:t>
      </w:r>
      <w:r>
        <w:t xml:space="preserve">ung dieser Daten </w:t>
      </w:r>
      <w:r w:rsidR="00F07B36" w:rsidRPr="00F07B36">
        <w:t xml:space="preserve">ggf. </w:t>
      </w:r>
      <w:r>
        <w:t>die stärker geschützten Daten kompromittiert werden und so eine Re-Identifikation erleichtert wird.</w:t>
      </w:r>
    </w:p>
    <w:p w14:paraId="194248CD" w14:textId="54AB31C1" w:rsidR="002A377A" w:rsidRDefault="002A377A">
      <w:pPr>
        <w:pStyle w:val="berschrift2"/>
      </w:pPr>
      <w:bookmarkStart w:id="116" w:name="_Toc154652611"/>
      <w:r>
        <w:t>Vorüberlegungen</w:t>
      </w:r>
      <w:bookmarkEnd w:id="116"/>
    </w:p>
    <w:p w14:paraId="0D5D31C4" w14:textId="550FE6AA" w:rsidR="002559E5" w:rsidRDefault="002559E5" w:rsidP="002559E5">
      <w:pPr>
        <w:pStyle w:val="berschrift3"/>
      </w:pPr>
      <w:bookmarkStart w:id="117" w:name="_Toc154652612"/>
      <w:r>
        <w:t>Festlegung: Pseudonymisierung oder Anonymisierung?</w:t>
      </w:r>
      <w:bookmarkEnd w:id="117"/>
    </w:p>
    <w:p w14:paraId="01A0576A" w14:textId="5D469764" w:rsidR="002559E5" w:rsidRDefault="002559E5" w:rsidP="002A377A">
      <w:r>
        <w:t>Eine Pseudonymisierung soll eine Re-Identifizierung erschweren bzw. im Falle einer Anonymisierung vollständig verhindern. Hierzu werden direkte oder indirekte Merkmale in Datensätzen entfernt oder manipuliert, sodass nach Auffassung des Verantwortlichen eine Re-Identifikation nicht mehr möglich ist.</w:t>
      </w:r>
    </w:p>
    <w:p w14:paraId="34F6479B" w14:textId="195C6906" w:rsidR="002A377A" w:rsidRDefault="002559E5" w:rsidP="002559E5">
      <w:r>
        <w:t xml:space="preserve">Bei einer Pseudonymisierung ist zu beachten, dass alleine </w:t>
      </w:r>
      <w:r w:rsidR="00F07B36">
        <w:t xml:space="preserve">durch </w:t>
      </w:r>
      <w:r>
        <w:t xml:space="preserve">die Vernichtung des Zuordnungsschlüssels/Pseudonyms </w:t>
      </w:r>
      <w:r w:rsidR="00F07B36">
        <w:t>Daten nicht automatisch zu anonymen Daten werden</w:t>
      </w:r>
      <w:r>
        <w:t xml:space="preserve">, da dies alleine keine ausreichende Gewähr für die Nicht-Identifizierbarkeit der Daten </w:t>
      </w:r>
      <w:r w:rsidR="00F07B36">
        <w:t>ist</w:t>
      </w:r>
      <w:r>
        <w:t xml:space="preserve">. Die Artikel-29 Datenschutzgruppe schrieb </w:t>
      </w:r>
      <w:r w:rsidR="00F07B36">
        <w:t>bereits</w:t>
      </w:r>
      <w:r>
        <w:t xml:space="preserve"> 2014, dass </w:t>
      </w:r>
      <w:r w:rsidRPr="002559E5">
        <w:t>zusätzliche Schritte unternommen werden</w:t>
      </w:r>
      <w:r>
        <w:t xml:space="preserve"> sollten</w:t>
      </w:r>
      <w:r w:rsidRPr="002559E5">
        <w:t xml:space="preserve">, bevor ein </w:t>
      </w:r>
      <w:r>
        <w:t xml:space="preserve">pseudonymer </w:t>
      </w:r>
      <w:r w:rsidRPr="002559E5">
        <w:t xml:space="preserve">Datenbestand als anonymisiert betrachtet </w:t>
      </w:r>
      <w:r>
        <w:t>werden kann.</w:t>
      </w:r>
      <w:r>
        <w:rPr>
          <w:rStyle w:val="Funotenzeichen"/>
        </w:rPr>
        <w:footnoteReference w:id="69"/>
      </w:r>
    </w:p>
    <w:p w14:paraId="7A7A8350" w14:textId="1B43B4DF" w:rsidR="002559E5" w:rsidRDefault="00F07B36" w:rsidP="002559E5">
      <w:r>
        <w:t>Es ist daher vorab zu prüfen</w:t>
      </w:r>
      <w:r w:rsidR="002559E5">
        <w:t xml:space="preserve">, ob eine Pseudonymisierung </w:t>
      </w:r>
      <w:r>
        <w:t xml:space="preserve">ausreichend ist </w:t>
      </w:r>
      <w:r w:rsidR="002559E5">
        <w:t xml:space="preserve">oder </w:t>
      </w:r>
      <w:r>
        <w:t xml:space="preserve">eine </w:t>
      </w:r>
      <w:r w:rsidR="002559E5">
        <w:t xml:space="preserve">Anonymisierung erforderlich </w:t>
      </w:r>
      <w:r>
        <w:t xml:space="preserve">(und auch möglich) </w:t>
      </w:r>
      <w:r w:rsidR="002559E5">
        <w:t xml:space="preserve">ist. Eine Anonymisierung setzt die Anforderungen </w:t>
      </w:r>
      <w:r w:rsidR="002559E5" w:rsidRPr="00AF2176">
        <w:t>d</w:t>
      </w:r>
      <w:r w:rsidR="00AF2176" w:rsidRPr="00AF2176">
        <w:t>e</w:t>
      </w:r>
      <w:r w:rsidR="002559E5" w:rsidRPr="00AF2176">
        <w:t>r</w:t>
      </w:r>
      <w:r w:rsidR="002559E5">
        <w:t xml:space="preserve"> DS-GVO weitestgehend außer Kraft (siehe Kapitel </w:t>
      </w:r>
      <w:r w:rsidR="002559E5">
        <w:fldChar w:fldCharType="begin"/>
      </w:r>
      <w:r w:rsidR="002559E5">
        <w:instrText xml:space="preserve"> REF _Ref149974051 \r \h </w:instrText>
      </w:r>
      <w:r w:rsidR="002559E5">
        <w:fldChar w:fldCharType="separate"/>
      </w:r>
      <w:r w:rsidR="00C9149F">
        <w:t>5</w:t>
      </w:r>
      <w:r w:rsidR="002559E5">
        <w:fldChar w:fldCharType="end"/>
      </w:r>
      <w:r w:rsidR="002559E5">
        <w:t xml:space="preserve">), schränkt die Aussagekraft von Auswertungen aber deutlich ein oder verringert die Aussagekraft </w:t>
      </w:r>
      <w:r>
        <w:t xml:space="preserve">ggf. </w:t>
      </w:r>
      <w:r w:rsidR="002559E5">
        <w:t xml:space="preserve">sogar </w:t>
      </w:r>
      <w:r w:rsidR="002559E5" w:rsidRPr="00AF2176">
        <w:t>b</w:t>
      </w:r>
      <w:r w:rsidR="00AF2176" w:rsidRPr="00AF2176">
        <w:t>i</w:t>
      </w:r>
      <w:r w:rsidR="002559E5" w:rsidRPr="00AF2176">
        <w:t>s</w:t>
      </w:r>
      <w:r w:rsidR="002559E5">
        <w:t xml:space="preserve"> zur Bedeutungslosigkeit</w:t>
      </w:r>
      <w:r>
        <w:t>.</w:t>
      </w:r>
      <w:r w:rsidR="002559E5">
        <w:t xml:space="preserve"> </w:t>
      </w:r>
      <w:r>
        <w:t>G</w:t>
      </w:r>
      <w:r w:rsidR="002559E5">
        <w:t xml:space="preserve">erade im medizinischen Kontext seltener Erkrankungen wird dies eher die Regel als die Ausnahme sein. </w:t>
      </w:r>
      <w:r w:rsidR="00E46DC2">
        <w:t>Andere medizinische Daten wie genetische Daten oder Erbkrankheiten können nicht anonymisiert werden, hier kann nur eine Pseudonymisierung erfolgen</w:t>
      </w:r>
      <w:r w:rsidR="002559E5">
        <w:t>.</w:t>
      </w:r>
    </w:p>
    <w:p w14:paraId="70AD9CEE" w14:textId="2B0966BB" w:rsidR="00E434D6" w:rsidRDefault="00E434D6" w:rsidP="00E434D6">
      <w:pPr>
        <w:pStyle w:val="berschrift3"/>
      </w:pPr>
      <w:bookmarkStart w:id="118" w:name="_Ref150346820"/>
      <w:bookmarkStart w:id="119" w:name="_Toc154652613"/>
      <w:r>
        <w:t>Pseudonymisierung durch denselben Verantwortlichen</w:t>
      </w:r>
      <w:bookmarkEnd w:id="118"/>
      <w:bookmarkEnd w:id="119"/>
    </w:p>
    <w:p w14:paraId="24166378" w14:textId="5A92E472" w:rsidR="00E434D6" w:rsidRDefault="00E434D6" w:rsidP="00E434D6">
      <w:pPr>
        <w:spacing w:after="0"/>
      </w:pPr>
      <w:bookmarkStart w:id="120" w:name="_Hlk150346655"/>
      <w:r>
        <w:t xml:space="preserve">Entsprechend ErwGr. 29 DS-GVO sind </w:t>
      </w:r>
      <w:r w:rsidRPr="00101F9A">
        <w:t>Pseudonymisierung</w:t>
      </w:r>
      <w:r>
        <w:t>sm</w:t>
      </w:r>
      <w:r w:rsidRPr="00101F9A">
        <w:t>aßnahmen</w:t>
      </w:r>
      <w:r>
        <w:t xml:space="preserve"> </w:t>
      </w:r>
      <w:r w:rsidRPr="00101F9A">
        <w:t>bei demselben Verantwortlichen möglich</w:t>
      </w:r>
      <w:r w:rsidR="00E46DC2">
        <w:t>. Dieser muss</w:t>
      </w:r>
      <w:r w:rsidRPr="00101F9A">
        <w:t xml:space="preserve"> die erforderlichen technischen und organisatorischen Maßnahmen tr</w:t>
      </w:r>
      <w:r w:rsidR="00E46DC2">
        <w:t>e</w:t>
      </w:r>
      <w:r w:rsidRPr="00101F9A">
        <w:t xml:space="preserve">ffen, um </w:t>
      </w:r>
      <w:r>
        <w:t xml:space="preserve">für die jeweilige Verarbeitung </w:t>
      </w:r>
      <w:r w:rsidRPr="00101F9A">
        <w:t>zu gewährleisten,</w:t>
      </w:r>
      <w:r>
        <w:t xml:space="preserve"> </w:t>
      </w:r>
      <w:r w:rsidRPr="00101F9A">
        <w:t>dass zusätzliche Informationen, mit denen die personenbezogenen Daten einer speziellen betroffenen Person zugeordnet werden können,</w:t>
      </w:r>
      <w:r>
        <w:t xml:space="preserve"> seitens des Verantwortlichen im Rahmen der Verarbeitung nicht zugreifbar sind. </w:t>
      </w:r>
      <w:bookmarkEnd w:id="120"/>
      <w:r w:rsidR="00E46DC2">
        <w:t>A</w:t>
      </w:r>
      <w:r>
        <w:t xml:space="preserve">uch in diesem Fall müssen die in Art. 4 </w:t>
      </w:r>
      <w:r w:rsidRPr="004832F9">
        <w:t>Ziff</w:t>
      </w:r>
      <w:r>
        <w:t>. 5 DS-GVO enthaltenen Vorgaben an eine Pseudonymisierung erfüllt werden. D. h.</w:t>
      </w:r>
      <w:r w:rsidR="00E46DC2">
        <w:t>,</w:t>
      </w:r>
      <w:r>
        <w:t xml:space="preserve"> in Fällen der Pseudonymisierung durch denselben Verantwortlichen muss gewährleistet sein</w:t>
      </w:r>
      <w:r w:rsidR="00E46DC2">
        <w:t>, dass</w:t>
      </w:r>
      <w:r>
        <w:t>:</w:t>
      </w:r>
    </w:p>
    <w:p w14:paraId="09F2AF70" w14:textId="13D6F23E" w:rsidR="00E434D6" w:rsidRDefault="00E46DC2" w:rsidP="00E434D6">
      <w:pPr>
        <w:pStyle w:val="Listenabsatz"/>
        <w:numPr>
          <w:ilvl w:val="3"/>
          <w:numId w:val="2"/>
        </w:numPr>
        <w:ind w:left="851"/>
      </w:pPr>
      <w:r>
        <w:t>O</w:t>
      </w:r>
      <w:r w:rsidR="00E434D6">
        <w:t>rganisatorische Vorgaben</w:t>
      </w:r>
      <w:r w:rsidRPr="00E46DC2">
        <w:t xml:space="preserve"> </w:t>
      </w:r>
      <w:r>
        <w:t>existieren</w:t>
      </w:r>
      <w:r w:rsidR="00E434D6">
        <w:t xml:space="preserve">, in denen </w:t>
      </w:r>
      <w:r w:rsidR="00E434D6" w:rsidRPr="004832F9">
        <w:t>festlegt</w:t>
      </w:r>
      <w:r w:rsidR="00E434D6" w:rsidRPr="00AF2176">
        <w:t xml:space="preserve"> wird</w:t>
      </w:r>
    </w:p>
    <w:p w14:paraId="3E41220C" w14:textId="714B60EC" w:rsidR="00E434D6" w:rsidRDefault="00E434D6" w:rsidP="00E434D6">
      <w:pPr>
        <w:pStyle w:val="Listenabsatz"/>
        <w:numPr>
          <w:ilvl w:val="4"/>
          <w:numId w:val="2"/>
        </w:numPr>
        <w:ind w:left="1560"/>
      </w:pPr>
      <w:r w:rsidRPr="004832F9">
        <w:t>welche</w:t>
      </w:r>
      <w:r>
        <w:t xml:space="preserve"> Organisationseinheit </w:t>
      </w:r>
      <w:r w:rsidR="00F37D05">
        <w:t xml:space="preserve">innerhalb des Verantwortlichen </w:t>
      </w:r>
      <w:r>
        <w:t>die Pseudonymisierung durchführt,</w:t>
      </w:r>
    </w:p>
    <w:p w14:paraId="63C3EF56" w14:textId="77777777" w:rsidR="00E434D6" w:rsidRDefault="00E434D6" w:rsidP="00E434D6">
      <w:pPr>
        <w:pStyle w:val="Listenabsatz"/>
        <w:numPr>
          <w:ilvl w:val="4"/>
          <w:numId w:val="2"/>
        </w:numPr>
        <w:ind w:left="1560"/>
      </w:pPr>
      <w:r w:rsidRPr="004832F9">
        <w:t>welche</w:t>
      </w:r>
      <w:r>
        <w:t xml:space="preserve"> Organisationseinheit den Zuordnungsschlüssel aufbewahrt (und vor Missbrauch schützt),</w:t>
      </w:r>
    </w:p>
    <w:p w14:paraId="6EC1B34C" w14:textId="77777777" w:rsidR="00E434D6" w:rsidRDefault="00E434D6" w:rsidP="00E434D6">
      <w:pPr>
        <w:pStyle w:val="Listenabsatz"/>
        <w:numPr>
          <w:ilvl w:val="4"/>
          <w:numId w:val="2"/>
        </w:numPr>
        <w:ind w:left="1560"/>
      </w:pPr>
      <w:r w:rsidRPr="004832F9">
        <w:t>welche</w:t>
      </w:r>
      <w:r>
        <w:t xml:space="preserve"> Organisationseinheit die </w:t>
      </w:r>
      <w:r w:rsidRPr="004832F9">
        <w:t>pseudonymisierten</w:t>
      </w:r>
      <w:r>
        <w:t xml:space="preserve"> Daten zu welchen Zwecken verarbeitet </w:t>
      </w:r>
      <w:r w:rsidRPr="004832F9">
        <w:t>und</w:t>
      </w:r>
    </w:p>
    <w:p w14:paraId="18084A85" w14:textId="77777777" w:rsidR="00E434D6" w:rsidRDefault="00E434D6" w:rsidP="00E434D6">
      <w:pPr>
        <w:pStyle w:val="Listenabsatz"/>
        <w:numPr>
          <w:ilvl w:val="4"/>
          <w:numId w:val="2"/>
        </w:numPr>
        <w:ind w:left="1560"/>
      </w:pPr>
      <w:r w:rsidRPr="004832F9">
        <w:t>unter</w:t>
      </w:r>
      <w:r>
        <w:t xml:space="preserve"> welchen Voraussetzungen eine Re-Identifizierung von betroffenen Personen möglich sein soll.</w:t>
      </w:r>
    </w:p>
    <w:p w14:paraId="111F96FA" w14:textId="27073283" w:rsidR="00E434D6" w:rsidRDefault="00E434D6" w:rsidP="00E434D6">
      <w:pPr>
        <w:pStyle w:val="Listenabsatz"/>
        <w:numPr>
          <w:ilvl w:val="3"/>
          <w:numId w:val="2"/>
        </w:numPr>
        <w:ind w:left="851"/>
      </w:pPr>
      <w:r>
        <w:t>Die Zuordnungsschlüssel bzw. die Zuordnungsregel m</w:t>
      </w:r>
      <w:r w:rsidR="00E46DC2">
        <w:t>ü</w:t>
      </w:r>
      <w:r>
        <w:t>ss</w:t>
      </w:r>
      <w:r w:rsidR="00E46DC2">
        <w:t>en</w:t>
      </w:r>
      <w:r>
        <w:t xml:space="preserve"> entsprechend Art. 4 </w:t>
      </w:r>
      <w:r w:rsidRPr="004832F9">
        <w:t>Ziff</w:t>
      </w:r>
      <w:r>
        <w:t xml:space="preserve">. 5 </w:t>
      </w:r>
      <w:r w:rsidRPr="004832F9">
        <w:t>Hs.</w:t>
      </w:r>
      <w:r>
        <w:t> 2 DS-GVO gesondert aufbewahrt werden, um eine Nichtzuordnung der Informationen zu einer bestimmten Person zu gewährleisten. Dies beinhaltet, dass d</w:t>
      </w:r>
      <w:r w:rsidRPr="00101F9A">
        <w:t xml:space="preserve">ie </w:t>
      </w:r>
      <w:r>
        <w:t>Organisationseinheit</w:t>
      </w:r>
      <w:r w:rsidRPr="00101F9A">
        <w:t xml:space="preserve">, </w:t>
      </w:r>
      <w:r>
        <w:t>welche</w:t>
      </w:r>
      <w:r w:rsidRPr="00101F9A">
        <w:t xml:space="preserve"> die </w:t>
      </w:r>
      <w:r w:rsidRPr="004832F9">
        <w:t>pseudonymisierten</w:t>
      </w:r>
      <w:r>
        <w:t xml:space="preserve"> Daten verarbeitet, keinen Zugriff auf </w:t>
      </w:r>
      <w:r w:rsidRPr="00AF2176">
        <w:t>die Zuordnungsregel</w:t>
      </w:r>
      <w:r>
        <w:t xml:space="preserve"> bekommt.</w:t>
      </w:r>
    </w:p>
    <w:p w14:paraId="03EFB351" w14:textId="77777777" w:rsidR="00E434D6" w:rsidRDefault="00E434D6" w:rsidP="00E434D6">
      <w:pPr>
        <w:pStyle w:val="Listenabsatz"/>
        <w:numPr>
          <w:ilvl w:val="3"/>
          <w:numId w:val="2"/>
        </w:numPr>
        <w:ind w:left="851"/>
      </w:pPr>
      <w:r>
        <w:t>In entsprechend eingesetzten informationstechnischen Systemen muss dies durch entsprechende R</w:t>
      </w:r>
      <w:r w:rsidRPr="00101F9A">
        <w:t>echte- und Rollenkonzepte</w:t>
      </w:r>
      <w:r>
        <w:t xml:space="preserve"> abgebildet werden.</w:t>
      </w:r>
    </w:p>
    <w:p w14:paraId="1DBECA46" w14:textId="3E81684A" w:rsidR="00E434D6" w:rsidRDefault="00E434D6" w:rsidP="00E434D6">
      <w:pPr>
        <w:pStyle w:val="Listenabsatz"/>
        <w:numPr>
          <w:ilvl w:val="3"/>
          <w:numId w:val="2"/>
        </w:numPr>
        <w:ind w:left="851"/>
      </w:pPr>
      <w:r>
        <w:t xml:space="preserve">Das Verfahren muss entsprechend dokumentiert werden, </w:t>
      </w:r>
      <w:r w:rsidRPr="00AF2176">
        <w:t>sowohl</w:t>
      </w:r>
      <w:r>
        <w:t xml:space="preserve"> um der Nachweispflicht nach Art. 5 Abs. 2 DS-GVO zu genügen, aber auch im Rahmen der Dokumentationspflichten nach Art. 30 DS-GVO („</w:t>
      </w:r>
      <w:r w:rsidRPr="00101F9A">
        <w:t>Verzeichnis von Verarbeitungstätigkeiten</w:t>
      </w:r>
      <w:r>
        <w:t xml:space="preserve">“). ErwGr. 29 DS-GVO fordert ausdrücklich, dass hierbei </w:t>
      </w:r>
      <w:r w:rsidRPr="00101F9A">
        <w:t xml:space="preserve">die </w:t>
      </w:r>
      <w:r>
        <w:t>„</w:t>
      </w:r>
      <w:r w:rsidRPr="00101F9A">
        <w:t>befugten Personen</w:t>
      </w:r>
      <w:r>
        <w:t>“</w:t>
      </w:r>
      <w:r w:rsidRPr="00101F9A">
        <w:t xml:space="preserve"> bei diesem Verantwortlichen ange</w:t>
      </w:r>
      <w:r>
        <w:t>ge</w:t>
      </w:r>
      <w:r w:rsidRPr="00101F9A">
        <w:t>ben</w:t>
      </w:r>
      <w:r>
        <w:t xml:space="preserve"> werden müssen. Dies dient u. a. auch </w:t>
      </w:r>
      <w:r w:rsidR="004F4854">
        <w:t>dem Nachweis</w:t>
      </w:r>
      <w:r>
        <w:t xml:space="preserve">, dass </w:t>
      </w:r>
      <w:r w:rsidRPr="004832F9">
        <w:t xml:space="preserve">die </w:t>
      </w:r>
      <w:r>
        <w:t>pseudonymen Daten verarbeitenden Personen andere sind als die Personen, die Zugriff auf den Zuordnungsschlüssel besitzen.</w:t>
      </w:r>
    </w:p>
    <w:p w14:paraId="38B47E8C" w14:textId="1DC0C76E" w:rsidR="000F0600" w:rsidRDefault="00E434D6" w:rsidP="00E434D6">
      <w:r>
        <w:t>Um diesen Anforderungen zu genügen, wird of</w:t>
      </w:r>
      <w:r w:rsidR="00F07B36">
        <w:t>t</w:t>
      </w:r>
      <w:r>
        <w:t>mals ein sog. „Treuhänder“ (oder auch „</w:t>
      </w:r>
      <w:r w:rsidRPr="007B0423">
        <w:t>Datentreuhänder</w:t>
      </w:r>
      <w:r>
        <w:t>“ genannt sowie als „</w:t>
      </w:r>
      <w:r w:rsidRPr="007B0423">
        <w:t>Trust Center</w:t>
      </w:r>
      <w:r>
        <w:t xml:space="preserve">“ bezeichnet) eingesetzt. </w:t>
      </w:r>
    </w:p>
    <w:p w14:paraId="78E58D2D" w14:textId="17014D47" w:rsidR="000F0600" w:rsidRDefault="000F0600" w:rsidP="00F7250D">
      <w:pPr>
        <w:pStyle w:val="berschrift3"/>
      </w:pPr>
      <w:bookmarkStart w:id="121" w:name="_Ref153263717"/>
      <w:bookmarkStart w:id="122" w:name="_Toc154652614"/>
      <w:r>
        <w:t>Datentreuhänder: Rahmenbedingungen</w:t>
      </w:r>
      <w:bookmarkEnd w:id="121"/>
      <w:bookmarkEnd w:id="122"/>
    </w:p>
    <w:p w14:paraId="4B595FC9" w14:textId="453C788A" w:rsidR="000F0600" w:rsidRDefault="00E434D6" w:rsidP="000F0600">
      <w:r>
        <w:t xml:space="preserve">Ein Datentreuhänder </w:t>
      </w:r>
      <w:r w:rsidR="000F0600">
        <w:t>soll als neutraler Intermediär agieren</w:t>
      </w:r>
      <w:r w:rsidR="00F07B36">
        <w:t>,</w:t>
      </w:r>
      <w:r w:rsidR="000F0600">
        <w:t xml:space="preserve"> welcher die Interessen von Datengebenden (= Patient oder Proband) und Datennutzenden gleichermaßen wahren soll; wobei die Interessen sich z. T. sehr deutlich unterscheiden und nicht immer vo</w:t>
      </w:r>
      <w:r w:rsidR="00F07B36">
        <w:t>m</w:t>
      </w:r>
      <w:r w:rsidR="000F0600">
        <w:t xml:space="preserve"> Datentreuhänder in Einklang gebracht werden können. Die Datengeber haben i. d. R. kein kommerzielles Interesse (ggf. aber ein Interesse an der Weiterentwicklung medizinische</w:t>
      </w:r>
      <w:r w:rsidR="00F37D05">
        <w:t>r</w:t>
      </w:r>
      <w:r w:rsidR="000F0600">
        <w:t xml:space="preserve"> Behandlungsmethoden), wohl </w:t>
      </w:r>
      <w:r w:rsidR="00F07B36">
        <w:t xml:space="preserve">aber </w:t>
      </w:r>
      <w:r w:rsidR="000F0600">
        <w:t xml:space="preserve">ein Interesse am </w:t>
      </w:r>
      <w:r w:rsidR="000F0600" w:rsidRPr="000F0600">
        <w:t>Datenschutz</w:t>
      </w:r>
      <w:r w:rsidR="000F0600">
        <w:t xml:space="preserve">. Insbesondere in der medizinischen Forschung </w:t>
      </w:r>
      <w:r w:rsidR="00F07B36">
        <w:t xml:space="preserve">(z. B. </w:t>
      </w:r>
      <w:r w:rsidR="000F0600">
        <w:t>in einem Klinikum</w:t>
      </w:r>
      <w:r w:rsidR="00F07B36">
        <w:t>)</w:t>
      </w:r>
      <w:r w:rsidR="000F0600">
        <w:t xml:space="preserve">, wenn Daten </w:t>
      </w:r>
      <w:r w:rsidR="00F07B36">
        <w:t>aus der Behandlung von</w:t>
      </w:r>
      <w:r w:rsidR="000F0600">
        <w:t xml:space="preserve"> Patienten ohne Einwilligung der jeweiligen Patienten für Forschungszwecke verarbeitet werden, ist </w:t>
      </w:r>
      <w:r w:rsidR="00F07B36">
        <w:t xml:space="preserve">von </w:t>
      </w:r>
      <w:r w:rsidR="000F0600">
        <w:t>ein</w:t>
      </w:r>
      <w:r w:rsidR="00F07B36">
        <w:t>em</w:t>
      </w:r>
      <w:r w:rsidR="000F0600">
        <w:t xml:space="preserve"> starke</w:t>
      </w:r>
      <w:r w:rsidR="00F07B36">
        <w:t>n</w:t>
      </w:r>
      <w:r w:rsidR="000F0600">
        <w:t xml:space="preserve"> Interesse der Patienten an der Wahrung ihrer Privatgeheimnisse </w:t>
      </w:r>
      <w:r w:rsidR="00F07B36">
        <w:t>auszugehen</w:t>
      </w:r>
      <w:r w:rsidR="00F37D05">
        <w:t>.</w:t>
      </w:r>
      <w:r w:rsidR="000F0600">
        <w:t xml:space="preserve"> </w:t>
      </w:r>
      <w:r w:rsidR="00F37D05">
        <w:t>E</w:t>
      </w:r>
      <w:r w:rsidR="000F0600">
        <w:t xml:space="preserve">in Datentreuhänder, z. B. in </w:t>
      </w:r>
      <w:r w:rsidR="00F07B36">
        <w:t>der Person</w:t>
      </w:r>
      <w:r w:rsidR="000F0600">
        <w:t xml:space="preserve"> des Datenschutzbeauftragten, muss diese Interessen wahrnehmen und sehr genau prüfen, ob die Daten für die vorgesehenen Zwecke verarbeitet werden dürfen, ob Betroffenenrechte </w:t>
      </w:r>
      <w:r w:rsidR="00F07B36">
        <w:t>gewahrt</w:t>
      </w:r>
      <w:r w:rsidR="000F0600">
        <w:t xml:space="preserve"> werden usw.</w:t>
      </w:r>
    </w:p>
    <w:p w14:paraId="29E5044C" w14:textId="15F0A0E6" w:rsidR="000F0600" w:rsidRDefault="000F0600" w:rsidP="000F0600">
      <w:pPr>
        <w:spacing w:after="0"/>
      </w:pPr>
      <w:r>
        <w:t>In der „</w:t>
      </w:r>
      <w:r w:rsidRPr="000F0600">
        <w:t>Datenstrategie der Bundesregierung</w:t>
      </w:r>
      <w:r>
        <w:t>“</w:t>
      </w:r>
      <w:r>
        <w:rPr>
          <w:rStyle w:val="Funotenzeichen"/>
        </w:rPr>
        <w:footnoteReference w:id="70"/>
      </w:r>
      <w:r>
        <w:t xml:space="preserve"> definierte die Bundesregierung einen </w:t>
      </w:r>
      <w:r w:rsidRPr="000F0600">
        <w:t>Datentreuhänder</w:t>
      </w:r>
      <w:r>
        <w:t xml:space="preserve"> wie folgt:</w:t>
      </w:r>
    </w:p>
    <w:p w14:paraId="47CA10FD" w14:textId="6E2DFD1D" w:rsidR="000F0600" w:rsidRDefault="000F0600" w:rsidP="000F0600">
      <w:pPr>
        <w:spacing w:after="0"/>
        <w:ind w:left="709"/>
      </w:pPr>
      <w:r>
        <w:t>„Eine Datentreuhandstelle kann mit der Aufgabe betraut sein, einen standardisierten Zugang zu Daten für zugelassene Stellen zu entwickeln und umzusetzen. Zudem besitzen Datentreuhänder eine Beratungsfunktion gegenüber ihren Nutzerinnen und Nutzern und bieten je nach Spezialisierung verschiedene Dienste, wie beispielsweise die Verwaltung von Daten im Sinne der Nutzerinnen und Nutzer. Datentreuhänder können aber auch datenschutzrechtliche Interessen und Gestaltungsrechte für eine Vielzahl von Verbraucherinnen und Verbrauchern geltend machen.“</w:t>
      </w:r>
    </w:p>
    <w:p w14:paraId="7B857369" w14:textId="132FAEE7" w:rsidR="000F0600" w:rsidRDefault="000F0600" w:rsidP="00E434D6">
      <w:r>
        <w:t xml:space="preserve">Datentreuhänder werden mitunter dafür eingesetzt, im Auftrag betroffener Personen zu entscheiden, wer Daten zu welchen Zwecken unter welchen </w:t>
      </w:r>
      <w:r w:rsidR="00E46DC2">
        <w:t>B</w:t>
      </w:r>
      <w:r>
        <w:t xml:space="preserve">edingungen erhalten </w:t>
      </w:r>
      <w:r w:rsidRPr="004832F9">
        <w:t>darf</w:t>
      </w:r>
      <w:r w:rsidR="004832F9" w:rsidRPr="004832F9">
        <w:t>,</w:t>
      </w:r>
      <w:r>
        <w:t xml:space="preserve"> und werden dabei z. T. in ähnlicher Weise aktiv, wie d</w:t>
      </w:r>
      <w:r w:rsidR="00E46DC2">
        <w:t>ie</w:t>
      </w:r>
      <w:r>
        <w:t xml:space="preserve"> in § 26 TTDSG angeführte „a</w:t>
      </w:r>
      <w:r w:rsidRPr="000F0600">
        <w:t>nerkannte</w:t>
      </w:r>
      <w:r w:rsidR="00E46DC2">
        <w:t>n</w:t>
      </w:r>
      <w:r w:rsidRPr="000F0600">
        <w:t xml:space="preserve"> Dienste zur Einwilligungsverwaltung</w:t>
      </w:r>
      <w:r>
        <w:t xml:space="preserve">“ oder der in Art. 2 </w:t>
      </w:r>
      <w:r w:rsidRPr="004832F9">
        <w:t>Ziff</w:t>
      </w:r>
      <w:r>
        <w:t xml:space="preserve">. 11 </w:t>
      </w:r>
      <w:r w:rsidRPr="000F0600">
        <w:t>Verordnung (EU) 2022/868</w:t>
      </w:r>
      <w:r>
        <w:t xml:space="preserve"> benannte „</w:t>
      </w:r>
      <w:r w:rsidRPr="000F0600">
        <w:t>Datenvermittlungsdienst</w:t>
      </w:r>
      <w:r>
        <w:t>“.</w:t>
      </w:r>
    </w:p>
    <w:p w14:paraId="41BF1A73" w14:textId="1236F5BF" w:rsidR="000F0600" w:rsidRDefault="000F0600" w:rsidP="000F0600">
      <w:r>
        <w:t>Grundsätzlich kann jede Person – natürlich</w:t>
      </w:r>
      <w:r w:rsidR="00F07B36">
        <w:t>e</w:t>
      </w:r>
      <w:r>
        <w:t>, juristisch</w:t>
      </w:r>
      <w:r w:rsidR="00F07B36">
        <w:t>e</w:t>
      </w:r>
      <w:r>
        <w:t>, privat</w:t>
      </w:r>
      <w:r w:rsidR="00F07B36">
        <w:t>e</w:t>
      </w:r>
      <w:r>
        <w:t xml:space="preserve"> oder öffentlich-rechtlich</w:t>
      </w:r>
      <w:r w:rsidR="00F07B36">
        <w:t>e</w:t>
      </w:r>
      <w:r>
        <w:t xml:space="preserve"> – die Rolle eines Datentreuhänders einnehmen, was sowohl entgeltlich oder unentgeltlich erfolgen kann. </w:t>
      </w:r>
      <w:r w:rsidR="007F605E">
        <w:t xml:space="preserve">D. h., ein Datentreuhänder </w:t>
      </w:r>
      <w:r w:rsidR="007F605E" w:rsidRPr="000F0600">
        <w:t>führt entweder einen Auftrag (unentgeltlich) oder eine</w:t>
      </w:r>
      <w:r w:rsidR="007F605E">
        <w:t xml:space="preserve"> </w:t>
      </w:r>
      <w:r w:rsidR="007F605E" w:rsidRPr="000F0600">
        <w:t xml:space="preserve">Geschäftsbesorgung (entgeltlich) </w:t>
      </w:r>
      <w:r w:rsidR="007F605E">
        <w:t xml:space="preserve">entsprechend </w:t>
      </w:r>
      <w:r w:rsidR="007F605E" w:rsidRPr="000F0600">
        <w:t>§§</w:t>
      </w:r>
      <w:r w:rsidR="007F605E">
        <w:t> </w:t>
      </w:r>
      <w:r w:rsidR="007F605E" w:rsidRPr="000F0600">
        <w:t>662</w:t>
      </w:r>
      <w:r w:rsidR="007F605E">
        <w:t> </w:t>
      </w:r>
      <w:r w:rsidR="007F605E" w:rsidRPr="000F0600">
        <w:t>ff</w:t>
      </w:r>
      <w:r w:rsidR="007F605E">
        <w:t xml:space="preserve"> BGB </w:t>
      </w:r>
      <w:r w:rsidR="007F605E" w:rsidRPr="000F0600">
        <w:t>aus</w:t>
      </w:r>
      <w:r w:rsidR="007F605E" w:rsidRPr="004832F9">
        <w:t xml:space="preserve">. </w:t>
      </w:r>
      <w:r w:rsidR="005B1D56">
        <w:t>Grundsätzlich kann man zwischen internem und externem Datentreuhänder unterscheiden.</w:t>
      </w:r>
    </w:p>
    <w:p w14:paraId="466AD82D" w14:textId="3C0A7A7C" w:rsidR="00E434D6" w:rsidRDefault="000F0600" w:rsidP="00E434D6">
      <w:r>
        <w:t xml:space="preserve">Im Kontext der Pseudonymisierung/Anonymisierung werden in dieser Praxishilfe die </w:t>
      </w:r>
      <w:r w:rsidR="00E46DC2">
        <w:t>M</w:t>
      </w:r>
      <w:r>
        <w:t xml:space="preserve">anagementfunktionen eines Datentreuhänders betrachtet, nach welcher ein Datentreuhänder bei Bedarf auch </w:t>
      </w:r>
      <w:r w:rsidR="00E434D6">
        <w:t xml:space="preserve">die </w:t>
      </w:r>
      <w:r w:rsidR="00E434D6" w:rsidRPr="004832F9">
        <w:t>De-Identifikation</w:t>
      </w:r>
      <w:r w:rsidR="00E434D6">
        <w:t xml:space="preserve"> durch</w:t>
      </w:r>
      <w:r>
        <w:t>führen</w:t>
      </w:r>
      <w:r w:rsidR="00E434D6">
        <w:t xml:space="preserve"> und </w:t>
      </w:r>
      <w:r>
        <w:t>insbesondere</w:t>
      </w:r>
      <w:r w:rsidR="00E46DC2">
        <w:t xml:space="preserve"> </w:t>
      </w:r>
      <w:r w:rsidR="00E434D6">
        <w:t>die Zuordnungsregeln</w:t>
      </w:r>
      <w:r>
        <w:t xml:space="preserve"> verwalten kann</w:t>
      </w:r>
      <w:r w:rsidR="00E434D6">
        <w:t>.</w:t>
      </w:r>
      <w:r>
        <w:t xml:space="preserve"> </w:t>
      </w:r>
      <w:r w:rsidR="00E434D6">
        <w:t>Dabei agiert der Datentreuhänder in dieser Beziehung weisungsfrei, d. h. Verantwortliche erhalten keinen ungewollten Zugriff auf geschützte Daten, nur dem Datentreuhänder ist eine Re-Identifikation möglich.</w:t>
      </w:r>
    </w:p>
    <w:p w14:paraId="7E9A470C" w14:textId="494D6E20" w:rsidR="006E3304" w:rsidRDefault="006E3304" w:rsidP="006E3304">
      <w:pPr>
        <w:pStyle w:val="berschrift3"/>
      </w:pPr>
      <w:bookmarkStart w:id="123" w:name="_Toc154652615"/>
      <w:r>
        <w:t>Anonymisierung durch denselben Verantwortlichen</w:t>
      </w:r>
      <w:bookmarkEnd w:id="123"/>
    </w:p>
    <w:p w14:paraId="5CF02BFA" w14:textId="7AC7124B" w:rsidR="006E3304" w:rsidRDefault="006E3304" w:rsidP="006E3304">
      <w:r>
        <w:t xml:space="preserve">Eine Anonymisierung </w:t>
      </w:r>
      <w:r w:rsidRPr="00101F9A">
        <w:t xml:space="preserve">bei demselben Verantwortlichen </w:t>
      </w:r>
      <w:r>
        <w:t xml:space="preserve">ist </w:t>
      </w:r>
      <w:r w:rsidR="00F07B36">
        <w:t>grundsätzlich</w:t>
      </w:r>
      <w:r>
        <w:t xml:space="preserve"> </w:t>
      </w:r>
      <w:r w:rsidRPr="00101F9A">
        <w:t>möglich,</w:t>
      </w:r>
      <w:r>
        <w:t xml:space="preserve"> wenn </w:t>
      </w:r>
      <w:r w:rsidR="00F07B36">
        <w:t xml:space="preserve">gleichzeitig </w:t>
      </w:r>
      <w:r>
        <w:t xml:space="preserve">die </w:t>
      </w:r>
      <w:r w:rsidR="00E46DC2">
        <w:t>Originaldateien</w:t>
      </w:r>
      <w:r w:rsidR="00D1441A">
        <w:rPr>
          <w:rStyle w:val="Funotenzeichen"/>
        </w:rPr>
        <w:footnoteReference w:id="71"/>
      </w:r>
      <w:r w:rsidR="00E46DC2">
        <w:t xml:space="preserve"> gelöscht werden</w:t>
      </w:r>
      <w:r>
        <w:t xml:space="preserve">. Solange ein </w:t>
      </w:r>
      <w:r w:rsidR="00F07B36">
        <w:t>b</w:t>
      </w:r>
      <w:r w:rsidRPr="006E3304">
        <w:t>inär</w:t>
      </w:r>
      <w:r w:rsidR="00F07B36">
        <w:t>er Ver</w:t>
      </w:r>
      <w:r w:rsidRPr="006E3304">
        <w:t>gleich</w:t>
      </w:r>
      <w:r>
        <w:t xml:space="preserve"> zwischen </w:t>
      </w:r>
      <w:r w:rsidR="00F07B36">
        <w:t xml:space="preserve">den </w:t>
      </w:r>
      <w:r w:rsidRPr="006E3304">
        <w:t>Originaldaten</w:t>
      </w:r>
      <w:r>
        <w:t xml:space="preserve"> und </w:t>
      </w:r>
      <w:r w:rsidR="00F07B36">
        <w:t xml:space="preserve">den </w:t>
      </w:r>
      <w:r>
        <w:t xml:space="preserve">veränderten Daten ein </w:t>
      </w:r>
      <w:r w:rsidRPr="006E3304">
        <w:t>identifizierendes</w:t>
      </w:r>
      <w:r>
        <w:t xml:space="preserve"> Ergebnis liefern </w:t>
      </w:r>
      <w:r w:rsidR="00F07B36">
        <w:t xml:space="preserve">kann </w:t>
      </w:r>
      <w:r>
        <w:t>und somit eine Identifizierung von Personen grundsätzlich möglich ist, können die Daten nicht als „anonym“ angesehen werden.</w:t>
      </w:r>
    </w:p>
    <w:p w14:paraId="4F177C4A" w14:textId="27CFB2F1" w:rsidR="006E3304" w:rsidRDefault="00F07B36" w:rsidP="006E3304">
      <w:r>
        <w:t xml:space="preserve">Etwas anderes kann gelten, wenn </w:t>
      </w:r>
      <w:r w:rsidR="006E3304">
        <w:t xml:space="preserve">die Originaldaten </w:t>
      </w:r>
      <w:r>
        <w:t xml:space="preserve">zur Erstellung von synthetischen Daten </w:t>
      </w:r>
      <w:r w:rsidR="006E3304">
        <w:t>genutzt</w:t>
      </w:r>
      <w:r w:rsidRPr="00F07B36">
        <w:t xml:space="preserve"> </w:t>
      </w:r>
      <w:r>
        <w:t>werden</w:t>
      </w:r>
      <w:r w:rsidR="006E3304">
        <w:t xml:space="preserve">. Wenn auch mit Hilfe der Originaldaten eine Person nicht mehr als </w:t>
      </w:r>
      <w:r w:rsidR="006E3304" w:rsidRPr="006E3304">
        <w:t>identifizierbar</w:t>
      </w:r>
      <w:r w:rsidR="006E3304">
        <w:t xml:space="preserve"> anzusehen ist, gelten die Daten </w:t>
      </w:r>
      <w:r>
        <w:t>gemäß</w:t>
      </w:r>
      <w:r w:rsidR="006E3304">
        <w:t xml:space="preserve"> </w:t>
      </w:r>
      <w:r w:rsidR="00723031">
        <w:t xml:space="preserve">Art. 2 </w:t>
      </w:r>
      <w:r w:rsidR="00723031" w:rsidRPr="004832F9">
        <w:t>Ziff</w:t>
      </w:r>
      <w:r w:rsidR="00723031">
        <w:t>. 7 der Richtlinie (EU) 2019/1024</w:t>
      </w:r>
      <w:r w:rsidR="006E3304">
        <w:t xml:space="preserve"> als anonym.</w:t>
      </w:r>
    </w:p>
    <w:p w14:paraId="6306AC87" w14:textId="3B30DF38" w:rsidR="002559E5" w:rsidRDefault="002559E5" w:rsidP="002559E5">
      <w:pPr>
        <w:pStyle w:val="berschrift3"/>
      </w:pPr>
      <w:bookmarkStart w:id="124" w:name="_Toc154652616"/>
      <w:r>
        <w:t>Zu beachtende Einflussfaktoren</w:t>
      </w:r>
      <w:bookmarkEnd w:id="124"/>
    </w:p>
    <w:p w14:paraId="31E85193" w14:textId="3F14A4C1" w:rsidR="002559E5" w:rsidRDefault="002559E5" w:rsidP="002559E5">
      <w:pPr>
        <w:pStyle w:val="berschrift4"/>
      </w:pPr>
      <w:bookmarkStart w:id="125" w:name="_Toc154652617"/>
      <w:r>
        <w:t>Rechtliche Vorgaben</w:t>
      </w:r>
      <w:bookmarkEnd w:id="125"/>
    </w:p>
    <w:p w14:paraId="3076CF7C" w14:textId="3E2FEADB" w:rsidR="002559E5" w:rsidRDefault="002559E5" w:rsidP="002559E5">
      <w:pPr>
        <w:spacing w:after="0"/>
      </w:pPr>
      <w:r>
        <w:t xml:space="preserve">Teilweise existieren Vorgaben, wie zu </w:t>
      </w:r>
      <w:r w:rsidR="00F07B36">
        <w:t>v</w:t>
      </w:r>
      <w:r>
        <w:t>erfahren ist. Beispielsweise schreibt § 27 Abs. 3 BDSG vor (Hervorhebung durch Autoren):</w:t>
      </w:r>
    </w:p>
    <w:p w14:paraId="7C8F634A" w14:textId="1FC3C9BB" w:rsidR="002559E5" w:rsidRDefault="002559E5" w:rsidP="002559E5">
      <w:pPr>
        <w:spacing w:after="0"/>
        <w:ind w:left="578"/>
      </w:pPr>
      <w:r>
        <w:t>„</w:t>
      </w:r>
      <w:r w:rsidRPr="002559E5">
        <w:t xml:space="preserve">Ergänzend zu den in § 22 Absatz 2 genannten Maßnahmen sind zu wissenschaftlichen oder historischen Forschungszwecken oder zu statistischen Zwecken verarbeitete besondere Kategorien </w:t>
      </w:r>
      <w:r w:rsidRPr="002559E5">
        <w:rPr>
          <w:b/>
          <w:bCs/>
        </w:rPr>
        <w:t>personenbezogener Daten</w:t>
      </w:r>
      <w:r w:rsidRPr="002559E5">
        <w:t xml:space="preserve"> im Sinne des Artikels 9 Absatz 1 der Verordnung (EU) 2016/679 </w:t>
      </w:r>
      <w:r w:rsidRPr="002559E5">
        <w:rPr>
          <w:b/>
          <w:bCs/>
        </w:rPr>
        <w:t>zu anonymisieren</w:t>
      </w:r>
      <w:r w:rsidRPr="002559E5">
        <w:t xml:space="preserve">, sobald dies nach dem Forschungs- oder Statistikzweck möglich ist, </w:t>
      </w:r>
      <w:r w:rsidRPr="002559E5">
        <w:rPr>
          <w:b/>
          <w:bCs/>
        </w:rPr>
        <w:t>es sei denn</w:t>
      </w:r>
      <w:r w:rsidRPr="002559E5">
        <w:t xml:space="preserve">, </w:t>
      </w:r>
      <w:r w:rsidRPr="002559E5">
        <w:rPr>
          <w:b/>
          <w:bCs/>
        </w:rPr>
        <w:t>berechtigte Interessen der betroffenen Person stehen dem entgegen</w:t>
      </w:r>
      <w:r w:rsidRPr="002559E5">
        <w:t>. Bis dahin sind die Merkmale gesondert zu speichern, mit denen Einzelangaben über persönliche oder sachliche Verhältnisse einer bestimmten oder bestimmbaren Person zugeordnet werden können. Sie dürfen mit den Einzelangaben nur zusammengeführt werden, soweit der Forschungs- oder Statistikzweck dies erfordert.</w:t>
      </w:r>
      <w:r>
        <w:t>“</w:t>
      </w:r>
    </w:p>
    <w:p w14:paraId="73170E99" w14:textId="3BB6B625" w:rsidR="002559E5" w:rsidRDefault="002559E5" w:rsidP="002559E5">
      <w:pPr>
        <w:spacing w:after="0"/>
      </w:pPr>
      <w:r>
        <w:t xml:space="preserve">§ 27 Abs. 3 BDSG schreibt für </w:t>
      </w:r>
      <w:r w:rsidRPr="002559E5">
        <w:t xml:space="preserve">wissenschaftliche oder </w:t>
      </w:r>
      <w:r w:rsidRPr="00AF2176">
        <w:t>historische Forschungszwecke</w:t>
      </w:r>
      <w:r>
        <w:t xml:space="preserve"> eine Anonymisierung zwingend vor, </w:t>
      </w:r>
      <w:r w:rsidRPr="004832F9">
        <w:t>außer wenn</w:t>
      </w:r>
    </w:p>
    <w:p w14:paraId="7B4DF2CD" w14:textId="5B744610" w:rsidR="002559E5" w:rsidRDefault="002559E5">
      <w:pPr>
        <w:pStyle w:val="Listenabsatz"/>
        <w:numPr>
          <w:ilvl w:val="0"/>
          <w:numId w:val="37"/>
        </w:numPr>
      </w:pPr>
      <w:r w:rsidRPr="004832F9">
        <w:t>der</w:t>
      </w:r>
      <w:r>
        <w:t xml:space="preserve"> </w:t>
      </w:r>
      <w:r w:rsidRPr="002559E5">
        <w:t xml:space="preserve">Forschungs- oder Statistikzweck </w:t>
      </w:r>
      <w:r>
        <w:t xml:space="preserve">mit anonymen Daten nicht erreicht werden </w:t>
      </w:r>
      <w:r w:rsidRPr="00AF2176">
        <w:t>kann</w:t>
      </w:r>
      <w:r>
        <w:t xml:space="preserve"> </w:t>
      </w:r>
      <w:r w:rsidRPr="004832F9">
        <w:t>oder</w:t>
      </w:r>
    </w:p>
    <w:p w14:paraId="3A7A3577" w14:textId="089D62CC" w:rsidR="002559E5" w:rsidRDefault="002559E5">
      <w:pPr>
        <w:pStyle w:val="Listenabsatz"/>
        <w:numPr>
          <w:ilvl w:val="0"/>
          <w:numId w:val="37"/>
        </w:numPr>
        <w:spacing w:after="0"/>
        <w:ind w:left="714" w:hanging="357"/>
      </w:pPr>
      <w:r w:rsidRPr="004832F9">
        <w:t>berechtigte</w:t>
      </w:r>
      <w:r w:rsidRPr="002559E5">
        <w:t xml:space="preserve"> Interessen der betroffenen Person </w:t>
      </w:r>
      <w:r>
        <w:t xml:space="preserve">einer Anonymisierung </w:t>
      </w:r>
      <w:r w:rsidRPr="002559E5">
        <w:t>entgegen</w:t>
      </w:r>
      <w:r>
        <w:t>stehen.</w:t>
      </w:r>
    </w:p>
    <w:p w14:paraId="06B88585" w14:textId="75091D05" w:rsidR="002559E5" w:rsidRDefault="002559E5" w:rsidP="002559E5">
      <w:r>
        <w:t xml:space="preserve">Verzichtet man auf eine Anonymisierung, so kann dies nur basierend auf einem der beiden </w:t>
      </w:r>
      <w:r w:rsidR="00AF2176" w:rsidRPr="00AF2176">
        <w:t>G</w:t>
      </w:r>
      <w:r w:rsidRPr="00AF2176">
        <w:t>ründe</w:t>
      </w:r>
      <w:r>
        <w:t xml:space="preserve"> </w:t>
      </w:r>
      <w:r w:rsidR="00497C33">
        <w:t>erfolgen</w:t>
      </w:r>
      <w:r>
        <w:t xml:space="preserve"> und aufgrund der Nachweispflichten müssen die Gründe dargelegt und so dokumentiert werden, dass die Begründung alleine durch die Dokumentation auch von Dritten nachvollzogen werden kann.</w:t>
      </w:r>
    </w:p>
    <w:p w14:paraId="1AD0D136" w14:textId="5A0F0274" w:rsidR="006D5146" w:rsidRDefault="00F37D05" w:rsidP="002559E5">
      <w:r>
        <w:t>I</w:t>
      </w:r>
      <w:r w:rsidR="006D5146">
        <w:t xml:space="preserve">n § 40b Abs. 6 </w:t>
      </w:r>
      <w:r w:rsidR="006D5146" w:rsidRPr="004832F9">
        <w:t>Ziff</w:t>
      </w:r>
      <w:r w:rsidR="006D5146">
        <w:t xml:space="preserve">. 1 lit. b-e </w:t>
      </w:r>
      <w:r w:rsidR="006D5146" w:rsidRPr="006D5146">
        <w:t>AMG</w:t>
      </w:r>
      <w:r w:rsidR="006D5146">
        <w:t xml:space="preserve"> findet sich die Pflicht zur Pseudonymisierung, wenn Daten einer klinischen Prüfung an den Sponsor</w:t>
      </w:r>
      <w:r w:rsidR="00E52C2F">
        <w:rPr>
          <w:rStyle w:val="Funotenzeichen"/>
        </w:rPr>
        <w:footnoteReference w:id="72"/>
      </w:r>
      <w:r w:rsidR="006D5146">
        <w:t xml:space="preserve">, an die Behörde oder an </w:t>
      </w:r>
      <w:r w:rsidR="006D5146" w:rsidRPr="006D5146">
        <w:t>die EU-Datenbank</w:t>
      </w:r>
      <w:r w:rsidR="006D5146">
        <w:rPr>
          <w:rStyle w:val="Funotenzeichen"/>
        </w:rPr>
        <w:footnoteReference w:id="73"/>
      </w:r>
      <w:r w:rsidR="006D5146">
        <w:t xml:space="preserve"> weitergegeben werden. </w:t>
      </w:r>
      <w:r>
        <w:t>E</w:t>
      </w:r>
      <w:r w:rsidR="006D5146">
        <w:t>ntsprechend §</w:t>
      </w:r>
      <w:r>
        <w:t> </w:t>
      </w:r>
      <w:r w:rsidR="006D5146">
        <w:t xml:space="preserve">42a </w:t>
      </w:r>
      <w:r w:rsidR="006D5146" w:rsidRPr="006D5146">
        <w:t>AMG</w:t>
      </w:r>
      <w:r w:rsidR="006D5146">
        <w:t xml:space="preserve"> </w:t>
      </w:r>
      <w:r>
        <w:t xml:space="preserve">müssen Daten </w:t>
      </w:r>
      <w:r w:rsidR="006D5146" w:rsidRPr="006D5146">
        <w:t>pseudonymisiert</w:t>
      </w:r>
      <w:r w:rsidR="006D5146">
        <w:t xml:space="preserve"> werden, bevor eine Ethik-Kommission Daten erhalten darf.</w:t>
      </w:r>
    </w:p>
    <w:p w14:paraId="271D4CCD" w14:textId="088D87F4" w:rsidR="006D5146" w:rsidRDefault="006D5146" w:rsidP="002559E5">
      <w:r>
        <w:t>Gleiches gi</w:t>
      </w:r>
      <w:r w:rsidR="004F4854">
        <w:t>l</w:t>
      </w:r>
      <w:r>
        <w:t xml:space="preserve">t </w:t>
      </w:r>
      <w:r w:rsidR="00497C33">
        <w:t>für</w:t>
      </w:r>
      <w:r>
        <w:t xml:space="preserve"> Studien zu Medizinprodukten. </w:t>
      </w:r>
      <w:r w:rsidR="00F37D05">
        <w:t>Gemäß</w:t>
      </w:r>
      <w:r>
        <w:t xml:space="preserve"> § 29 </w:t>
      </w:r>
      <w:r w:rsidRPr="004832F9">
        <w:t>Ziff</w:t>
      </w:r>
      <w:r>
        <w:t xml:space="preserve">. 1 lit. b-e </w:t>
      </w:r>
      <w:r w:rsidRPr="006D5146">
        <w:t>MPDG</w:t>
      </w:r>
      <w:r>
        <w:t xml:space="preserve"> </w:t>
      </w:r>
      <w:r w:rsidRPr="006D5146">
        <w:t>müssen</w:t>
      </w:r>
      <w:r>
        <w:t xml:space="preserve"> </w:t>
      </w:r>
      <w:r w:rsidR="00497C33">
        <w:t xml:space="preserve">die </w:t>
      </w:r>
      <w:r w:rsidRPr="006D5146">
        <w:t>Daten</w:t>
      </w:r>
      <w:r>
        <w:t xml:space="preserve"> </w:t>
      </w:r>
      <w:r w:rsidRPr="006D5146">
        <w:t>pseudonymisiert</w:t>
      </w:r>
      <w:r>
        <w:t xml:space="preserve"> werden, bevor </w:t>
      </w:r>
      <w:r w:rsidR="00497C33">
        <w:t>die Daten</w:t>
      </w:r>
      <w:r>
        <w:t xml:space="preserve"> </w:t>
      </w:r>
      <w:r w:rsidR="00497C33">
        <w:t xml:space="preserve">an </w:t>
      </w:r>
      <w:r>
        <w:t>eine</w:t>
      </w:r>
      <w:r w:rsidR="00497C33">
        <w:t>n</w:t>
      </w:r>
      <w:r>
        <w:t xml:space="preserve"> Sponsor </w:t>
      </w:r>
      <w:r w:rsidR="00497C33">
        <w:t>gegeben</w:t>
      </w:r>
      <w:r>
        <w:t xml:space="preserve">, Daten an den Hersteller zur </w:t>
      </w:r>
      <w:r w:rsidRPr="006D5146">
        <w:t>Konformitätsbewertung</w:t>
      </w:r>
      <w:r>
        <w:t xml:space="preserve"> übermittelt oder Daten im Falle von Vorkommnissen an Behörden übermittelt werden. Das BfArM darf Patientendaten entsprechend § 86 Abs. 2-4</w:t>
      </w:r>
      <w:r w:rsidR="00D97F03">
        <w:t xml:space="preserve"> </w:t>
      </w:r>
      <w:r w:rsidRPr="006D5146">
        <w:t>MPDG</w:t>
      </w:r>
      <w:r>
        <w:t xml:space="preserve"> nur anonymisiert erhalten; </w:t>
      </w:r>
      <w:r w:rsidRPr="006D5146">
        <w:t>pseudonymisiert</w:t>
      </w:r>
      <w:r>
        <w:t xml:space="preserve"> ausschließlich nur dann, wenn eine Anonymisierung </w:t>
      </w:r>
      <w:r w:rsidRPr="006D5146">
        <w:t>nicht</w:t>
      </w:r>
      <w:r>
        <w:t xml:space="preserve"> möglich ist.</w:t>
      </w:r>
    </w:p>
    <w:p w14:paraId="3730C086" w14:textId="38A550EA" w:rsidR="002559E5" w:rsidRDefault="00497C33" w:rsidP="002559E5">
      <w:r>
        <w:t>Die Rechtsgrundlagen der Verarbeitung sind daher immer daraufhin zu prüfen, ob sie Vorgaben zur Pseudonymisierung oder Anonymisierung enthalten.</w:t>
      </w:r>
    </w:p>
    <w:p w14:paraId="725F0180" w14:textId="76DEDD88" w:rsidR="002559E5" w:rsidRDefault="002559E5" w:rsidP="002559E5">
      <w:pPr>
        <w:pStyle w:val="berschrift4"/>
      </w:pPr>
      <w:bookmarkStart w:id="126" w:name="_Toc154652618"/>
      <w:r w:rsidRPr="002559E5">
        <w:t xml:space="preserve">Zeitpunkt der </w:t>
      </w:r>
      <w:r>
        <w:t>Pseudonymisierung/</w:t>
      </w:r>
      <w:r w:rsidRPr="002559E5">
        <w:t>Anonymisierung</w:t>
      </w:r>
      <w:bookmarkEnd w:id="126"/>
    </w:p>
    <w:p w14:paraId="1711651B" w14:textId="5156B503" w:rsidR="002559E5" w:rsidRDefault="002559E5" w:rsidP="002559E5">
      <w:r>
        <w:t xml:space="preserve">Idealerweise werden Daten bereits pseudonym bzw. anonym erhoben. Wenn von vornherein feststeht, dass Daten z. B. für ein Forschungsvorhaben nur in </w:t>
      </w:r>
      <w:r w:rsidRPr="004832F9">
        <w:t>pseudonymisierter</w:t>
      </w:r>
      <w:r>
        <w:t xml:space="preserve"> oder anonymisierter Form verarbeitet werden, ist dies allein schon aus dem in Art. 5 Abs. 1 lit. c DS-GVO enthaltenem Grundsatz der </w:t>
      </w:r>
      <w:r w:rsidRPr="002559E5">
        <w:t>Datenminimierung</w:t>
      </w:r>
      <w:r>
        <w:t xml:space="preserve"> erforderlich. Aber auch aus dem Gedanken der Risikominimierung heraus ist ein frühestmöglicher Schutz personenbezogener Daten geboten.</w:t>
      </w:r>
    </w:p>
    <w:p w14:paraId="0AC5D9D2" w14:textId="37E0A56A" w:rsidR="002559E5" w:rsidRDefault="002559E5" w:rsidP="002559E5">
      <w:r>
        <w:t xml:space="preserve">Im medizinischen Kontext ist dies bei Daten der Patientenversorgung nicht möglich, da u. a. die gesetzliche Pflicht eine Dokumentation der Patientenbehandlung verlangt. Werden </w:t>
      </w:r>
      <w:r w:rsidR="00AF2176" w:rsidRPr="00AF2176">
        <w:t>D</w:t>
      </w:r>
      <w:r w:rsidRPr="00AF2176">
        <w:t>aten</w:t>
      </w:r>
      <w:r>
        <w:t xml:space="preserve"> </w:t>
      </w:r>
      <w:r w:rsidR="00E46DC2">
        <w:t xml:space="preserve">nur </w:t>
      </w:r>
      <w:r>
        <w:t>zu medizinischer Forschung erhoben, kann ggf. aber schon bei der Erhebung der Daten entsprechend vorgegangen werden.</w:t>
      </w:r>
    </w:p>
    <w:p w14:paraId="68F3873C" w14:textId="77777777" w:rsidR="00C9149F" w:rsidRDefault="00C9149F">
      <w:pPr>
        <w:spacing w:after="0" w:line="240" w:lineRule="auto"/>
        <w:jc w:val="left"/>
      </w:pPr>
      <w:r>
        <w:br w:type="page"/>
      </w:r>
    </w:p>
    <w:p w14:paraId="286A52B8" w14:textId="3F2AD328" w:rsidR="00661DFB" w:rsidRDefault="00661DFB" w:rsidP="00661DFB">
      <w:pPr>
        <w:spacing w:after="0"/>
      </w:pPr>
      <w:r>
        <w:t>Grundsätzlich lassen sich verschiedene Ansätze hinsichtlich des Zeitpunkts einer Anonymisierung/ Pseudonymisierung beobachten:</w:t>
      </w:r>
    </w:p>
    <w:tbl>
      <w:tblPr>
        <w:tblStyle w:val="Tabellenraster"/>
        <w:tblW w:w="0" w:type="auto"/>
        <w:tblInd w:w="250" w:type="dxa"/>
        <w:tblLook w:val="04A0" w:firstRow="1" w:lastRow="0" w:firstColumn="1" w:lastColumn="0" w:noHBand="0" w:noVBand="1"/>
      </w:tblPr>
      <w:tblGrid>
        <w:gridCol w:w="1276"/>
        <w:gridCol w:w="2977"/>
        <w:gridCol w:w="4677"/>
      </w:tblGrid>
      <w:tr w:rsidR="00661DFB" w14:paraId="31628439" w14:textId="77777777" w:rsidTr="00661DFB">
        <w:tc>
          <w:tcPr>
            <w:tcW w:w="1276" w:type="dxa"/>
          </w:tcPr>
          <w:p w14:paraId="4FC4477A" w14:textId="77777777" w:rsidR="00661DFB" w:rsidRDefault="00661DFB" w:rsidP="00661DFB">
            <w:pPr>
              <w:spacing w:after="0" w:line="240" w:lineRule="auto"/>
            </w:pPr>
          </w:p>
        </w:tc>
        <w:tc>
          <w:tcPr>
            <w:tcW w:w="2977" w:type="dxa"/>
            <w:vAlign w:val="center"/>
          </w:tcPr>
          <w:p w14:paraId="37F6F88D" w14:textId="2FC39598" w:rsidR="00661DFB" w:rsidRPr="00661DFB" w:rsidRDefault="00661DFB" w:rsidP="00661DFB">
            <w:pPr>
              <w:spacing w:after="0" w:line="240" w:lineRule="auto"/>
              <w:jc w:val="center"/>
              <w:rPr>
                <w:b/>
                <w:bCs/>
              </w:rPr>
            </w:pPr>
            <w:r w:rsidRPr="00661DFB">
              <w:rPr>
                <w:b/>
                <w:bCs/>
              </w:rPr>
              <w:t>Zweckorientiert</w:t>
            </w:r>
          </w:p>
        </w:tc>
        <w:tc>
          <w:tcPr>
            <w:tcW w:w="4677" w:type="dxa"/>
            <w:vAlign w:val="center"/>
          </w:tcPr>
          <w:p w14:paraId="18A9FBE9" w14:textId="20E34828" w:rsidR="00661DFB" w:rsidRPr="00661DFB" w:rsidRDefault="00661DFB" w:rsidP="00661DFB">
            <w:pPr>
              <w:spacing w:after="0" w:line="240" w:lineRule="auto"/>
              <w:jc w:val="center"/>
              <w:rPr>
                <w:b/>
                <w:bCs/>
              </w:rPr>
            </w:pPr>
            <w:r>
              <w:rPr>
                <w:b/>
                <w:bCs/>
              </w:rPr>
              <w:t>Anlassbezogen</w:t>
            </w:r>
          </w:p>
        </w:tc>
      </w:tr>
      <w:tr w:rsidR="00661DFB" w14:paraId="45AB1A0C" w14:textId="77777777" w:rsidTr="00661DFB">
        <w:tc>
          <w:tcPr>
            <w:tcW w:w="1276" w:type="dxa"/>
            <w:vAlign w:val="center"/>
          </w:tcPr>
          <w:p w14:paraId="2B774C42" w14:textId="053235FF" w:rsidR="00661DFB" w:rsidRPr="00661DFB" w:rsidRDefault="00661DFB" w:rsidP="00661DFB">
            <w:pPr>
              <w:spacing w:after="0" w:line="240" w:lineRule="auto"/>
              <w:jc w:val="left"/>
              <w:rPr>
                <w:b/>
                <w:bCs/>
              </w:rPr>
            </w:pPr>
            <w:r w:rsidRPr="00661DFB">
              <w:rPr>
                <w:b/>
                <w:bCs/>
              </w:rPr>
              <w:t>Beispiel</w:t>
            </w:r>
          </w:p>
        </w:tc>
        <w:tc>
          <w:tcPr>
            <w:tcW w:w="2977" w:type="dxa"/>
          </w:tcPr>
          <w:p w14:paraId="1AB559BE" w14:textId="5B228452" w:rsidR="00661DFB" w:rsidRDefault="00661DFB" w:rsidP="00661DFB">
            <w:pPr>
              <w:pStyle w:val="Listenabsatz"/>
              <w:numPr>
                <w:ilvl w:val="0"/>
                <w:numId w:val="14"/>
              </w:numPr>
              <w:spacing w:after="0" w:line="240" w:lineRule="auto"/>
              <w:ind w:left="360"/>
              <w:jc w:val="left"/>
            </w:pPr>
            <w:r>
              <w:t>Datenerhebung für Forschungszwecke</w:t>
            </w:r>
            <w:r w:rsidR="006B5E64">
              <w:rPr>
                <w:rStyle w:val="Funotenzeichen"/>
              </w:rPr>
              <w:footnoteReference w:id="74"/>
            </w:r>
          </w:p>
        </w:tc>
        <w:tc>
          <w:tcPr>
            <w:tcW w:w="4677" w:type="dxa"/>
          </w:tcPr>
          <w:p w14:paraId="2914DD2F" w14:textId="6914F7D8" w:rsidR="00661DFB" w:rsidRDefault="00661DFB" w:rsidP="00661DFB">
            <w:pPr>
              <w:pStyle w:val="Listenabsatz"/>
              <w:numPr>
                <w:ilvl w:val="0"/>
                <w:numId w:val="14"/>
              </w:numPr>
              <w:spacing w:after="0" w:line="240" w:lineRule="auto"/>
              <w:ind w:left="360"/>
              <w:jc w:val="left"/>
            </w:pPr>
            <w:r>
              <w:t>Weitergabe Patientendaten an Forscher (Sekundärnutzung)</w:t>
            </w:r>
          </w:p>
          <w:p w14:paraId="068487DC" w14:textId="77777777" w:rsidR="00661DFB" w:rsidRDefault="00661DFB" w:rsidP="00661DFB">
            <w:pPr>
              <w:pStyle w:val="Listenabsatz"/>
              <w:numPr>
                <w:ilvl w:val="0"/>
                <w:numId w:val="14"/>
              </w:numPr>
              <w:spacing w:after="0" w:line="240" w:lineRule="auto"/>
              <w:ind w:left="360"/>
              <w:jc w:val="left"/>
            </w:pPr>
            <w:r>
              <w:t>Publikation von Forschungsergebnissen</w:t>
            </w:r>
          </w:p>
          <w:p w14:paraId="1A91DA31" w14:textId="77777777" w:rsidR="00661DFB" w:rsidRDefault="00661DFB" w:rsidP="00661DFB">
            <w:pPr>
              <w:pStyle w:val="Listenabsatz"/>
              <w:numPr>
                <w:ilvl w:val="0"/>
                <w:numId w:val="14"/>
              </w:numPr>
              <w:spacing w:after="0" w:line="240" w:lineRule="auto"/>
              <w:ind w:left="360"/>
              <w:jc w:val="left"/>
            </w:pPr>
            <w:r>
              <w:t>Aufforderung von Behörde wie z. B. BfArM</w:t>
            </w:r>
          </w:p>
          <w:p w14:paraId="686C522E" w14:textId="77777777" w:rsidR="00661DFB" w:rsidRDefault="00661DFB" w:rsidP="00661DFB">
            <w:pPr>
              <w:pStyle w:val="Listenabsatz"/>
              <w:numPr>
                <w:ilvl w:val="0"/>
                <w:numId w:val="14"/>
              </w:numPr>
              <w:spacing w:after="0" w:line="240" w:lineRule="auto"/>
              <w:ind w:left="360"/>
              <w:jc w:val="left"/>
            </w:pPr>
            <w:r>
              <w:t xml:space="preserve">Übermittlung an </w:t>
            </w:r>
            <w:r w:rsidRPr="004832F9">
              <w:t>med.</w:t>
            </w:r>
            <w:r>
              <w:t xml:space="preserve"> Register</w:t>
            </w:r>
          </w:p>
          <w:p w14:paraId="3A4098BA" w14:textId="5AEDD2F3" w:rsidR="00661DFB" w:rsidRDefault="00723031" w:rsidP="00661DFB">
            <w:pPr>
              <w:pStyle w:val="Listenabsatz"/>
              <w:numPr>
                <w:ilvl w:val="0"/>
                <w:numId w:val="14"/>
              </w:numPr>
              <w:spacing w:after="0" w:line="240" w:lineRule="auto"/>
              <w:ind w:left="360"/>
              <w:jc w:val="left"/>
            </w:pPr>
            <w:r w:rsidRPr="00723031">
              <w:t xml:space="preserve">Datenweitergabe an </w:t>
            </w:r>
            <w:r>
              <w:t>a</w:t>
            </w:r>
            <w:r w:rsidR="00661DFB">
              <w:t xml:space="preserve">ndere Forschungseinrichtungen zu deren </w:t>
            </w:r>
            <w:r w:rsidR="004F4854">
              <w:t>Forschungszwecken</w:t>
            </w:r>
          </w:p>
        </w:tc>
      </w:tr>
      <w:tr w:rsidR="00661DFB" w14:paraId="0F7E0982" w14:textId="77777777" w:rsidTr="00661DFB">
        <w:tc>
          <w:tcPr>
            <w:tcW w:w="1276" w:type="dxa"/>
            <w:vAlign w:val="center"/>
          </w:tcPr>
          <w:p w14:paraId="1F6BB807" w14:textId="3B61662C" w:rsidR="00661DFB" w:rsidRPr="00661DFB" w:rsidRDefault="00661DFB" w:rsidP="00661DFB">
            <w:pPr>
              <w:spacing w:after="0" w:line="240" w:lineRule="auto"/>
              <w:jc w:val="left"/>
              <w:rPr>
                <w:b/>
                <w:bCs/>
              </w:rPr>
            </w:pPr>
            <w:r>
              <w:rPr>
                <w:b/>
                <w:bCs/>
              </w:rPr>
              <w:t>Zeitpunkt</w:t>
            </w:r>
          </w:p>
        </w:tc>
        <w:tc>
          <w:tcPr>
            <w:tcW w:w="2977" w:type="dxa"/>
          </w:tcPr>
          <w:p w14:paraId="027FA656" w14:textId="77268752" w:rsidR="00661DFB" w:rsidRDefault="00661DFB" w:rsidP="00661DFB">
            <w:pPr>
              <w:spacing w:after="0" w:line="240" w:lineRule="auto"/>
              <w:jc w:val="left"/>
            </w:pPr>
            <w:r>
              <w:t>Bei Erhebung</w:t>
            </w:r>
          </w:p>
        </w:tc>
        <w:tc>
          <w:tcPr>
            <w:tcW w:w="4677" w:type="dxa"/>
          </w:tcPr>
          <w:p w14:paraId="761CD0C9" w14:textId="004F2170" w:rsidR="00661DFB" w:rsidRDefault="00661DFB" w:rsidP="00661DFB">
            <w:pPr>
              <w:spacing w:after="0" w:line="240" w:lineRule="auto"/>
              <w:jc w:val="left"/>
            </w:pPr>
            <w:r>
              <w:t>Zeitpunkt der Entscheidung zur Weitergabe</w:t>
            </w:r>
          </w:p>
        </w:tc>
      </w:tr>
      <w:tr w:rsidR="00661DFB" w14:paraId="2E2CB312" w14:textId="77777777" w:rsidTr="00661DFB">
        <w:tc>
          <w:tcPr>
            <w:tcW w:w="1276" w:type="dxa"/>
            <w:vAlign w:val="center"/>
          </w:tcPr>
          <w:p w14:paraId="1984E1F6" w14:textId="0282C37B" w:rsidR="00661DFB" w:rsidRPr="00661DFB" w:rsidRDefault="00661DFB" w:rsidP="00661DFB">
            <w:pPr>
              <w:spacing w:after="0" w:line="240" w:lineRule="auto"/>
              <w:jc w:val="left"/>
              <w:rPr>
                <w:b/>
                <w:bCs/>
              </w:rPr>
            </w:pPr>
            <w:r w:rsidRPr="00661DFB">
              <w:rPr>
                <w:b/>
                <w:bCs/>
              </w:rPr>
              <w:t>Umfang</w:t>
            </w:r>
          </w:p>
        </w:tc>
        <w:tc>
          <w:tcPr>
            <w:tcW w:w="2977" w:type="dxa"/>
          </w:tcPr>
          <w:p w14:paraId="19DD5497" w14:textId="091E0870" w:rsidR="00661DFB" w:rsidRDefault="00661DFB" w:rsidP="00661DFB">
            <w:pPr>
              <w:spacing w:after="0" w:line="240" w:lineRule="auto"/>
              <w:jc w:val="left"/>
            </w:pPr>
            <w:r>
              <w:t>Vollständige Anonymisierung/ Pseudonymisierung aller Daten</w:t>
            </w:r>
          </w:p>
        </w:tc>
        <w:tc>
          <w:tcPr>
            <w:tcW w:w="4677" w:type="dxa"/>
          </w:tcPr>
          <w:p w14:paraId="5B02DD80" w14:textId="14D8D1C2" w:rsidR="00661DFB" w:rsidRDefault="00661DFB" w:rsidP="00661DFB">
            <w:pPr>
              <w:spacing w:after="0" w:line="240" w:lineRule="auto"/>
              <w:jc w:val="left"/>
            </w:pPr>
            <w:r>
              <w:t xml:space="preserve">Selektive Anonymisierung/ Pseudonymisierung entsprechend beabsichtigter </w:t>
            </w:r>
            <w:r w:rsidRPr="004832F9">
              <w:t>Weitergabe</w:t>
            </w:r>
          </w:p>
        </w:tc>
      </w:tr>
    </w:tbl>
    <w:p w14:paraId="41A5873A" w14:textId="0EBEF27F" w:rsidR="00661DFB" w:rsidRDefault="00661DFB" w:rsidP="00661DFB">
      <w:pPr>
        <w:pStyle w:val="Beschriftung"/>
      </w:pPr>
      <w:bookmarkStart w:id="127" w:name="_Toc150540726"/>
      <w:bookmarkStart w:id="128" w:name="_Toc154606719"/>
      <w:r>
        <w:t xml:space="preserve">Tabelle </w:t>
      </w:r>
      <w:r w:rsidR="00000000">
        <w:fldChar w:fldCharType="begin"/>
      </w:r>
      <w:r w:rsidR="00000000">
        <w:instrText xml:space="preserve"> SEQ Tabelle \* ARABIC </w:instrText>
      </w:r>
      <w:r w:rsidR="00000000">
        <w:fldChar w:fldCharType="separate"/>
      </w:r>
      <w:r w:rsidR="00C9149F">
        <w:rPr>
          <w:noProof/>
        </w:rPr>
        <w:t>2</w:t>
      </w:r>
      <w:r w:rsidR="00000000">
        <w:rPr>
          <w:noProof/>
        </w:rPr>
        <w:fldChar w:fldCharType="end"/>
      </w:r>
      <w:r>
        <w:t>:</w:t>
      </w:r>
      <w:r>
        <w:rPr>
          <w:noProof/>
        </w:rPr>
        <w:t xml:space="preserve"> Zeitpunkt, wann eine Anonymisierung/Pseudonymisierung </w:t>
      </w:r>
      <w:r w:rsidRPr="004832F9">
        <w:rPr>
          <w:noProof/>
        </w:rPr>
        <w:t>erfolgt</w:t>
      </w:r>
      <w:bookmarkEnd w:id="127"/>
      <w:bookmarkEnd w:id="128"/>
    </w:p>
    <w:p w14:paraId="638CD8A9" w14:textId="79BF86DD" w:rsidR="00661DFB" w:rsidRDefault="00661DFB" w:rsidP="002559E5">
      <w:r>
        <w:t>Da gerade im medizinischen Kontext regelmäßig eine Anonymisierung/Pseudonymisierung erforderlich ist, sollten Verantwortliche für ihren Bereich die dafür erforderlichen technischen und organisatorischen Maßnahmen bereits frühzeitig festlegen und die Voraussetzungen schaffen, dass zumindest die gesetzlich erforderlichen Vorgaben (z. B. Weitergabe an Krebsregister oder Übermittlung an Sponsor bei Forschung) ermöglicht werden.</w:t>
      </w:r>
    </w:p>
    <w:p w14:paraId="3A0F4A87" w14:textId="36FDA000" w:rsidR="002559E5" w:rsidRDefault="002559E5" w:rsidP="002559E5">
      <w:pPr>
        <w:pStyle w:val="berschrift4"/>
      </w:pPr>
      <w:bookmarkStart w:id="129" w:name="_Toc154652619"/>
      <w:r w:rsidRPr="002559E5">
        <w:t>Rücknahmefestigkeit</w:t>
      </w:r>
      <w:bookmarkEnd w:id="129"/>
    </w:p>
    <w:p w14:paraId="44AA9929" w14:textId="754EDF36" w:rsidR="002559E5" w:rsidRDefault="002559E5" w:rsidP="002559E5">
      <w:r>
        <w:t>2007 schrieb die Artikel-29-Datenschutzgruppe: „Rücknehmbar pseudonymisierte Daten sind als indirekt bestimmbare Informationen über Personen anzusehen.“</w:t>
      </w:r>
      <w:bookmarkStart w:id="130" w:name="_Ref149977288"/>
      <w:r>
        <w:rPr>
          <w:rStyle w:val="Funotenzeichen"/>
        </w:rPr>
        <w:footnoteReference w:id="75"/>
      </w:r>
      <w:bookmarkEnd w:id="130"/>
      <w:r>
        <w:t xml:space="preserve"> </w:t>
      </w:r>
      <w:bookmarkStart w:id="131" w:name="_Hlk151746208"/>
      <w:r w:rsidR="00E46DC2" w:rsidRPr="004832F9">
        <w:t>Je</w:t>
      </w:r>
      <w:r w:rsidR="00E46DC2">
        <w:t xml:space="preserve"> höher die </w:t>
      </w:r>
      <w:r w:rsidR="00E46DC2" w:rsidRPr="002559E5">
        <w:t>Rücknahmefestigkeit</w:t>
      </w:r>
      <w:r w:rsidR="00E46DC2">
        <w:t xml:space="preserve">, </w:t>
      </w:r>
      <w:bookmarkEnd w:id="131"/>
      <w:r w:rsidR="00E46DC2">
        <w:t>desto unwahrscheinlicher</w:t>
      </w:r>
      <w:r w:rsidR="00E46DC2" w:rsidRPr="002559E5">
        <w:t xml:space="preserve"> </w:t>
      </w:r>
      <w:r w:rsidR="00E46DC2">
        <w:t>ist von einer</w:t>
      </w:r>
      <w:r w:rsidR="00E46DC2" w:rsidRPr="002559E5">
        <w:t xml:space="preserve"> </w:t>
      </w:r>
      <w:r w:rsidR="00E46DC2">
        <w:t xml:space="preserve">(unerwünschten) </w:t>
      </w:r>
      <w:r w:rsidR="00E46DC2" w:rsidRPr="002559E5">
        <w:t>Umkehr einer</w:t>
      </w:r>
      <w:r w:rsidR="00E46DC2">
        <w:t xml:space="preserve"> Pseudonymisierung bzw. Anonymisierung auszugehen.</w:t>
      </w:r>
    </w:p>
    <w:p w14:paraId="49A46F46" w14:textId="5EABD94D" w:rsidR="002559E5" w:rsidRDefault="002559E5" w:rsidP="002559E5">
      <w:r>
        <w:t>Die Rücknahmefestigkeit hängt natürlich in weiten Teilen von der gewählten Methode ab.</w:t>
      </w:r>
    </w:p>
    <w:p w14:paraId="6E1CD23D" w14:textId="5B31CE94" w:rsidR="002559E5" w:rsidRDefault="002559E5" w:rsidP="002559E5">
      <w:pPr>
        <w:pStyle w:val="berschrift4"/>
      </w:pPr>
      <w:bookmarkStart w:id="132" w:name="_Toc154652620"/>
      <w:r>
        <w:t>Anzahl der Personen im Datensatz</w:t>
      </w:r>
      <w:bookmarkEnd w:id="132"/>
    </w:p>
    <w:p w14:paraId="25614161" w14:textId="08F30CEC" w:rsidR="002559E5" w:rsidRDefault="002559E5" w:rsidP="002559E5">
      <w:r>
        <w:t xml:space="preserve">Der Grad der Wirksamkeit einer </w:t>
      </w:r>
      <w:r w:rsidR="00E46DC2" w:rsidRPr="004832F9">
        <w:t>De</w:t>
      </w:r>
      <w:r w:rsidRPr="004832F9">
        <w:t>-Identifikation</w:t>
      </w:r>
      <w:r>
        <w:t xml:space="preserve"> hängt maßgeblich von der „</w:t>
      </w:r>
      <w:r w:rsidRPr="002559E5">
        <w:t>Mächtigkeit der Menge, in der sich der Betroffene verbirgt</w:t>
      </w:r>
      <w:r>
        <w:t>“</w:t>
      </w:r>
      <w:r>
        <w:rPr>
          <w:rStyle w:val="Funotenzeichen"/>
        </w:rPr>
        <w:footnoteReference w:id="76"/>
      </w:r>
      <w:r w:rsidRPr="002559E5">
        <w:t>,</w:t>
      </w:r>
      <w:r>
        <w:t xml:space="preserve"> ab. Die Anzahl der Personen bestimmt die Menge der Pseudonyme und auch in der heutigen Zeit gilt, dass die Rechenleistung zum Auffinden möglicher </w:t>
      </w:r>
      <w:r w:rsidRPr="002559E5">
        <w:t>Verkettungsmöglichkeit</w:t>
      </w:r>
      <w:r>
        <w:t>en in einem Datensatz abhängig von der Anzahl der zu betrachtenden Datenmenge ist.</w:t>
      </w:r>
    </w:p>
    <w:p w14:paraId="3D1358FB" w14:textId="1CD11955" w:rsidR="002559E5" w:rsidRDefault="002559E5" w:rsidP="002559E5">
      <w:r>
        <w:t>Die Artikel-29-Datenschutzgruppe führte daher schon 2007 aus: „Die Menge der möglichen Pseudonyme sollte so groß sein, dass bei zufälliger Auswahl nicht zweimal das gleiche Pseudonym gewählt wird.“</w:t>
      </w:r>
      <w:r w:rsidRPr="002559E5">
        <w:rPr>
          <w:vertAlign w:val="superscript"/>
        </w:rPr>
        <w:fldChar w:fldCharType="begin"/>
      </w:r>
      <w:r w:rsidRPr="002559E5">
        <w:rPr>
          <w:vertAlign w:val="superscript"/>
        </w:rPr>
        <w:instrText xml:space="preserve"> NOTEREF _Ref149977288 \h </w:instrText>
      </w:r>
      <w:r>
        <w:rPr>
          <w:vertAlign w:val="superscript"/>
        </w:rPr>
        <w:instrText xml:space="preserve"> \* MERGEFORMAT </w:instrText>
      </w:r>
      <w:r w:rsidRPr="002559E5">
        <w:rPr>
          <w:vertAlign w:val="superscript"/>
        </w:rPr>
      </w:r>
      <w:r w:rsidRPr="002559E5">
        <w:rPr>
          <w:vertAlign w:val="superscript"/>
        </w:rPr>
        <w:fldChar w:fldCharType="separate"/>
      </w:r>
      <w:r w:rsidR="00C9149F">
        <w:rPr>
          <w:vertAlign w:val="superscript"/>
        </w:rPr>
        <w:t>75</w:t>
      </w:r>
      <w:r w:rsidRPr="002559E5">
        <w:rPr>
          <w:vertAlign w:val="superscript"/>
        </w:rPr>
        <w:fldChar w:fldCharType="end"/>
      </w:r>
    </w:p>
    <w:p w14:paraId="2717830E" w14:textId="371F1480" w:rsidR="002559E5" w:rsidRDefault="002559E5" w:rsidP="002559E5">
      <w:r>
        <w:t xml:space="preserve">In einem kleineren Datensatz erkennt teilweise schon der Mensch auf den ersten Blick Zusammenhänge und kann ggf. eine Person identifizieren, in größeren Datenmengen braucht man eine entsprechende Rechenleistung. Heute kann man die erforderliche Rechenleistung </w:t>
      </w:r>
      <w:r w:rsidRPr="00AF2176">
        <w:t>für entsprechende Auswertungen</w:t>
      </w:r>
      <w:r>
        <w:t xml:space="preserve"> in der Cloud anmieten, muss also kein eigenes Rechenzentrum dafür unterhalten, aber natürlich ist die Schutzwirkung einer Anonymisierung/Pseudonymisierung auch unter diesen Umständen weiterhin von der Anzahl der Personen im Datensatz abhängig.</w:t>
      </w:r>
    </w:p>
    <w:p w14:paraId="5F271981" w14:textId="724F07ED" w:rsidR="002559E5" w:rsidRDefault="002559E5" w:rsidP="002559E5">
      <w:pPr>
        <w:pStyle w:val="berschrift4"/>
      </w:pPr>
      <w:bookmarkStart w:id="133" w:name="_Toc154652621"/>
      <w:r w:rsidRPr="002559E5">
        <w:t>Verkettungsmöglichkeit</w:t>
      </w:r>
      <w:bookmarkEnd w:id="133"/>
    </w:p>
    <w:p w14:paraId="7F8E1FD0" w14:textId="6285AFAF" w:rsidR="002559E5" w:rsidRDefault="002559E5" w:rsidP="002559E5">
      <w:r>
        <w:t>Unter „</w:t>
      </w:r>
      <w:r w:rsidRPr="002559E5">
        <w:t>Verkettungsmöglichkeit</w:t>
      </w:r>
      <w:r>
        <w:t xml:space="preserve">“ wird in diesem Kontext die Möglichkeit verstanden, vorhandene eigentlich nicht einander zugeordnete Merkmale in einem Datensatz </w:t>
      </w:r>
      <w:r w:rsidRPr="00AF2176">
        <w:t>einem einzelne</w:t>
      </w:r>
      <w:r w:rsidR="00AF2176" w:rsidRPr="00AF2176">
        <w:t>n</w:t>
      </w:r>
      <w:r w:rsidRPr="00AF2176">
        <w:t xml:space="preserve"> Akteur</w:t>
      </w:r>
      <w:r>
        <w:t xml:space="preserve"> (dies kann z. B. eine Datensatz-ID sein) zuordnen zu können, wodurch u. U. weitergehende Aussagen über eine betroffene Person ermöglicht werden. Die </w:t>
      </w:r>
      <w:r w:rsidRPr="002559E5">
        <w:t>Verkettungsmöglichkeit von einzelnen Transaktionen oder Datensätzen</w:t>
      </w:r>
      <w:r>
        <w:t xml:space="preserve"> hat daher eine direkte Auswirkung auf das Risiko einer Re-Identifikation.</w:t>
      </w:r>
    </w:p>
    <w:p w14:paraId="433720D5" w14:textId="167917CD" w:rsidR="002559E5" w:rsidRDefault="002559E5" w:rsidP="002559E5">
      <w:pPr>
        <w:pStyle w:val="berschrift4"/>
      </w:pPr>
      <w:bookmarkStart w:id="134" w:name="_Toc154652622"/>
      <w:r>
        <w:t xml:space="preserve">Konkrete Einzelangaben: </w:t>
      </w:r>
      <w:r w:rsidRPr="004832F9">
        <w:t>Indirekt</w:t>
      </w:r>
      <w:r w:rsidRPr="002559E5">
        <w:t xml:space="preserve"> identifizierende Daten</w:t>
      </w:r>
      <w:bookmarkEnd w:id="134"/>
    </w:p>
    <w:p w14:paraId="239BF66A" w14:textId="6C37EAB1" w:rsidR="002559E5" w:rsidRDefault="002559E5" w:rsidP="002559E5">
      <w:r>
        <w:t>Je konkreter die Einzelangaben in einem Datensatz</w:t>
      </w:r>
      <w:r w:rsidR="004F4854">
        <w:t xml:space="preserve"> </w:t>
      </w:r>
      <w:r w:rsidR="00497C33">
        <w:t>sind, desto geringer</w:t>
      </w:r>
      <w:r>
        <w:t xml:space="preserve"> k</w:t>
      </w:r>
      <w:r w:rsidR="00497C33">
        <w:t>a</w:t>
      </w:r>
      <w:r>
        <w:t xml:space="preserve">nn die Wirksamkeit einer Anonymisierung/Pseudonymisierung </w:t>
      </w:r>
      <w:r w:rsidR="00497C33">
        <w:t>sein</w:t>
      </w:r>
      <w:r>
        <w:t>. Beispielsweise ist die Angabe „</w:t>
      </w:r>
      <w:r w:rsidRPr="002559E5">
        <w:t>Beruf/Amt</w:t>
      </w:r>
      <w:r>
        <w:t> </w:t>
      </w:r>
      <w:r w:rsidRPr="002559E5">
        <w:t>=</w:t>
      </w:r>
      <w:r>
        <w:t xml:space="preserve"> </w:t>
      </w:r>
      <w:r w:rsidRPr="002559E5">
        <w:t>Bundeskanzler</w:t>
      </w:r>
      <w:r>
        <w:t xml:space="preserve">in“ eindeutig einer Person zuordenbar, da es in Deutschland </w:t>
      </w:r>
      <w:r w:rsidR="005B1D56">
        <w:t xml:space="preserve">bis ins Jahr </w:t>
      </w:r>
      <w:r w:rsidR="00497C33">
        <w:t xml:space="preserve">2024 </w:t>
      </w:r>
      <w:r w:rsidR="005B1D56">
        <w:t xml:space="preserve">hinein </w:t>
      </w:r>
      <w:r w:rsidR="00497C33">
        <w:t xml:space="preserve">nur </w:t>
      </w:r>
      <w:r>
        <w:t xml:space="preserve">eine Bundeskanzlerin gab. Entsprechende </w:t>
      </w:r>
      <w:r w:rsidR="00E46DC2">
        <w:t>W</w:t>
      </w:r>
      <w:r>
        <w:t xml:space="preserve">erte müssen daher mit anderen </w:t>
      </w:r>
      <w:r w:rsidR="00E46DC2">
        <w:t>W</w:t>
      </w:r>
      <w:r>
        <w:t>erten zusammengefasst werden, im Beispiel wäre die Angabe „</w:t>
      </w:r>
      <w:r w:rsidRPr="002559E5">
        <w:t>Beruf/Amt</w:t>
      </w:r>
      <w:r>
        <w:t xml:space="preserve"> </w:t>
      </w:r>
      <w:r w:rsidRPr="002559E5">
        <w:t>=</w:t>
      </w:r>
      <w:r>
        <w:t xml:space="preserve"> öffentlicher Dienst“ möglich, wenn hinreichend andere Personen im Datensatz vorhanden sind, auf welche die Angabe zutrifft.</w:t>
      </w:r>
    </w:p>
    <w:p w14:paraId="327C67D9" w14:textId="00FDB6FB" w:rsidR="002559E5" w:rsidRDefault="002559E5" w:rsidP="002559E5">
      <w:r w:rsidRPr="002559E5">
        <w:t xml:space="preserve">Ist eine solche </w:t>
      </w:r>
      <w:r>
        <w:t>Anpassung</w:t>
      </w:r>
      <w:r w:rsidRPr="002559E5">
        <w:t xml:space="preserve"> nicht möglich, </w:t>
      </w:r>
      <w:r>
        <w:t xml:space="preserve">wird aus diesen </w:t>
      </w:r>
      <w:r w:rsidRPr="002559E5">
        <w:t xml:space="preserve">indirekten identifizierenden Daten </w:t>
      </w:r>
      <w:r>
        <w:t>die jeweilige Person immer identifizierbar bleiben.</w:t>
      </w:r>
    </w:p>
    <w:p w14:paraId="02F12742" w14:textId="6A896E3E" w:rsidR="002559E5" w:rsidRDefault="002559E5" w:rsidP="002559E5">
      <w:pPr>
        <w:pStyle w:val="berschrift4"/>
      </w:pPr>
      <w:bookmarkStart w:id="135" w:name="_Toc154652623"/>
      <w:r>
        <w:t>Verfügbarkeitsoptionen</w:t>
      </w:r>
      <w:bookmarkEnd w:id="135"/>
    </w:p>
    <w:p w14:paraId="6B6909A8" w14:textId="1A2A4817" w:rsidR="002559E5" w:rsidRDefault="002559E5" w:rsidP="002559E5">
      <w:r>
        <w:t xml:space="preserve">Mitunter werden bei einer Pseudonymisierung Daten bestimmte Eigenschaften zugewiesen, welche erlauben, dass bestimmte, vorher festgelegte Eigenschaften </w:t>
      </w:r>
      <w:r w:rsidRPr="00AF2176">
        <w:t>eines Pseudonym</w:t>
      </w:r>
      <w:r w:rsidR="00AF2176" w:rsidRPr="00AF2176">
        <w:t>s</w:t>
      </w:r>
      <w:r>
        <w:t xml:space="preserve"> aufgedeckt werden können. Dies wird in der Literatur z. T. als „Verfügbarkeitsoption“ bezeichnet.</w:t>
      </w:r>
      <w:r>
        <w:rPr>
          <w:rStyle w:val="Funotenzeichen"/>
        </w:rPr>
        <w:footnoteReference w:id="77"/>
      </w:r>
      <w:r>
        <w:t xml:space="preserve"> </w:t>
      </w:r>
    </w:p>
    <w:p w14:paraId="648D432C" w14:textId="039E1F3B" w:rsidR="002559E5" w:rsidRDefault="002559E5" w:rsidP="002559E5">
      <w:r>
        <w:t xml:space="preserve">Eine entsprechende Verfügbarkeitsoption kann </w:t>
      </w:r>
      <w:r w:rsidRPr="00AF2176">
        <w:t>z.</w:t>
      </w:r>
      <w:r w:rsidR="00AF2176" w:rsidRPr="00AF2176">
        <w:t> </w:t>
      </w:r>
      <w:r w:rsidRPr="00AF2176">
        <w:t>B.</w:t>
      </w:r>
      <w:r>
        <w:t xml:space="preserve"> die Zusammenführung von Daten aus unterschiedlichen Quellen er</w:t>
      </w:r>
      <w:r w:rsidR="00497C33">
        <w:t>möglichen</w:t>
      </w:r>
      <w:r>
        <w:t xml:space="preserve"> („Verkettbarkeit“), wo</w:t>
      </w:r>
      <w:r w:rsidR="00497C33">
        <w:t>bei</w:t>
      </w:r>
      <w:r>
        <w:t xml:space="preserve"> die Daten der </w:t>
      </w:r>
      <w:r w:rsidR="00497C33">
        <w:t>verschiedenen Quellen</w:t>
      </w:r>
      <w:r>
        <w:t xml:space="preserve"> trotz Pseudonymisierung demselben Pseudonym zugeordnet werden. Im Rahmen </w:t>
      </w:r>
      <w:r w:rsidR="00497C33">
        <w:t>von</w:t>
      </w:r>
      <w:r>
        <w:t xml:space="preserve"> Krebsregister</w:t>
      </w:r>
      <w:r w:rsidR="00497C33">
        <w:t>n</w:t>
      </w:r>
      <w:r>
        <w:t xml:space="preserve"> ist diese Möglichkeit beispielsweise </w:t>
      </w:r>
      <w:r w:rsidR="00497C33">
        <w:t xml:space="preserve">die </w:t>
      </w:r>
      <w:r>
        <w:t>Grundvoraussetzung</w:t>
      </w:r>
      <w:r w:rsidR="00497C33">
        <w:t xml:space="preserve"> dafür</w:t>
      </w:r>
      <w:r>
        <w:t>, da</w:t>
      </w:r>
      <w:r w:rsidR="00497C33">
        <w:t>ss</w:t>
      </w:r>
      <w:r>
        <w:t xml:space="preserve"> die im Krebsregister eingehenden Meldungen richtig zusammengeführt und doppelte Meldungen eliminiert werden können usw. Für andere medizinische Register gilt dies natürlich analog.</w:t>
      </w:r>
    </w:p>
    <w:p w14:paraId="1E84501C" w14:textId="0E4549FA" w:rsidR="002559E5" w:rsidRPr="002559E5" w:rsidRDefault="002559E5" w:rsidP="002559E5">
      <w:r>
        <w:t>Eine weitere Verfügbarkeitsoption kann die Möglichkeit darstellen, dass ein Pseudonym unter bestimmten, zuvor festgelegten Voraussetzungen entschlüsselt und so eine Re-Identifizierung der betroffenen Person ermöglicht werden kann. Dies kann z. B. im Rahmen einer klinischen Studie wichtig sein, wenn Probanden über aus der Studie gewonnene Erkenntnisse, die für ihre Behandlung wichtig sind, informiert werden sollen/müssen.</w:t>
      </w:r>
    </w:p>
    <w:p w14:paraId="319946CD" w14:textId="6420CFEE" w:rsidR="00AE4EA7" w:rsidRDefault="00000000">
      <w:pPr>
        <w:pStyle w:val="berschrift2"/>
      </w:pPr>
      <w:bookmarkStart w:id="136" w:name="_Toc154652624"/>
      <w:r>
        <w:t xml:space="preserve">Identifizierung </w:t>
      </w:r>
      <w:r w:rsidR="00497C33">
        <w:t>von</w:t>
      </w:r>
      <w:r>
        <w:t xml:space="preserve"> direkten und indirekten identifizierenden Daten</w:t>
      </w:r>
      <w:bookmarkEnd w:id="136"/>
    </w:p>
    <w:p w14:paraId="603DF31F" w14:textId="55D00F9F" w:rsidR="00AE4EA7" w:rsidRDefault="00000000">
      <w:pPr>
        <w:spacing w:after="0"/>
      </w:pPr>
      <w:r>
        <w:t>Will man eine Pseudo</w:t>
      </w:r>
      <w:r w:rsidR="005B1D56">
        <w:t>nymisierung</w:t>
      </w:r>
      <w:r>
        <w:t xml:space="preserve"> bzw. Anonymisierung durchführen, müssen in einem ersten Schritt sowohl direkte als auch indirekte Identifikationsmerkmale im Datensatz identifiziert und bzgl. der Notwendigkeit der Änderung/Löschung hinsichtlich des Prozesses einer Pseudonymisierung oder Anonymisierung </w:t>
      </w:r>
      <w:r w:rsidR="00497C33">
        <w:t xml:space="preserve">im Sinne des Datenschutzes </w:t>
      </w:r>
      <w:r>
        <w:t>bewertet werden.</w:t>
      </w:r>
    </w:p>
    <w:p w14:paraId="43A4E57F" w14:textId="4E8BDFF5" w:rsidR="00AE4EA7" w:rsidRDefault="00000000">
      <w:pPr>
        <w:spacing w:after="0"/>
      </w:pPr>
      <w:r>
        <w:t>Die zur Verarbeitung vorgesehenen Daten sind in drei Kategorien einzuteilen:</w:t>
      </w:r>
    </w:p>
    <w:p w14:paraId="28050EEE" w14:textId="61690456" w:rsidR="00AE4EA7" w:rsidRDefault="00000000">
      <w:pPr>
        <w:pStyle w:val="Listenabsatz"/>
        <w:numPr>
          <w:ilvl w:val="0"/>
          <w:numId w:val="15"/>
        </w:numPr>
      </w:pPr>
      <w:r>
        <w:t>Direkte Identifikationsmerkmale: Alle Daten, welche eine direkte Identifizierung zulassen. Beispiele für direkte Identifikationsmerkmale sind insbesondere Namen (</w:t>
      </w:r>
      <w:r w:rsidRPr="004C1658">
        <w:t>der bürgerliche Name</w:t>
      </w:r>
      <w:r>
        <w:t xml:space="preserve"> sowie alle sonstige</w:t>
      </w:r>
      <w:r w:rsidR="00E46DC2">
        <w:t>n</w:t>
      </w:r>
      <w:r>
        <w:t xml:space="preserve"> Namen wie beispielsweise der Rufname oder der Chat Name), unter denen die Person bekannt ist.</w:t>
      </w:r>
    </w:p>
    <w:p w14:paraId="651A9979" w14:textId="60EE3F09" w:rsidR="00AE4EA7" w:rsidRDefault="00000000">
      <w:pPr>
        <w:pStyle w:val="Listenabsatz"/>
        <w:numPr>
          <w:ilvl w:val="0"/>
          <w:numId w:val="15"/>
        </w:numPr>
      </w:pPr>
      <w:r>
        <w:t xml:space="preserve">Indirekte Identifikationsmerkmale: Alle Daten, welche in Verbindung mit anderem indirektem oder externem Wissen eine Identifikation </w:t>
      </w:r>
      <w:r w:rsidR="004C1658" w:rsidRPr="004C1658">
        <w:t>potenziell</w:t>
      </w:r>
      <w:r>
        <w:t xml:space="preserve"> ermöglichen. Beispiele für indirekte Identifikationsmerkmale sind:</w:t>
      </w:r>
    </w:p>
    <w:p w14:paraId="487EAF11" w14:textId="77777777" w:rsidR="00AE4EA7" w:rsidRDefault="00000000">
      <w:pPr>
        <w:pStyle w:val="Listenabsatz"/>
        <w:numPr>
          <w:ilvl w:val="1"/>
          <w:numId w:val="15"/>
        </w:numPr>
      </w:pPr>
      <w:r>
        <w:t>Personenbezeichner (z. B. Patienten-ID, Sozialversicherungsnummer, Steuernummer, Autokennzeichen, Kontonummer, Versicherungsnummer, Geburtsdatum)</w:t>
      </w:r>
    </w:p>
    <w:p w14:paraId="3F0EFF89" w14:textId="77777777" w:rsidR="00AE4EA7" w:rsidRDefault="00000000">
      <w:pPr>
        <w:pStyle w:val="Listenabsatz"/>
        <w:numPr>
          <w:ilvl w:val="1"/>
          <w:numId w:val="15"/>
        </w:numPr>
      </w:pPr>
      <w:r>
        <w:t>Erscheinungsmerkmale (z. B. Körpergröße, Haarfarbe, Kleidung, Tätowierungen)</w:t>
      </w:r>
    </w:p>
    <w:p w14:paraId="3D6DF4E0" w14:textId="77777777" w:rsidR="00AE4EA7" w:rsidRDefault="00000000">
      <w:pPr>
        <w:pStyle w:val="Listenabsatz"/>
        <w:numPr>
          <w:ilvl w:val="1"/>
          <w:numId w:val="15"/>
        </w:numPr>
      </w:pPr>
      <w:r>
        <w:t>Biometrische Kennzeichen (z. B. Gesicht, Stimmprofile, Fingerabdrücke)</w:t>
      </w:r>
    </w:p>
    <w:p w14:paraId="3E580181" w14:textId="77777777" w:rsidR="00AE4EA7" w:rsidRDefault="00000000">
      <w:pPr>
        <w:pStyle w:val="Listenabsatz"/>
        <w:numPr>
          <w:ilvl w:val="1"/>
          <w:numId w:val="15"/>
        </w:numPr>
      </w:pPr>
      <w:r>
        <w:t>Genetische Daten</w:t>
      </w:r>
    </w:p>
    <w:p w14:paraId="513E7A51" w14:textId="77777777" w:rsidR="00AE4EA7" w:rsidRDefault="00000000">
      <w:pPr>
        <w:pStyle w:val="Listenabsatz"/>
        <w:numPr>
          <w:ilvl w:val="1"/>
          <w:numId w:val="15"/>
        </w:numPr>
        <w:jc w:val="left"/>
      </w:pPr>
      <w:r>
        <w:t xml:space="preserve">Digitale Zertifikate, welche eine Identifikationsmöglichkeit beinhalten </w:t>
      </w:r>
      <w:r>
        <w:br/>
        <w:t>(z. B. Zertifikate zur elektronischen Unterschrift</w:t>
      </w:r>
      <w:r w:rsidRPr="004832F9">
        <w:t>)</w:t>
      </w:r>
    </w:p>
    <w:p w14:paraId="64E76810" w14:textId="340976D9" w:rsidR="00AE4EA7" w:rsidRDefault="00000000">
      <w:pPr>
        <w:pStyle w:val="Listenabsatz"/>
        <w:numPr>
          <w:ilvl w:val="1"/>
          <w:numId w:val="15"/>
        </w:numPr>
        <w:jc w:val="left"/>
      </w:pPr>
      <w:r>
        <w:t xml:space="preserve">Identifikationsmerkmale basierend auf elektronischer Kommunikation </w:t>
      </w:r>
      <w:r>
        <w:br/>
        <w:t>(z</w:t>
      </w:r>
      <w:r w:rsidR="00C10BB0">
        <w:t>.</w:t>
      </w:r>
      <w:r>
        <w:t xml:space="preserve"> B. Telefonnummer, Faxnummer, </w:t>
      </w:r>
      <w:r w:rsidR="004832F9" w:rsidRPr="004832F9">
        <w:t>E-Mail-A</w:t>
      </w:r>
      <w:r w:rsidRPr="004832F9">
        <w:t>dresse</w:t>
      </w:r>
      <w:r>
        <w:t>, IP-Adresse</w:t>
      </w:r>
      <w:r w:rsidRPr="004832F9">
        <w:t>)</w:t>
      </w:r>
    </w:p>
    <w:p w14:paraId="1C902A92" w14:textId="77777777" w:rsidR="00AE4EA7" w:rsidRDefault="00000000">
      <w:pPr>
        <w:pStyle w:val="Listenabsatz"/>
        <w:numPr>
          <w:ilvl w:val="1"/>
          <w:numId w:val="15"/>
        </w:numPr>
      </w:pPr>
      <w:r w:rsidRPr="004832F9">
        <w:t>Demographische</w:t>
      </w:r>
      <w:r>
        <w:t xml:space="preserve"> Daten (z. B. Religion, Geburtsland, Muttersprache, Vorstrafen)</w:t>
      </w:r>
    </w:p>
    <w:p w14:paraId="61BDE712" w14:textId="4C87F728" w:rsidR="00AE4EA7" w:rsidRDefault="00000000">
      <w:pPr>
        <w:pStyle w:val="Listenabsatz"/>
        <w:numPr>
          <w:ilvl w:val="1"/>
          <w:numId w:val="15"/>
        </w:numPr>
      </w:pPr>
      <w:r w:rsidRPr="004832F9">
        <w:t>Zuordnungsmerk</w:t>
      </w:r>
      <w:r w:rsidR="00C10BB0">
        <w:t>m</w:t>
      </w:r>
      <w:r w:rsidRPr="004832F9">
        <w:t>ale</w:t>
      </w:r>
      <w:r>
        <w:t xml:space="preserve"> (z. B. Beruf, Funktion, Anschriften, Vorstrafen, Name der Mutter/des Vaters)</w:t>
      </w:r>
    </w:p>
    <w:p w14:paraId="4D569B0B" w14:textId="77777777" w:rsidR="00AE4EA7" w:rsidRDefault="00000000">
      <w:pPr>
        <w:pStyle w:val="Listenabsatz"/>
        <w:numPr>
          <w:ilvl w:val="1"/>
          <w:numId w:val="15"/>
        </w:numPr>
      </w:pPr>
      <w:r>
        <w:t>Ausreißervariablen (z. B</w:t>
      </w:r>
      <w:r>
        <w:rPr>
          <w:rFonts w:ascii="Symbol" w:hAnsi="Symbol"/>
        </w:rPr>
        <w:t></w:t>
      </w:r>
      <w:r>
        <w:t xml:space="preserve"> </w:t>
      </w:r>
      <w:r w:rsidRPr="004832F9">
        <w:t>seltene</w:t>
      </w:r>
      <w:r>
        <w:t xml:space="preserve"> Diagnosen, Behandlungsbesonderheiten, körperliche Fehlbildungen, für die untersuchte Population untypische Merkmale).</w:t>
      </w:r>
    </w:p>
    <w:p w14:paraId="0E86D85B" w14:textId="18D81726" w:rsidR="00AE4EA7" w:rsidRDefault="00000000">
      <w:pPr>
        <w:pStyle w:val="Listenabsatz"/>
      </w:pPr>
      <w:r>
        <w:t>Je nachdem, welche weiteren Informationen dem oder den Verantwortlichen zur Verfügung stehen, sind indirekte Identifikationsmerkmale ggf. als direkte Identifikationsmerkmale anzusehen.</w:t>
      </w:r>
      <w:r w:rsidR="0007457B">
        <w:t xml:space="preserve"> Typisches Beispiel hierfür sind </w:t>
      </w:r>
      <w:r w:rsidR="0007457B" w:rsidRPr="0007457B">
        <w:t>Personenbezeichner</w:t>
      </w:r>
      <w:r w:rsidR="0007457B">
        <w:t xml:space="preserve"> wie beispielsweise die Patienten-ID in medizinischen Informationssystemen.</w:t>
      </w:r>
    </w:p>
    <w:p w14:paraId="0A619B2E" w14:textId="6813DFF4" w:rsidR="0007457B" w:rsidRDefault="0007457B">
      <w:pPr>
        <w:pStyle w:val="Listenabsatz"/>
      </w:pPr>
      <w:r>
        <w:t>Zu beachten: Auch die Kombination von Merkmalen kann ein indirektes Identifikationsmerkmal darstellen.</w:t>
      </w:r>
    </w:p>
    <w:p w14:paraId="59BF4FDA" w14:textId="5171473F" w:rsidR="0007457B" w:rsidRDefault="0007457B" w:rsidP="0007457B">
      <w:pPr>
        <w:pStyle w:val="Listenabsatz"/>
        <w:ind w:left="1416"/>
      </w:pPr>
      <w:r>
        <w:t>Beispiel: Nur etwa 1 % aller Patienten mit Brustkrebs weisen ein männliches Geschlecht auf</w:t>
      </w:r>
      <w:r>
        <w:rPr>
          <w:rStyle w:val="Funotenzeichen"/>
        </w:rPr>
        <w:footnoteReference w:id="78"/>
      </w:r>
      <w:r>
        <w:t>. Dies führt dazu, dass es Krankenhäuser gibt, die in 2</w:t>
      </w:r>
      <w:r w:rsidR="005B1D56">
        <w:t> </w:t>
      </w:r>
      <w:r>
        <w:t>-</w:t>
      </w:r>
      <w:r w:rsidR="005B1D56">
        <w:t> </w:t>
      </w:r>
      <w:r>
        <w:t>3 Jahren nur einen Mann mit der Diagnose „Brustkrebs“ behandeln.</w:t>
      </w:r>
    </w:p>
    <w:p w14:paraId="2693417D" w14:textId="6187244A" w:rsidR="0007457B" w:rsidRDefault="0007457B" w:rsidP="0007457B">
      <w:pPr>
        <w:pStyle w:val="Listenabsatz"/>
        <w:ind w:left="1416"/>
      </w:pPr>
      <w:r>
        <w:t>Die Angaben Geschlecht, Behandlungsjahr und Diagnose können unter diesen Umständen die Identifikation einer Einzelperson darstellen</w:t>
      </w:r>
      <w:r w:rsidR="005B1D56">
        <w:t xml:space="preserve"> und</w:t>
      </w:r>
      <w:r>
        <w:t xml:space="preserve"> sind </w:t>
      </w:r>
      <w:r w:rsidR="005B1D56">
        <w:t>folglich</w:t>
      </w:r>
      <w:r>
        <w:t xml:space="preserve"> als indirektes Identifikationsmerkmal zu behandeln.</w:t>
      </w:r>
    </w:p>
    <w:p w14:paraId="722BFC88" w14:textId="2ABC37C8" w:rsidR="0007457B" w:rsidRDefault="0007457B">
      <w:pPr>
        <w:pStyle w:val="Listenabsatz"/>
      </w:pPr>
      <w:r>
        <w:t>Dieser Umstand stellt insbesondere bei der Erforschung seltener Erkrankungen eine Herausforderung dar.</w:t>
      </w:r>
      <w:r w:rsidR="00D37709">
        <w:rPr>
          <w:rStyle w:val="Funotenzeichen"/>
        </w:rPr>
        <w:footnoteReference w:id="79"/>
      </w:r>
      <w:r>
        <w:t xml:space="preserve"> Es kann vorkommen, dass eine Anonymisierung in diesen Fällen nicht möglich ist, ohne dass zur Anonymisierung Daten derart verändert werden müssten, dass eine sinnvolle Bearbeitung der Forschungsfrage nicht mehr möglich ist</w:t>
      </w:r>
      <w:r w:rsidR="004F4854">
        <w:t>.</w:t>
      </w:r>
      <w:r>
        <w:t xml:space="preserve"> Aber eine </w:t>
      </w:r>
      <w:r w:rsidR="004F4854">
        <w:t>Pseudonymisierung</w:t>
      </w:r>
      <w:r>
        <w:t xml:space="preserve"> ist i. d. R. möglich.</w:t>
      </w:r>
    </w:p>
    <w:p w14:paraId="6626C8FD" w14:textId="77777777" w:rsidR="00AE4EA7" w:rsidRDefault="00000000">
      <w:pPr>
        <w:pStyle w:val="Listenabsatz"/>
        <w:numPr>
          <w:ilvl w:val="0"/>
          <w:numId w:val="15"/>
        </w:numPr>
      </w:pPr>
      <w:r>
        <w:t>Nicht identifizierende Daten: alle anderen Daten, die weder direkte oder indirekte Identifikationsmerkmale darstellen.</w:t>
      </w:r>
    </w:p>
    <w:p w14:paraId="78F97902" w14:textId="12A0B3DE" w:rsidR="00AE4EA7" w:rsidRDefault="00000000">
      <w:r>
        <w:t xml:space="preserve">Gerade bei der Analyse der sogenannten indirekten Identifikationsmerkmale ist häufig eine individuelle, kontextbezogene Betrachtung erforderlich. So kann bspw. in einem Fall die Haarfarbe ein indirektes Identifikationsmerkmal darstellen, durch die eine Person eindeutig identifizierbar wird. In anderen Fällen beinhaltet das Datum „Haarfarbe“ vielleicht keine Re-Identifikationsmöglichkeit. Desgleichen können medizinische Bilddaten neben den zur Identifizierung geeigneten Metadaten (z. B. </w:t>
      </w:r>
      <w:r w:rsidRPr="004C1658">
        <w:t>DICOM</w:t>
      </w:r>
      <w:r>
        <w:t xml:space="preserve"> </w:t>
      </w:r>
      <w:r w:rsidRPr="004832F9">
        <w:t>StudyUID</w:t>
      </w:r>
      <w:r>
        <w:t>) auch in sich selbst eine Identifikationsmöglichkeit enthalten, z. B.</w:t>
      </w:r>
      <w:r w:rsidR="00383094">
        <w:t>,</w:t>
      </w:r>
      <w:r>
        <w:t xml:space="preserve"> wenn eine </w:t>
      </w:r>
      <w:r w:rsidRPr="004832F9">
        <w:t>3D-Rekonstruktion</w:t>
      </w:r>
      <w:r>
        <w:t xml:space="preserve"> des Kopfes eine Gesichtserkennung ermöglichen würde.</w:t>
      </w:r>
      <w:r w:rsidR="00383094">
        <w:t xml:space="preserve"> Es wird aktuell auch an automatisierten Verfahren zur Erkennung von indirekten Identifikationsmerkmalen gearbeitet</w:t>
      </w:r>
      <w:r w:rsidR="00383094">
        <w:rPr>
          <w:rStyle w:val="Funotenzeichen"/>
        </w:rPr>
        <w:footnoteReference w:id="80"/>
      </w:r>
      <w:r w:rsidR="00383094">
        <w:t>, sodass in Zukunft vielleicht auch hier automatisierte Verfahren bei der Erkennung unterstützen können.</w:t>
      </w:r>
    </w:p>
    <w:p w14:paraId="59261D58" w14:textId="77777777" w:rsidR="00AE4EA7" w:rsidRDefault="00000000">
      <w:pPr>
        <w:pStyle w:val="berschrift2"/>
      </w:pPr>
      <w:bookmarkStart w:id="137" w:name="_Toc154652625"/>
      <w:r>
        <w:t>Arten von Pseudonymen und ihre Unterscheidungsmöglichkeiten</w:t>
      </w:r>
      <w:bookmarkEnd w:id="137"/>
    </w:p>
    <w:p w14:paraId="2640AA1D" w14:textId="77777777" w:rsidR="00AE4EA7" w:rsidRDefault="00000000">
      <w:pPr>
        <w:spacing w:after="0"/>
      </w:pPr>
      <w:r>
        <w:t>Pseudonyme können einerseits durch den Inhaber der Zuordnungsregel unterschieden werden:</w:t>
      </w:r>
    </w:p>
    <w:p w14:paraId="19CAD8A7" w14:textId="77777777" w:rsidR="00AE4EA7" w:rsidRDefault="00000000">
      <w:pPr>
        <w:pStyle w:val="Listenabsatz"/>
        <w:numPr>
          <w:ilvl w:val="0"/>
          <w:numId w:val="10"/>
        </w:numPr>
        <w:jc w:val="left"/>
      </w:pPr>
      <w:r>
        <w:t>Pseudonyme werden ausschließlich vom Betroffenen selbst vergeben. Ein Beispiel hierfür ist der „Nickname“ des Nutzers im Chat.</w:t>
      </w:r>
    </w:p>
    <w:p w14:paraId="15E64866" w14:textId="5DB00E73" w:rsidR="00AE4EA7" w:rsidRDefault="00000000">
      <w:pPr>
        <w:pStyle w:val="Listenabsatz"/>
        <w:numPr>
          <w:ilvl w:val="0"/>
          <w:numId w:val="10"/>
        </w:numPr>
        <w:jc w:val="left"/>
      </w:pPr>
      <w:r>
        <w:t xml:space="preserve">Pseudonyme werden vom ursprünglichen Verarbeiter vergeben, wie dies beispielsweise bei der </w:t>
      </w:r>
      <w:r w:rsidRPr="004832F9">
        <w:t>IP-Adress-Vergabe</w:t>
      </w:r>
      <w:r>
        <w:t xml:space="preserve"> durch einen Internet-Provider erfolgt.</w:t>
      </w:r>
    </w:p>
    <w:p w14:paraId="3E7440B4" w14:textId="63DB6039" w:rsidR="00AE4EA7" w:rsidRDefault="00000000">
      <w:pPr>
        <w:pStyle w:val="Listenabsatz"/>
        <w:numPr>
          <w:ilvl w:val="0"/>
          <w:numId w:val="10"/>
        </w:numPr>
        <w:jc w:val="left"/>
      </w:pPr>
      <w:r>
        <w:t xml:space="preserve">Pseudonyme können von einem vertrauenswürdigen Dritten vergeben werden, wie dies beispielsweise häufig bei der Einschaltung einer sog. </w:t>
      </w:r>
      <w:r w:rsidRPr="004832F9">
        <w:t>Trusted-Third-Party</w:t>
      </w:r>
      <w:r>
        <w:t xml:space="preserve"> </w:t>
      </w:r>
      <w:r w:rsidR="00497C33">
        <w:t xml:space="preserve">(„Datentreuhänder“, siehe Abschnitt </w:t>
      </w:r>
      <w:r w:rsidR="00497C33">
        <w:fldChar w:fldCharType="begin"/>
      </w:r>
      <w:r w:rsidR="00497C33">
        <w:instrText xml:space="preserve"> REF _Ref153263717 \r \h </w:instrText>
      </w:r>
      <w:r w:rsidR="00497C33">
        <w:fldChar w:fldCharType="separate"/>
      </w:r>
      <w:r w:rsidR="00C9149F">
        <w:t>8.1.3</w:t>
      </w:r>
      <w:r w:rsidR="00497C33">
        <w:fldChar w:fldCharType="end"/>
      </w:r>
      <w:r w:rsidR="00497C33">
        <w:t xml:space="preserve">) </w:t>
      </w:r>
      <w:r>
        <w:t>in medizinischen Forschungsnetzen geschieht.</w:t>
      </w:r>
    </w:p>
    <w:p w14:paraId="0CE31674" w14:textId="4EBB4C61" w:rsidR="00AE4EA7" w:rsidRDefault="00000000">
      <w:pPr>
        <w:spacing w:after="0"/>
      </w:pPr>
      <w:r>
        <w:t xml:space="preserve">Eine </w:t>
      </w:r>
      <w:r w:rsidR="005B1D56">
        <w:t>weitere</w:t>
      </w:r>
      <w:r>
        <w:t xml:space="preserve"> Unterscheidungsmöglichkeit bzgl. Pseudonyme besteht in der Art ihrer </w:t>
      </w:r>
      <w:r w:rsidR="005B1D56">
        <w:t>Generierung</w:t>
      </w:r>
      <w:r>
        <w:t>:</w:t>
      </w:r>
    </w:p>
    <w:p w14:paraId="7EE12A8A" w14:textId="46272E63" w:rsidR="00AE4EA7" w:rsidRDefault="00000000">
      <w:pPr>
        <w:pStyle w:val="Listenabsatz"/>
        <w:numPr>
          <w:ilvl w:val="0"/>
          <w:numId w:val="11"/>
        </w:numPr>
      </w:pPr>
      <w:r>
        <w:t>Das Pseudonym wird durch eine schlüsselabhängige Einweg- oder Hashfunktion aus invarianten Daten (</w:t>
      </w:r>
      <w:r w:rsidR="00497C33">
        <w:t>z. B</w:t>
      </w:r>
      <w:r>
        <w:t>. Identitätsdaten) erzeugt.</w:t>
      </w:r>
    </w:p>
    <w:p w14:paraId="1F29FE80" w14:textId="77777777" w:rsidR="00AE4EA7" w:rsidRDefault="00000000">
      <w:pPr>
        <w:pStyle w:val="Listenabsatz"/>
        <w:numPr>
          <w:ilvl w:val="0"/>
          <w:numId w:val="11"/>
        </w:numPr>
      </w:pPr>
      <w:r>
        <w:t>Das Pseudonym wird (willkürlich) nach einem festen Einweg-Algorithmus vom Benutzer aus einem Geheimnis (z. B. Passphrase) erzeugt.</w:t>
      </w:r>
    </w:p>
    <w:p w14:paraId="29152C79" w14:textId="77777777" w:rsidR="00AE4EA7" w:rsidRDefault="00000000">
      <w:pPr>
        <w:pStyle w:val="Listenabsatz"/>
        <w:numPr>
          <w:ilvl w:val="0"/>
          <w:numId w:val="11"/>
        </w:numPr>
      </w:pPr>
      <w:r>
        <w:t>Das Pseudonym wird (zufällig) frei gewählt oder nach einem Zufallsverfahren erzeugt.</w:t>
      </w:r>
    </w:p>
    <w:p w14:paraId="2C57EBBC" w14:textId="77777777" w:rsidR="00AE4EA7" w:rsidRDefault="00000000">
      <w:pPr>
        <w:spacing w:after="0"/>
      </w:pPr>
      <w:r>
        <w:t xml:space="preserve">Eine dritte Unterscheidungsmöglichkeit bei Pseudonymen besteht in ihrer gesellschaftlichen Verwendung. Pseudonyme können </w:t>
      </w:r>
      <w:r w:rsidRPr="004832F9">
        <w:t>als</w:t>
      </w:r>
    </w:p>
    <w:p w14:paraId="43FB539A" w14:textId="77777777" w:rsidR="00AE4EA7" w:rsidRDefault="00000000">
      <w:pPr>
        <w:pStyle w:val="Listenabsatz"/>
        <w:numPr>
          <w:ilvl w:val="0"/>
          <w:numId w:val="5"/>
        </w:numPr>
      </w:pPr>
      <w:r>
        <w:t>Personenpseudonyme, z. B.</w:t>
      </w:r>
    </w:p>
    <w:p w14:paraId="1BC31FA7" w14:textId="77777777" w:rsidR="00AE4EA7" w:rsidRDefault="00000000">
      <w:pPr>
        <w:pStyle w:val="Listenabsatz"/>
        <w:numPr>
          <w:ilvl w:val="1"/>
          <w:numId w:val="5"/>
        </w:numPr>
      </w:pPr>
      <w:r>
        <w:t>Öffentliches Personenpseudonym (z. B. Telefonnummer)</w:t>
      </w:r>
    </w:p>
    <w:p w14:paraId="27A201F1" w14:textId="5AB36C6A" w:rsidR="00AE4EA7" w:rsidRDefault="00000000" w:rsidP="00586EE2">
      <w:pPr>
        <w:pStyle w:val="Listenabsatz"/>
        <w:numPr>
          <w:ilvl w:val="1"/>
          <w:numId w:val="5"/>
        </w:numPr>
        <w:spacing w:after="0"/>
      </w:pPr>
      <w:r>
        <w:t>Nichtöffentliches Personenpseudonym (z. B. Kontonummer</w:t>
      </w:r>
      <w:r w:rsidR="00AF2176">
        <w:t>,</w:t>
      </w:r>
      <w:r w:rsidR="00AF2176" w:rsidRPr="00AF2176">
        <w:t xml:space="preserve"> </w:t>
      </w:r>
      <w:r w:rsidR="00AF2176">
        <w:t>Probanden-ID in der medizinischen Forschung oder auch die Beschäftigten-ID</w:t>
      </w:r>
      <w:r>
        <w:t>)</w:t>
      </w:r>
    </w:p>
    <w:p w14:paraId="0D313DD7" w14:textId="77777777" w:rsidR="00AE4EA7" w:rsidRDefault="00000000">
      <w:pPr>
        <w:pStyle w:val="Listenabsatz"/>
        <w:numPr>
          <w:ilvl w:val="1"/>
          <w:numId w:val="5"/>
        </w:numPr>
        <w:spacing w:after="0"/>
        <w:ind w:left="1434" w:hanging="357"/>
      </w:pPr>
      <w:r>
        <w:t>Anonymes Personenpseudonym (z. B. Genom)</w:t>
      </w:r>
    </w:p>
    <w:p w14:paraId="351E18EE" w14:textId="77777777" w:rsidR="00AE4EA7" w:rsidRDefault="00000000">
      <w:pPr>
        <w:spacing w:after="0"/>
      </w:pPr>
      <w:r w:rsidRPr="004832F9">
        <w:t>oder</w:t>
      </w:r>
      <w:r>
        <w:t xml:space="preserve"> auch als</w:t>
      </w:r>
    </w:p>
    <w:p w14:paraId="5EAF224C" w14:textId="77777777" w:rsidR="00AE4EA7" w:rsidRDefault="00000000">
      <w:pPr>
        <w:pStyle w:val="Listenabsatz"/>
        <w:numPr>
          <w:ilvl w:val="0"/>
          <w:numId w:val="5"/>
        </w:numPr>
      </w:pPr>
      <w:r>
        <w:t>Rollenpseudonyme, wie beispielsweise</w:t>
      </w:r>
    </w:p>
    <w:p w14:paraId="7FC3B484" w14:textId="77777777" w:rsidR="00AE4EA7" w:rsidRDefault="00000000">
      <w:pPr>
        <w:pStyle w:val="Listenabsatz"/>
        <w:numPr>
          <w:ilvl w:val="1"/>
          <w:numId w:val="5"/>
        </w:numPr>
      </w:pPr>
      <w:r>
        <w:t>Geschäftsbeziehungspseudonym (z. B. Chat- Name)</w:t>
      </w:r>
    </w:p>
    <w:p w14:paraId="674A9FF0" w14:textId="5A0FE6DC" w:rsidR="00232822" w:rsidRDefault="00000000" w:rsidP="00586EE2">
      <w:pPr>
        <w:pStyle w:val="Listenabsatz"/>
        <w:numPr>
          <w:ilvl w:val="1"/>
          <w:numId w:val="5"/>
        </w:numPr>
        <w:spacing w:after="0"/>
        <w:ind w:left="1434" w:hanging="357"/>
      </w:pPr>
      <w:r>
        <w:t>Transaktionspseudonym (z. B. PIN, TAN)</w:t>
      </w:r>
    </w:p>
    <w:p w14:paraId="7761ABBB" w14:textId="573B17DD" w:rsidR="00232822" w:rsidRDefault="00232822" w:rsidP="00232822">
      <w:pPr>
        <w:spacing w:after="0"/>
      </w:pPr>
      <w:r w:rsidRPr="004832F9">
        <w:t>wie</w:t>
      </w:r>
      <w:r>
        <w:t xml:space="preserve"> auch als</w:t>
      </w:r>
    </w:p>
    <w:p w14:paraId="229FF949" w14:textId="76E7204A" w:rsidR="00232822" w:rsidRDefault="00232822" w:rsidP="00232822">
      <w:pPr>
        <w:pStyle w:val="Listenabsatz"/>
        <w:numPr>
          <w:ilvl w:val="0"/>
          <w:numId w:val="5"/>
        </w:numPr>
      </w:pPr>
      <w:r>
        <w:t>Mehrfachpseudonyme, wie beispielsweise</w:t>
      </w:r>
    </w:p>
    <w:p w14:paraId="746DA72B" w14:textId="1E411904" w:rsidR="00232822" w:rsidRDefault="00232822">
      <w:pPr>
        <w:pStyle w:val="Listenabsatz"/>
        <w:numPr>
          <w:ilvl w:val="1"/>
          <w:numId w:val="5"/>
        </w:numPr>
        <w:spacing w:after="0"/>
        <w:ind w:left="1434" w:hanging="357"/>
      </w:pPr>
      <w:r>
        <w:t>Gruppenpseudonyme, wo ein Pseudonym von mehr als einer natürlichen Person genutzt wird</w:t>
      </w:r>
      <w:r w:rsidR="00AF2176">
        <w:t xml:space="preserve"> </w:t>
      </w:r>
      <w:r w:rsidR="00AF2176" w:rsidRPr="004832F9">
        <w:t>oder</w:t>
      </w:r>
    </w:p>
    <w:p w14:paraId="5E34C421" w14:textId="05146E97" w:rsidR="00232822" w:rsidRDefault="00AF2176">
      <w:pPr>
        <w:pStyle w:val="Listenabsatz"/>
        <w:numPr>
          <w:ilvl w:val="1"/>
          <w:numId w:val="5"/>
        </w:numPr>
        <w:spacing w:after="0"/>
        <w:ind w:left="1434" w:hanging="357"/>
      </w:pPr>
      <w:r w:rsidRPr="004832F9">
        <w:t>ü</w:t>
      </w:r>
      <w:r w:rsidR="00232822" w:rsidRPr="004832F9">
        <w:t>bertragbare</w:t>
      </w:r>
      <w:r w:rsidR="00232822">
        <w:t xml:space="preserve"> Pseudonyme (wie z. B. </w:t>
      </w:r>
      <w:r w:rsidR="00232822" w:rsidRPr="004832F9">
        <w:t>Dynamische</w:t>
      </w:r>
      <w:r w:rsidR="00232822">
        <w:t xml:space="preserve"> IP-Adressen</w:t>
      </w:r>
      <w:r w:rsidR="00C10BB0">
        <w:t>)</w:t>
      </w:r>
    </w:p>
    <w:p w14:paraId="6DBBDAE4" w14:textId="77777777" w:rsidR="00AE4EA7" w:rsidRDefault="00000000">
      <w:r w:rsidRPr="004832F9">
        <w:t>genutzt</w:t>
      </w:r>
      <w:r>
        <w:t xml:space="preserve"> werden.</w:t>
      </w:r>
    </w:p>
    <w:p w14:paraId="5AC95742" w14:textId="77777777" w:rsidR="00AE4EA7" w:rsidRDefault="00000000">
      <w:pPr>
        <w:pStyle w:val="berschrift2"/>
      </w:pPr>
      <w:bookmarkStart w:id="138" w:name="_Toc154652626"/>
      <w:r>
        <w:t>Methoden zur Pseudonymisierung/Anonymisierung</w:t>
      </w:r>
      <w:bookmarkEnd w:id="138"/>
    </w:p>
    <w:p w14:paraId="792577AF" w14:textId="77777777" w:rsidR="00AE4EA7" w:rsidRDefault="00000000">
      <w:r>
        <w:t>Sowohl bei der Pseudonymisierung als auch bei der Anonymisierung gibt es unterschiedliche Methoden, die im Einzelfall danach evaluiert werden sollten, wie mit ihnen am besten der individuell verfolgte Zweck erreicht werden kann.</w:t>
      </w:r>
    </w:p>
    <w:p w14:paraId="2D6D6651" w14:textId="77777777" w:rsidR="00AE4EA7" w:rsidRDefault="00000000">
      <w:pPr>
        <w:pStyle w:val="berschrift3"/>
      </w:pPr>
      <w:bookmarkStart w:id="139" w:name="_Toc154652627"/>
      <w:r>
        <w:t>Nichtangabe</w:t>
      </w:r>
      <w:bookmarkEnd w:id="139"/>
    </w:p>
    <w:p w14:paraId="58FB0113" w14:textId="18593F12" w:rsidR="00AE4EA7" w:rsidRDefault="00000000">
      <w:r>
        <w:t>Das zu schützende Datum wird bei dieser Methode nicht verwendet, sondern weggelassen, z.</w:t>
      </w:r>
      <w:r w:rsidR="00497C33">
        <w:t> </w:t>
      </w:r>
      <w:r>
        <w:t>B. durch Löschung oder Nicht-Exportieren von Spalten einer Datenbank</w:t>
      </w:r>
      <w:r w:rsidR="005B1D56">
        <w:t>tabelle</w:t>
      </w:r>
      <w:r>
        <w:t xml:space="preserve"> oder auch von Teilbereichen der Werte.</w:t>
      </w:r>
    </w:p>
    <w:p w14:paraId="306512F7" w14:textId="13763E8C" w:rsidR="00AE4EA7" w:rsidRDefault="00000000">
      <w:pPr>
        <w:spacing w:after="0"/>
      </w:pPr>
      <w:r>
        <w:rPr>
          <w:b/>
        </w:rPr>
        <w:t>Beispiel:</w:t>
      </w:r>
      <w:r>
        <w:t xml:space="preserve"> Die Daten aus </w:t>
      </w:r>
      <w:r>
        <w:fldChar w:fldCharType="begin"/>
      </w:r>
      <w:r>
        <w:instrText xml:space="preserve"> REF _Ref512152891 \h </w:instrText>
      </w:r>
      <w:r>
        <w:fldChar w:fldCharType="separate"/>
      </w:r>
      <w:r w:rsidR="00C9149F">
        <w:t xml:space="preserve">Tabelle </w:t>
      </w:r>
      <w:r w:rsidR="00C9149F">
        <w:rPr>
          <w:noProof/>
        </w:rPr>
        <w:t>1</w:t>
      </w:r>
      <w:r>
        <w:fldChar w:fldCharType="end"/>
      </w:r>
      <w:r>
        <w:t xml:space="preserve"> wurden </w:t>
      </w:r>
      <w:r w:rsidR="00497C33">
        <w:t>entpersonalisiert, indem</w:t>
      </w:r>
      <w:r>
        <w:t xml:space="preserve"> Vorname und Nachname sowie Tag und </w:t>
      </w:r>
      <w:r w:rsidR="00D97F03">
        <w:t>Monat</w:t>
      </w:r>
      <w:r>
        <w:t xml:space="preserve"> beim Geburtsdatum </w:t>
      </w:r>
      <w:r w:rsidR="00497C33">
        <w:t>so</w:t>
      </w:r>
      <w:r>
        <w:t>wie d</w:t>
      </w:r>
      <w:r w:rsidR="00497C33">
        <w:t>i</w:t>
      </w:r>
      <w:r>
        <w:t xml:space="preserve">e letzten Ziffern </w:t>
      </w:r>
      <w:r w:rsidR="00B979F5">
        <w:t>der</w:t>
      </w:r>
      <w:r>
        <w:t xml:space="preserve"> </w:t>
      </w:r>
      <w:r w:rsidRPr="004832F9">
        <w:t>ICD</w:t>
      </w:r>
      <w:r w:rsidR="00B979F5" w:rsidRPr="004832F9">
        <w:t>-Kodierung</w:t>
      </w:r>
      <w:r w:rsidR="00B979F5" w:rsidRPr="00B979F5">
        <w:t xml:space="preserve"> (Reduzierung auf einen 3-stelligen </w:t>
      </w:r>
      <w:r w:rsidR="00B979F5">
        <w:t>Wert</w:t>
      </w:r>
      <w:r w:rsidR="00B979F5" w:rsidRPr="00B979F5">
        <w:t>)</w:t>
      </w:r>
      <w:r w:rsidR="00B979F5">
        <w:t xml:space="preserve"> </w:t>
      </w:r>
      <w:r w:rsidR="00497C33">
        <w:t>weggelassen wurden</w:t>
      </w:r>
      <w:r>
        <w:t>:</w:t>
      </w:r>
    </w:p>
    <w:tbl>
      <w:tblPr>
        <w:tblW w:w="4977" w:type="dxa"/>
        <w:tblInd w:w="55" w:type="dxa"/>
        <w:tblLayout w:type="fixed"/>
        <w:tblCellMar>
          <w:left w:w="70" w:type="dxa"/>
          <w:right w:w="70" w:type="dxa"/>
        </w:tblCellMar>
        <w:tblLook w:val="04A0" w:firstRow="1" w:lastRow="0" w:firstColumn="1" w:lastColumn="0" w:noHBand="0" w:noVBand="1"/>
      </w:tblPr>
      <w:tblGrid>
        <w:gridCol w:w="1141"/>
        <w:gridCol w:w="1568"/>
        <w:gridCol w:w="1135"/>
        <w:gridCol w:w="1133"/>
      </w:tblGrid>
      <w:tr w:rsidR="00AE4EA7" w14:paraId="7CCF2CBF" w14:textId="77777777">
        <w:trPr>
          <w:trHeight w:val="315"/>
          <w:tblHeader/>
        </w:trPr>
        <w:tc>
          <w:tcPr>
            <w:tcW w:w="11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955823"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Geschlecht</w:t>
            </w:r>
          </w:p>
        </w:tc>
        <w:tc>
          <w:tcPr>
            <w:tcW w:w="1568" w:type="dxa"/>
            <w:tcBorders>
              <w:top w:val="single" w:sz="8" w:space="0" w:color="000000"/>
              <w:bottom w:val="single" w:sz="8" w:space="0" w:color="000000"/>
              <w:right w:val="single" w:sz="8" w:space="0" w:color="000000"/>
            </w:tcBorders>
            <w:shd w:val="clear" w:color="auto" w:fill="auto"/>
            <w:vAlign w:val="center"/>
          </w:tcPr>
          <w:p w14:paraId="6C62F85A"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c>
          <w:tcPr>
            <w:tcW w:w="1135" w:type="dxa"/>
            <w:tcBorders>
              <w:top w:val="single" w:sz="8" w:space="0" w:color="000000"/>
              <w:bottom w:val="single" w:sz="8" w:space="0" w:color="000000"/>
              <w:right w:val="single" w:sz="8" w:space="0" w:color="000000"/>
            </w:tcBorders>
            <w:shd w:val="clear" w:color="auto" w:fill="auto"/>
            <w:vAlign w:val="center"/>
          </w:tcPr>
          <w:p w14:paraId="2BDE7308"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PLZ</w:t>
            </w:r>
          </w:p>
        </w:tc>
        <w:tc>
          <w:tcPr>
            <w:tcW w:w="1133" w:type="dxa"/>
            <w:tcBorders>
              <w:top w:val="single" w:sz="8" w:space="0" w:color="000000"/>
              <w:bottom w:val="single" w:sz="8" w:space="0" w:color="000000"/>
              <w:right w:val="single" w:sz="8" w:space="0" w:color="000000"/>
            </w:tcBorders>
            <w:shd w:val="clear" w:color="auto" w:fill="auto"/>
            <w:vAlign w:val="center"/>
          </w:tcPr>
          <w:p w14:paraId="0FEFC7C3"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ICD</w:t>
            </w:r>
          </w:p>
        </w:tc>
      </w:tr>
      <w:tr w:rsidR="00AE4EA7" w14:paraId="62D91D63"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32F4A255"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68" w:type="dxa"/>
            <w:tcBorders>
              <w:bottom w:val="single" w:sz="8" w:space="0" w:color="000000"/>
              <w:right w:val="single" w:sz="8" w:space="0" w:color="000000"/>
            </w:tcBorders>
            <w:shd w:val="clear" w:color="auto" w:fill="auto"/>
            <w:vAlign w:val="bottom"/>
          </w:tcPr>
          <w:p w14:paraId="6E0475F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1983</w:t>
            </w:r>
          </w:p>
        </w:tc>
        <w:tc>
          <w:tcPr>
            <w:tcW w:w="1135" w:type="dxa"/>
            <w:tcBorders>
              <w:bottom w:val="single" w:sz="8" w:space="0" w:color="000000"/>
              <w:right w:val="single" w:sz="8" w:space="0" w:color="000000"/>
            </w:tcBorders>
            <w:shd w:val="clear" w:color="auto" w:fill="auto"/>
            <w:vAlign w:val="bottom"/>
          </w:tcPr>
          <w:p w14:paraId="3C2E4B7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10115</w:t>
            </w:r>
          </w:p>
        </w:tc>
        <w:tc>
          <w:tcPr>
            <w:tcW w:w="1133" w:type="dxa"/>
            <w:tcBorders>
              <w:bottom w:val="single" w:sz="8" w:space="0" w:color="000000"/>
              <w:right w:val="single" w:sz="8" w:space="0" w:color="000000"/>
            </w:tcBorders>
            <w:shd w:val="clear" w:color="auto" w:fill="auto"/>
            <w:vAlign w:val="bottom"/>
          </w:tcPr>
          <w:p w14:paraId="5711D9B0"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C43</w:t>
            </w:r>
          </w:p>
        </w:tc>
      </w:tr>
      <w:tr w:rsidR="00AE4EA7" w14:paraId="7F4FBDFD"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3E4940B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68" w:type="dxa"/>
            <w:tcBorders>
              <w:bottom w:val="single" w:sz="8" w:space="0" w:color="000000"/>
              <w:right w:val="single" w:sz="8" w:space="0" w:color="000000"/>
            </w:tcBorders>
            <w:shd w:val="clear" w:color="auto" w:fill="auto"/>
            <w:vAlign w:val="bottom"/>
          </w:tcPr>
          <w:p w14:paraId="1B45BACD"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1965</w:t>
            </w:r>
          </w:p>
        </w:tc>
        <w:tc>
          <w:tcPr>
            <w:tcW w:w="1135" w:type="dxa"/>
            <w:tcBorders>
              <w:bottom w:val="single" w:sz="8" w:space="0" w:color="000000"/>
              <w:right w:val="single" w:sz="8" w:space="0" w:color="000000"/>
            </w:tcBorders>
            <w:shd w:val="clear" w:color="auto" w:fill="auto"/>
            <w:vAlign w:val="bottom"/>
          </w:tcPr>
          <w:p w14:paraId="5D1C150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10115</w:t>
            </w:r>
          </w:p>
        </w:tc>
        <w:tc>
          <w:tcPr>
            <w:tcW w:w="1133" w:type="dxa"/>
            <w:tcBorders>
              <w:bottom w:val="single" w:sz="8" w:space="0" w:color="000000"/>
              <w:right w:val="single" w:sz="8" w:space="0" w:color="000000"/>
            </w:tcBorders>
            <w:shd w:val="clear" w:color="auto" w:fill="auto"/>
            <w:vAlign w:val="bottom"/>
          </w:tcPr>
          <w:p w14:paraId="195F7D1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D22</w:t>
            </w:r>
          </w:p>
        </w:tc>
      </w:tr>
      <w:tr w:rsidR="00AE4EA7" w14:paraId="53F60BA8"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313887C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68" w:type="dxa"/>
            <w:tcBorders>
              <w:bottom w:val="single" w:sz="8" w:space="0" w:color="000000"/>
              <w:right w:val="single" w:sz="8" w:space="0" w:color="000000"/>
            </w:tcBorders>
            <w:shd w:val="clear" w:color="auto" w:fill="auto"/>
            <w:vAlign w:val="bottom"/>
          </w:tcPr>
          <w:p w14:paraId="60BE84BC"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1977</w:t>
            </w:r>
          </w:p>
        </w:tc>
        <w:tc>
          <w:tcPr>
            <w:tcW w:w="1135" w:type="dxa"/>
            <w:tcBorders>
              <w:bottom w:val="single" w:sz="8" w:space="0" w:color="000000"/>
              <w:right w:val="single" w:sz="8" w:space="0" w:color="000000"/>
            </w:tcBorders>
            <w:shd w:val="clear" w:color="auto" w:fill="auto"/>
            <w:vAlign w:val="bottom"/>
          </w:tcPr>
          <w:p w14:paraId="07F7022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10178</w:t>
            </w:r>
          </w:p>
        </w:tc>
        <w:tc>
          <w:tcPr>
            <w:tcW w:w="1133" w:type="dxa"/>
            <w:tcBorders>
              <w:bottom w:val="single" w:sz="8" w:space="0" w:color="000000"/>
              <w:right w:val="single" w:sz="8" w:space="0" w:color="000000"/>
            </w:tcBorders>
            <w:shd w:val="clear" w:color="auto" w:fill="auto"/>
            <w:vAlign w:val="bottom"/>
          </w:tcPr>
          <w:p w14:paraId="2A1A748D"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C85</w:t>
            </w:r>
          </w:p>
        </w:tc>
      </w:tr>
      <w:tr w:rsidR="00AE4EA7" w14:paraId="4470C60D"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2129FBFB"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68" w:type="dxa"/>
            <w:tcBorders>
              <w:bottom w:val="single" w:sz="8" w:space="0" w:color="000000"/>
              <w:right w:val="single" w:sz="8" w:space="0" w:color="000000"/>
            </w:tcBorders>
            <w:shd w:val="clear" w:color="auto" w:fill="auto"/>
            <w:vAlign w:val="bottom"/>
          </w:tcPr>
          <w:p w14:paraId="62B49EC1"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1981</w:t>
            </w:r>
          </w:p>
        </w:tc>
        <w:tc>
          <w:tcPr>
            <w:tcW w:w="1135" w:type="dxa"/>
            <w:tcBorders>
              <w:bottom w:val="single" w:sz="8" w:space="0" w:color="000000"/>
              <w:right w:val="single" w:sz="8" w:space="0" w:color="000000"/>
            </w:tcBorders>
            <w:shd w:val="clear" w:color="auto" w:fill="auto"/>
            <w:vAlign w:val="bottom"/>
          </w:tcPr>
          <w:p w14:paraId="463B3265"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10247</w:t>
            </w:r>
          </w:p>
        </w:tc>
        <w:tc>
          <w:tcPr>
            <w:tcW w:w="1133" w:type="dxa"/>
            <w:tcBorders>
              <w:bottom w:val="single" w:sz="8" w:space="0" w:color="000000"/>
              <w:right w:val="single" w:sz="8" w:space="0" w:color="000000"/>
            </w:tcBorders>
            <w:shd w:val="clear" w:color="auto" w:fill="auto"/>
            <w:vAlign w:val="bottom"/>
          </w:tcPr>
          <w:p w14:paraId="68093630"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D44</w:t>
            </w:r>
          </w:p>
        </w:tc>
      </w:tr>
      <w:tr w:rsidR="00AE4EA7" w14:paraId="249F2BE3"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356AA8C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68" w:type="dxa"/>
            <w:tcBorders>
              <w:bottom w:val="single" w:sz="8" w:space="0" w:color="000000"/>
              <w:right w:val="single" w:sz="8" w:space="0" w:color="000000"/>
            </w:tcBorders>
            <w:shd w:val="clear" w:color="auto" w:fill="auto"/>
            <w:vAlign w:val="bottom"/>
          </w:tcPr>
          <w:p w14:paraId="57DAB6A2"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1985</w:t>
            </w:r>
          </w:p>
        </w:tc>
        <w:tc>
          <w:tcPr>
            <w:tcW w:w="1135" w:type="dxa"/>
            <w:tcBorders>
              <w:bottom w:val="single" w:sz="8" w:space="0" w:color="000000"/>
              <w:right w:val="single" w:sz="8" w:space="0" w:color="000000"/>
            </w:tcBorders>
            <w:shd w:val="clear" w:color="auto" w:fill="auto"/>
            <w:vAlign w:val="bottom"/>
          </w:tcPr>
          <w:p w14:paraId="7C9D4FD9"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10319</w:t>
            </w:r>
          </w:p>
        </w:tc>
        <w:tc>
          <w:tcPr>
            <w:tcW w:w="1133" w:type="dxa"/>
            <w:tcBorders>
              <w:bottom w:val="single" w:sz="8" w:space="0" w:color="000000"/>
              <w:right w:val="single" w:sz="8" w:space="0" w:color="000000"/>
            </w:tcBorders>
            <w:shd w:val="clear" w:color="auto" w:fill="auto"/>
            <w:vAlign w:val="bottom"/>
          </w:tcPr>
          <w:p w14:paraId="3A0D205C"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C18</w:t>
            </w:r>
          </w:p>
        </w:tc>
      </w:tr>
      <w:tr w:rsidR="00AE4EA7" w14:paraId="381AE339"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09635B5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68" w:type="dxa"/>
            <w:tcBorders>
              <w:bottom w:val="single" w:sz="8" w:space="0" w:color="000000"/>
              <w:right w:val="single" w:sz="8" w:space="0" w:color="000000"/>
            </w:tcBorders>
            <w:shd w:val="clear" w:color="auto" w:fill="auto"/>
            <w:vAlign w:val="bottom"/>
          </w:tcPr>
          <w:p w14:paraId="43B4C59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1987</w:t>
            </w:r>
          </w:p>
        </w:tc>
        <w:tc>
          <w:tcPr>
            <w:tcW w:w="1135" w:type="dxa"/>
            <w:tcBorders>
              <w:bottom w:val="single" w:sz="8" w:space="0" w:color="000000"/>
              <w:right w:val="single" w:sz="8" w:space="0" w:color="000000"/>
            </w:tcBorders>
            <w:shd w:val="clear" w:color="auto" w:fill="auto"/>
            <w:vAlign w:val="bottom"/>
          </w:tcPr>
          <w:p w14:paraId="090D24A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10407</w:t>
            </w:r>
          </w:p>
        </w:tc>
        <w:tc>
          <w:tcPr>
            <w:tcW w:w="1133" w:type="dxa"/>
            <w:tcBorders>
              <w:bottom w:val="single" w:sz="8" w:space="0" w:color="000000"/>
              <w:right w:val="single" w:sz="8" w:space="0" w:color="000000"/>
            </w:tcBorders>
            <w:shd w:val="clear" w:color="auto" w:fill="auto"/>
            <w:vAlign w:val="bottom"/>
          </w:tcPr>
          <w:p w14:paraId="5843B245"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w:t>
            </w:r>
          </w:p>
        </w:tc>
      </w:tr>
      <w:tr w:rsidR="00AE4EA7" w14:paraId="1D020067"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7A8BD99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68" w:type="dxa"/>
            <w:tcBorders>
              <w:bottom w:val="single" w:sz="8" w:space="0" w:color="000000"/>
              <w:right w:val="single" w:sz="8" w:space="0" w:color="000000"/>
            </w:tcBorders>
            <w:shd w:val="clear" w:color="auto" w:fill="auto"/>
            <w:vAlign w:val="bottom"/>
          </w:tcPr>
          <w:p w14:paraId="62279EE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1988</w:t>
            </w:r>
          </w:p>
        </w:tc>
        <w:tc>
          <w:tcPr>
            <w:tcW w:w="1135" w:type="dxa"/>
            <w:tcBorders>
              <w:bottom w:val="single" w:sz="8" w:space="0" w:color="000000"/>
              <w:right w:val="single" w:sz="8" w:space="0" w:color="000000"/>
            </w:tcBorders>
            <w:shd w:val="clear" w:color="auto" w:fill="auto"/>
            <w:vAlign w:val="bottom"/>
          </w:tcPr>
          <w:p w14:paraId="250788A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10435</w:t>
            </w:r>
          </w:p>
        </w:tc>
        <w:tc>
          <w:tcPr>
            <w:tcW w:w="1133" w:type="dxa"/>
            <w:tcBorders>
              <w:bottom w:val="single" w:sz="8" w:space="0" w:color="000000"/>
              <w:right w:val="single" w:sz="8" w:space="0" w:color="000000"/>
            </w:tcBorders>
            <w:shd w:val="clear" w:color="auto" w:fill="auto"/>
            <w:vAlign w:val="bottom"/>
          </w:tcPr>
          <w:p w14:paraId="2D11C010"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C16</w:t>
            </w:r>
          </w:p>
        </w:tc>
      </w:tr>
      <w:tr w:rsidR="00AE4EA7" w14:paraId="1CBB4D91"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70D63A0B"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68" w:type="dxa"/>
            <w:tcBorders>
              <w:bottom w:val="single" w:sz="8" w:space="0" w:color="000000"/>
              <w:right w:val="single" w:sz="8" w:space="0" w:color="000000"/>
            </w:tcBorders>
            <w:shd w:val="clear" w:color="auto" w:fill="auto"/>
            <w:vAlign w:val="bottom"/>
          </w:tcPr>
          <w:p w14:paraId="657DB4E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1968</w:t>
            </w:r>
          </w:p>
        </w:tc>
        <w:tc>
          <w:tcPr>
            <w:tcW w:w="1135" w:type="dxa"/>
            <w:tcBorders>
              <w:bottom w:val="single" w:sz="8" w:space="0" w:color="000000"/>
              <w:right w:val="single" w:sz="8" w:space="0" w:color="000000"/>
            </w:tcBorders>
            <w:shd w:val="clear" w:color="auto" w:fill="auto"/>
            <w:vAlign w:val="bottom"/>
          </w:tcPr>
          <w:p w14:paraId="2291D3F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10439</w:t>
            </w:r>
          </w:p>
        </w:tc>
        <w:tc>
          <w:tcPr>
            <w:tcW w:w="1133" w:type="dxa"/>
            <w:tcBorders>
              <w:bottom w:val="single" w:sz="8" w:space="0" w:color="000000"/>
              <w:right w:val="single" w:sz="8" w:space="0" w:color="000000"/>
            </w:tcBorders>
            <w:shd w:val="clear" w:color="auto" w:fill="auto"/>
            <w:vAlign w:val="bottom"/>
          </w:tcPr>
          <w:p w14:paraId="4F7D8099"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w:t>
            </w:r>
          </w:p>
        </w:tc>
      </w:tr>
      <w:tr w:rsidR="00AE4EA7" w14:paraId="2759D252"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589B814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68" w:type="dxa"/>
            <w:tcBorders>
              <w:bottom w:val="single" w:sz="8" w:space="0" w:color="000000"/>
              <w:right w:val="single" w:sz="8" w:space="0" w:color="000000"/>
            </w:tcBorders>
            <w:shd w:val="clear" w:color="auto" w:fill="auto"/>
            <w:vAlign w:val="bottom"/>
          </w:tcPr>
          <w:p w14:paraId="60BC47B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1978</w:t>
            </w:r>
          </w:p>
        </w:tc>
        <w:tc>
          <w:tcPr>
            <w:tcW w:w="1135" w:type="dxa"/>
            <w:tcBorders>
              <w:bottom w:val="single" w:sz="8" w:space="0" w:color="000000"/>
              <w:right w:val="single" w:sz="8" w:space="0" w:color="000000"/>
            </w:tcBorders>
            <w:shd w:val="clear" w:color="auto" w:fill="auto"/>
            <w:vAlign w:val="bottom"/>
          </w:tcPr>
          <w:p w14:paraId="3217B15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10585</w:t>
            </w:r>
          </w:p>
        </w:tc>
        <w:tc>
          <w:tcPr>
            <w:tcW w:w="1133" w:type="dxa"/>
            <w:tcBorders>
              <w:bottom w:val="single" w:sz="8" w:space="0" w:color="000000"/>
              <w:right w:val="single" w:sz="8" w:space="0" w:color="000000"/>
            </w:tcBorders>
            <w:shd w:val="clear" w:color="auto" w:fill="auto"/>
            <w:vAlign w:val="bottom"/>
          </w:tcPr>
          <w:p w14:paraId="51FB0E20"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w:t>
            </w:r>
          </w:p>
        </w:tc>
      </w:tr>
      <w:tr w:rsidR="00AE4EA7" w14:paraId="14D19CA4"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3BE64E75"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68" w:type="dxa"/>
            <w:tcBorders>
              <w:bottom w:val="single" w:sz="8" w:space="0" w:color="000000"/>
              <w:right w:val="single" w:sz="8" w:space="0" w:color="000000"/>
            </w:tcBorders>
            <w:shd w:val="clear" w:color="auto" w:fill="auto"/>
            <w:vAlign w:val="bottom"/>
          </w:tcPr>
          <w:p w14:paraId="0D5CC0F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1969</w:t>
            </w:r>
          </w:p>
        </w:tc>
        <w:tc>
          <w:tcPr>
            <w:tcW w:w="1135" w:type="dxa"/>
            <w:tcBorders>
              <w:bottom w:val="single" w:sz="8" w:space="0" w:color="000000"/>
              <w:right w:val="single" w:sz="8" w:space="0" w:color="000000"/>
            </w:tcBorders>
            <w:shd w:val="clear" w:color="auto" w:fill="auto"/>
            <w:vAlign w:val="bottom"/>
          </w:tcPr>
          <w:p w14:paraId="3A636AC5"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10707</w:t>
            </w:r>
          </w:p>
        </w:tc>
        <w:tc>
          <w:tcPr>
            <w:tcW w:w="1133" w:type="dxa"/>
            <w:tcBorders>
              <w:bottom w:val="single" w:sz="8" w:space="0" w:color="000000"/>
              <w:right w:val="single" w:sz="8" w:space="0" w:color="000000"/>
            </w:tcBorders>
            <w:shd w:val="clear" w:color="auto" w:fill="auto"/>
            <w:vAlign w:val="bottom"/>
          </w:tcPr>
          <w:p w14:paraId="1303D366"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C91</w:t>
            </w:r>
          </w:p>
        </w:tc>
      </w:tr>
      <w:tr w:rsidR="00AE4EA7" w14:paraId="41382E98"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4872F5FA"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68" w:type="dxa"/>
            <w:tcBorders>
              <w:bottom w:val="single" w:sz="8" w:space="0" w:color="000000"/>
              <w:right w:val="single" w:sz="8" w:space="0" w:color="000000"/>
            </w:tcBorders>
            <w:shd w:val="clear" w:color="auto" w:fill="auto"/>
            <w:vAlign w:val="bottom"/>
          </w:tcPr>
          <w:p w14:paraId="7D534CB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1967</w:t>
            </w:r>
          </w:p>
        </w:tc>
        <w:tc>
          <w:tcPr>
            <w:tcW w:w="1135" w:type="dxa"/>
            <w:tcBorders>
              <w:bottom w:val="single" w:sz="8" w:space="0" w:color="000000"/>
              <w:right w:val="single" w:sz="8" w:space="0" w:color="000000"/>
            </w:tcBorders>
            <w:shd w:val="clear" w:color="auto" w:fill="auto"/>
            <w:vAlign w:val="bottom"/>
          </w:tcPr>
          <w:p w14:paraId="7FB2DA99"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10717</w:t>
            </w:r>
          </w:p>
        </w:tc>
        <w:tc>
          <w:tcPr>
            <w:tcW w:w="1133" w:type="dxa"/>
            <w:tcBorders>
              <w:bottom w:val="single" w:sz="8" w:space="0" w:color="000000"/>
              <w:right w:val="single" w:sz="8" w:space="0" w:color="000000"/>
            </w:tcBorders>
            <w:shd w:val="clear" w:color="auto" w:fill="auto"/>
            <w:vAlign w:val="bottom"/>
          </w:tcPr>
          <w:p w14:paraId="0B7922C9"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w:t>
            </w:r>
          </w:p>
        </w:tc>
      </w:tr>
      <w:tr w:rsidR="00AE4EA7" w14:paraId="678BBC08"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2360523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68" w:type="dxa"/>
            <w:tcBorders>
              <w:bottom w:val="single" w:sz="8" w:space="0" w:color="000000"/>
              <w:right w:val="single" w:sz="8" w:space="0" w:color="000000"/>
            </w:tcBorders>
            <w:shd w:val="clear" w:color="auto" w:fill="auto"/>
            <w:vAlign w:val="bottom"/>
          </w:tcPr>
          <w:p w14:paraId="413DD48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1991</w:t>
            </w:r>
          </w:p>
        </w:tc>
        <w:tc>
          <w:tcPr>
            <w:tcW w:w="1135" w:type="dxa"/>
            <w:tcBorders>
              <w:bottom w:val="single" w:sz="8" w:space="0" w:color="000000"/>
              <w:right w:val="single" w:sz="8" w:space="0" w:color="000000"/>
            </w:tcBorders>
            <w:shd w:val="clear" w:color="auto" w:fill="auto"/>
            <w:vAlign w:val="bottom"/>
          </w:tcPr>
          <w:p w14:paraId="7C0F17C1"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10717</w:t>
            </w:r>
          </w:p>
        </w:tc>
        <w:tc>
          <w:tcPr>
            <w:tcW w:w="1133" w:type="dxa"/>
            <w:tcBorders>
              <w:bottom w:val="single" w:sz="8" w:space="0" w:color="000000"/>
              <w:right w:val="single" w:sz="8" w:space="0" w:color="000000"/>
            </w:tcBorders>
            <w:shd w:val="clear" w:color="auto" w:fill="auto"/>
            <w:vAlign w:val="bottom"/>
          </w:tcPr>
          <w:p w14:paraId="6A0F49B6"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w:t>
            </w:r>
          </w:p>
        </w:tc>
      </w:tr>
      <w:tr w:rsidR="00AE4EA7" w14:paraId="239C80E6"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76B974D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68" w:type="dxa"/>
            <w:tcBorders>
              <w:bottom w:val="single" w:sz="8" w:space="0" w:color="000000"/>
              <w:right w:val="single" w:sz="8" w:space="0" w:color="000000"/>
            </w:tcBorders>
            <w:shd w:val="clear" w:color="auto" w:fill="auto"/>
            <w:vAlign w:val="bottom"/>
          </w:tcPr>
          <w:p w14:paraId="43C45890"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1987</w:t>
            </w:r>
          </w:p>
        </w:tc>
        <w:tc>
          <w:tcPr>
            <w:tcW w:w="1135" w:type="dxa"/>
            <w:tcBorders>
              <w:bottom w:val="single" w:sz="8" w:space="0" w:color="000000"/>
              <w:right w:val="single" w:sz="8" w:space="0" w:color="000000"/>
            </w:tcBorders>
            <w:shd w:val="clear" w:color="auto" w:fill="auto"/>
            <w:vAlign w:val="bottom"/>
          </w:tcPr>
          <w:p w14:paraId="5E865AE9"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10787</w:t>
            </w:r>
          </w:p>
        </w:tc>
        <w:tc>
          <w:tcPr>
            <w:tcW w:w="1133" w:type="dxa"/>
            <w:tcBorders>
              <w:bottom w:val="single" w:sz="8" w:space="0" w:color="000000"/>
              <w:right w:val="single" w:sz="8" w:space="0" w:color="000000"/>
            </w:tcBorders>
            <w:shd w:val="clear" w:color="auto" w:fill="auto"/>
            <w:vAlign w:val="bottom"/>
          </w:tcPr>
          <w:p w14:paraId="635A8B3D"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w:t>
            </w:r>
          </w:p>
        </w:tc>
      </w:tr>
      <w:tr w:rsidR="00AE4EA7" w14:paraId="6BCD4536"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4609B3F2"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68" w:type="dxa"/>
            <w:tcBorders>
              <w:bottom w:val="single" w:sz="8" w:space="0" w:color="000000"/>
              <w:right w:val="single" w:sz="8" w:space="0" w:color="000000"/>
            </w:tcBorders>
            <w:shd w:val="clear" w:color="auto" w:fill="auto"/>
            <w:vAlign w:val="bottom"/>
          </w:tcPr>
          <w:p w14:paraId="7D49342F"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1983</w:t>
            </w:r>
          </w:p>
        </w:tc>
        <w:tc>
          <w:tcPr>
            <w:tcW w:w="1135" w:type="dxa"/>
            <w:tcBorders>
              <w:bottom w:val="single" w:sz="8" w:space="0" w:color="000000"/>
              <w:right w:val="single" w:sz="8" w:space="0" w:color="000000"/>
            </w:tcBorders>
            <w:shd w:val="clear" w:color="auto" w:fill="auto"/>
            <w:vAlign w:val="bottom"/>
          </w:tcPr>
          <w:p w14:paraId="7C63F72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10827</w:t>
            </w:r>
          </w:p>
        </w:tc>
        <w:tc>
          <w:tcPr>
            <w:tcW w:w="1133" w:type="dxa"/>
            <w:tcBorders>
              <w:bottom w:val="single" w:sz="8" w:space="0" w:color="000000"/>
              <w:right w:val="single" w:sz="8" w:space="0" w:color="000000"/>
            </w:tcBorders>
            <w:shd w:val="clear" w:color="auto" w:fill="auto"/>
            <w:vAlign w:val="bottom"/>
          </w:tcPr>
          <w:p w14:paraId="220D1AE3"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w:t>
            </w:r>
          </w:p>
        </w:tc>
      </w:tr>
      <w:tr w:rsidR="00AE4EA7" w14:paraId="7FE68777" w14:textId="77777777">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3CE5252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68" w:type="dxa"/>
            <w:tcBorders>
              <w:bottom w:val="single" w:sz="8" w:space="0" w:color="000000"/>
              <w:right w:val="single" w:sz="8" w:space="0" w:color="000000"/>
            </w:tcBorders>
            <w:shd w:val="clear" w:color="auto" w:fill="auto"/>
            <w:vAlign w:val="bottom"/>
          </w:tcPr>
          <w:p w14:paraId="3DCEF873"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1975</w:t>
            </w:r>
          </w:p>
        </w:tc>
        <w:tc>
          <w:tcPr>
            <w:tcW w:w="1135" w:type="dxa"/>
            <w:tcBorders>
              <w:bottom w:val="single" w:sz="8" w:space="0" w:color="000000"/>
              <w:right w:val="single" w:sz="8" w:space="0" w:color="000000"/>
            </w:tcBorders>
            <w:shd w:val="clear" w:color="auto" w:fill="auto"/>
            <w:vAlign w:val="bottom"/>
          </w:tcPr>
          <w:p w14:paraId="481E1EDB"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10963</w:t>
            </w:r>
          </w:p>
        </w:tc>
        <w:tc>
          <w:tcPr>
            <w:tcW w:w="1133" w:type="dxa"/>
            <w:tcBorders>
              <w:bottom w:val="single" w:sz="8" w:space="0" w:color="000000"/>
              <w:right w:val="single" w:sz="8" w:space="0" w:color="000000"/>
            </w:tcBorders>
            <w:shd w:val="clear" w:color="auto" w:fill="auto"/>
            <w:vAlign w:val="bottom"/>
          </w:tcPr>
          <w:p w14:paraId="4692918C"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C83</w:t>
            </w:r>
          </w:p>
        </w:tc>
      </w:tr>
    </w:tbl>
    <w:p w14:paraId="49E7D7BE" w14:textId="02D7B700" w:rsidR="00AE4EA7" w:rsidRDefault="00000000">
      <w:pPr>
        <w:pStyle w:val="Beschriftung"/>
      </w:pPr>
      <w:bookmarkStart w:id="140" w:name="_Toc150540727"/>
      <w:bookmarkStart w:id="141" w:name="_Toc154606720"/>
      <w:r>
        <w:t xml:space="preserve">Tabelle </w:t>
      </w:r>
      <w:r>
        <w:fldChar w:fldCharType="begin"/>
      </w:r>
      <w:r>
        <w:instrText xml:space="preserve"> SEQ Tabelle \* ARABIC </w:instrText>
      </w:r>
      <w:r>
        <w:fldChar w:fldCharType="separate"/>
      </w:r>
      <w:r w:rsidR="00C9149F">
        <w:rPr>
          <w:noProof/>
        </w:rPr>
        <w:t>3</w:t>
      </w:r>
      <w:r>
        <w:rPr>
          <w:noProof/>
        </w:rPr>
        <w:fldChar w:fldCharType="end"/>
      </w:r>
      <w:r>
        <w:t>: Entpersonalisierung von Daten durch Nutzung der Methode der Nichtangabe</w:t>
      </w:r>
      <w:bookmarkEnd w:id="140"/>
      <w:bookmarkEnd w:id="141"/>
    </w:p>
    <w:p w14:paraId="5E4C6312" w14:textId="69962C61" w:rsidR="00AE4EA7" w:rsidRDefault="005B1D56">
      <w:pPr>
        <w:spacing w:after="0"/>
      </w:pPr>
      <w:r>
        <w:t xml:space="preserve">Dabei muss beachtet werden, dass sich durch </w:t>
      </w:r>
      <w:r w:rsidR="00497C33">
        <w:t>das Weglassen</w:t>
      </w:r>
      <w:r>
        <w:t xml:space="preserve"> von Teilbereichen auch die Information selbst ändert. So kann </w:t>
      </w:r>
      <w:r w:rsidR="00497C33">
        <w:t>z. B</w:t>
      </w:r>
      <w:r>
        <w:t xml:space="preserve">. die Reduzierung des </w:t>
      </w:r>
      <w:r w:rsidR="00497C33">
        <w:t>ICD-</w:t>
      </w:r>
      <w:r>
        <w:t>Wertes im obigen Beispiel zu einer ggf. nicht unerheblichen Änderung der Diagnosen führen:</w:t>
      </w:r>
    </w:p>
    <w:p w14:paraId="1AF6C665" w14:textId="77777777" w:rsidR="00C9149F" w:rsidRDefault="00C9149F">
      <w:r>
        <w:br w:type="page"/>
      </w:r>
    </w:p>
    <w:tbl>
      <w:tblPr>
        <w:tblW w:w="9087" w:type="dxa"/>
        <w:tblInd w:w="55" w:type="dxa"/>
        <w:tblLayout w:type="fixed"/>
        <w:tblCellMar>
          <w:left w:w="70" w:type="dxa"/>
          <w:right w:w="70" w:type="dxa"/>
        </w:tblCellMar>
        <w:tblLook w:val="04A0" w:firstRow="1" w:lastRow="0" w:firstColumn="1" w:lastColumn="0" w:noHBand="0" w:noVBand="1"/>
      </w:tblPr>
      <w:tblGrid>
        <w:gridCol w:w="724"/>
        <w:gridCol w:w="4111"/>
        <w:gridCol w:w="280"/>
        <w:gridCol w:w="3264"/>
        <w:gridCol w:w="708"/>
      </w:tblGrid>
      <w:tr w:rsidR="00AE4EA7" w14:paraId="0494C5FE" w14:textId="77777777">
        <w:trPr>
          <w:trHeight w:val="315"/>
          <w:tblHeader/>
        </w:trPr>
        <w:tc>
          <w:tcPr>
            <w:tcW w:w="4835" w:type="dxa"/>
            <w:gridSpan w:val="2"/>
            <w:tcBorders>
              <w:bottom w:val="single" w:sz="8" w:space="0" w:color="000000"/>
            </w:tcBorders>
            <w:shd w:val="clear" w:color="auto" w:fill="auto"/>
            <w:vAlign w:val="center"/>
          </w:tcPr>
          <w:p w14:paraId="33819B95" w14:textId="6422828A" w:rsidR="00AE4EA7" w:rsidRDefault="00000000">
            <w:pPr>
              <w:widowControl w:val="0"/>
              <w:spacing w:after="0" w:line="240" w:lineRule="auto"/>
              <w:jc w:val="center"/>
              <w:rPr>
                <w:rFonts w:ascii="Calibri" w:eastAsia="Times New Roman" w:hAnsi="Calibri" w:cs="Times New Roman"/>
                <w:b/>
                <w:bCs/>
                <w:color w:val="000000"/>
                <w:sz w:val="24"/>
                <w:szCs w:val="24"/>
                <w:lang w:eastAsia="de-DE"/>
              </w:rPr>
            </w:pPr>
            <w:r>
              <w:rPr>
                <w:rFonts w:eastAsia="Times New Roman" w:cs="Times New Roman"/>
                <w:b/>
                <w:bCs/>
                <w:color w:val="000000"/>
                <w:sz w:val="24"/>
                <w:szCs w:val="24"/>
                <w:lang w:eastAsia="de-DE"/>
              </w:rPr>
              <w:t>Original</w:t>
            </w:r>
          </w:p>
        </w:tc>
        <w:tc>
          <w:tcPr>
            <w:tcW w:w="280" w:type="dxa"/>
            <w:shd w:val="clear" w:color="auto" w:fill="auto"/>
            <w:vAlign w:val="bottom"/>
          </w:tcPr>
          <w:p w14:paraId="0E3A6824"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3972" w:type="dxa"/>
            <w:gridSpan w:val="2"/>
            <w:tcBorders>
              <w:bottom w:val="single" w:sz="8" w:space="0" w:color="000000"/>
            </w:tcBorders>
            <w:shd w:val="clear" w:color="auto" w:fill="auto"/>
            <w:vAlign w:val="center"/>
          </w:tcPr>
          <w:p w14:paraId="71B9EBB7" w14:textId="77777777" w:rsidR="00AE4EA7" w:rsidRDefault="00000000">
            <w:pPr>
              <w:widowControl w:val="0"/>
              <w:spacing w:after="0" w:line="240" w:lineRule="auto"/>
              <w:jc w:val="center"/>
              <w:rPr>
                <w:rFonts w:ascii="Calibri" w:eastAsia="Times New Roman" w:hAnsi="Calibri" w:cs="Times New Roman"/>
                <w:b/>
                <w:bCs/>
                <w:color w:val="000000"/>
                <w:sz w:val="24"/>
                <w:szCs w:val="24"/>
                <w:lang w:eastAsia="de-DE"/>
              </w:rPr>
            </w:pPr>
            <w:r>
              <w:rPr>
                <w:rFonts w:eastAsia="Times New Roman" w:cs="Times New Roman"/>
                <w:b/>
                <w:bCs/>
                <w:color w:val="000000"/>
                <w:sz w:val="24"/>
                <w:szCs w:val="24"/>
                <w:lang w:eastAsia="de-DE"/>
              </w:rPr>
              <w:t>Nichtangabe</w:t>
            </w:r>
          </w:p>
        </w:tc>
      </w:tr>
      <w:tr w:rsidR="00AE4EA7" w14:paraId="7647BD64" w14:textId="77777777">
        <w:trPr>
          <w:trHeight w:val="315"/>
          <w:tblHeader/>
        </w:trPr>
        <w:tc>
          <w:tcPr>
            <w:tcW w:w="724" w:type="dxa"/>
            <w:tcBorders>
              <w:left w:val="single" w:sz="8" w:space="0" w:color="000000"/>
              <w:bottom w:val="single" w:sz="8" w:space="0" w:color="000000"/>
              <w:right w:val="single" w:sz="8" w:space="0" w:color="000000"/>
            </w:tcBorders>
            <w:shd w:val="clear" w:color="auto" w:fill="auto"/>
            <w:vAlign w:val="center"/>
          </w:tcPr>
          <w:p w14:paraId="5A7C5426"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ICD</w:t>
            </w:r>
          </w:p>
        </w:tc>
        <w:tc>
          <w:tcPr>
            <w:tcW w:w="4111" w:type="dxa"/>
            <w:tcBorders>
              <w:bottom w:val="single" w:sz="8" w:space="0" w:color="000000"/>
              <w:right w:val="single" w:sz="8" w:space="0" w:color="000000"/>
            </w:tcBorders>
            <w:shd w:val="clear" w:color="auto" w:fill="auto"/>
            <w:vAlign w:val="center"/>
          </w:tcPr>
          <w:p w14:paraId="6EB51C74"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Diagnose</w:t>
            </w:r>
          </w:p>
        </w:tc>
        <w:tc>
          <w:tcPr>
            <w:tcW w:w="280" w:type="dxa"/>
            <w:shd w:val="clear" w:color="auto" w:fill="auto"/>
            <w:vAlign w:val="center"/>
          </w:tcPr>
          <w:p w14:paraId="35118880" w14:textId="77777777" w:rsidR="00AE4EA7" w:rsidRDefault="00AE4EA7">
            <w:pPr>
              <w:widowControl w:val="0"/>
              <w:spacing w:after="0" w:line="240" w:lineRule="auto"/>
              <w:jc w:val="center"/>
              <w:rPr>
                <w:rFonts w:ascii="Calibri" w:eastAsia="Times New Roman" w:hAnsi="Calibri" w:cs="Times New Roman"/>
                <w:b/>
                <w:bCs/>
                <w:color w:val="000000"/>
                <w:lang w:eastAsia="de-DE"/>
              </w:rPr>
            </w:pPr>
          </w:p>
        </w:tc>
        <w:tc>
          <w:tcPr>
            <w:tcW w:w="3264" w:type="dxa"/>
            <w:tcBorders>
              <w:left w:val="single" w:sz="8" w:space="0" w:color="000000"/>
              <w:bottom w:val="single" w:sz="8" w:space="0" w:color="000000"/>
              <w:right w:val="single" w:sz="8" w:space="0" w:color="000000"/>
            </w:tcBorders>
            <w:shd w:val="clear" w:color="auto" w:fill="auto"/>
            <w:vAlign w:val="center"/>
          </w:tcPr>
          <w:p w14:paraId="7CAE61CD"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Diagnose</w:t>
            </w:r>
          </w:p>
        </w:tc>
        <w:tc>
          <w:tcPr>
            <w:tcW w:w="708" w:type="dxa"/>
            <w:tcBorders>
              <w:bottom w:val="single" w:sz="8" w:space="0" w:color="000000"/>
              <w:right w:val="single" w:sz="8" w:space="0" w:color="000000"/>
            </w:tcBorders>
            <w:shd w:val="clear" w:color="auto" w:fill="auto"/>
            <w:vAlign w:val="center"/>
          </w:tcPr>
          <w:p w14:paraId="48EAE45E"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ICD</w:t>
            </w:r>
          </w:p>
        </w:tc>
      </w:tr>
      <w:tr w:rsidR="00AE4EA7" w14:paraId="113310C1" w14:textId="77777777">
        <w:trPr>
          <w:trHeight w:val="315"/>
        </w:trPr>
        <w:tc>
          <w:tcPr>
            <w:tcW w:w="724" w:type="dxa"/>
            <w:tcBorders>
              <w:left w:val="single" w:sz="8" w:space="0" w:color="000000"/>
              <w:bottom w:val="single" w:sz="8" w:space="0" w:color="000000"/>
              <w:right w:val="single" w:sz="8" w:space="0" w:color="000000"/>
            </w:tcBorders>
            <w:shd w:val="clear" w:color="auto" w:fill="auto"/>
          </w:tcPr>
          <w:p w14:paraId="39399DF7"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C16.3</w:t>
            </w:r>
          </w:p>
        </w:tc>
        <w:tc>
          <w:tcPr>
            <w:tcW w:w="4111" w:type="dxa"/>
            <w:tcBorders>
              <w:bottom w:val="single" w:sz="8" w:space="0" w:color="000000"/>
              <w:right w:val="single" w:sz="8" w:space="0" w:color="000000"/>
            </w:tcBorders>
            <w:shd w:val="clear" w:color="auto" w:fill="auto"/>
          </w:tcPr>
          <w:p w14:paraId="726DD14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 xml:space="preserve">Bösartige Neubildung: Antrum </w:t>
            </w:r>
            <w:r w:rsidRPr="004832F9">
              <w:rPr>
                <w:rFonts w:eastAsia="Times New Roman" w:cs="Times New Roman"/>
                <w:color w:val="000000"/>
                <w:lang w:eastAsia="de-DE"/>
              </w:rPr>
              <w:t>pyloricum</w:t>
            </w:r>
          </w:p>
        </w:tc>
        <w:tc>
          <w:tcPr>
            <w:tcW w:w="280" w:type="dxa"/>
            <w:shd w:val="clear" w:color="auto" w:fill="auto"/>
          </w:tcPr>
          <w:p w14:paraId="7A02E570"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3264" w:type="dxa"/>
            <w:tcBorders>
              <w:left w:val="single" w:sz="8" w:space="0" w:color="000000"/>
              <w:bottom w:val="single" w:sz="8" w:space="0" w:color="000000"/>
              <w:right w:val="single" w:sz="8" w:space="0" w:color="000000"/>
            </w:tcBorders>
            <w:shd w:val="clear" w:color="auto" w:fill="auto"/>
          </w:tcPr>
          <w:p w14:paraId="5C28E6B5"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Bösartige Neubildung des Magens</w:t>
            </w:r>
          </w:p>
        </w:tc>
        <w:tc>
          <w:tcPr>
            <w:tcW w:w="708" w:type="dxa"/>
            <w:tcBorders>
              <w:bottom w:val="single" w:sz="8" w:space="0" w:color="000000"/>
              <w:right w:val="single" w:sz="8" w:space="0" w:color="000000"/>
            </w:tcBorders>
            <w:shd w:val="clear" w:color="auto" w:fill="auto"/>
          </w:tcPr>
          <w:p w14:paraId="282792A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C16</w:t>
            </w:r>
          </w:p>
        </w:tc>
      </w:tr>
      <w:tr w:rsidR="00AE4EA7" w14:paraId="61162D7E" w14:textId="77777777">
        <w:trPr>
          <w:trHeight w:val="315"/>
        </w:trPr>
        <w:tc>
          <w:tcPr>
            <w:tcW w:w="724" w:type="dxa"/>
            <w:tcBorders>
              <w:left w:val="single" w:sz="8" w:space="0" w:color="000000"/>
              <w:bottom w:val="single" w:sz="8" w:space="0" w:color="000000"/>
              <w:right w:val="single" w:sz="8" w:space="0" w:color="000000"/>
            </w:tcBorders>
            <w:shd w:val="clear" w:color="auto" w:fill="auto"/>
          </w:tcPr>
          <w:p w14:paraId="6F167308"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C18.4</w:t>
            </w:r>
          </w:p>
        </w:tc>
        <w:tc>
          <w:tcPr>
            <w:tcW w:w="4111" w:type="dxa"/>
            <w:tcBorders>
              <w:bottom w:val="single" w:sz="8" w:space="0" w:color="000000"/>
              <w:right w:val="single" w:sz="8" w:space="0" w:color="000000"/>
            </w:tcBorders>
            <w:shd w:val="clear" w:color="auto" w:fill="auto"/>
          </w:tcPr>
          <w:p w14:paraId="4B47FF9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 xml:space="preserve">Bösartige Neubildung: Colon </w:t>
            </w:r>
            <w:r w:rsidRPr="004832F9">
              <w:rPr>
                <w:rFonts w:eastAsia="Times New Roman" w:cs="Times New Roman"/>
                <w:color w:val="000000"/>
                <w:lang w:eastAsia="de-DE"/>
              </w:rPr>
              <w:t>transversum</w:t>
            </w:r>
          </w:p>
        </w:tc>
        <w:tc>
          <w:tcPr>
            <w:tcW w:w="280" w:type="dxa"/>
            <w:shd w:val="clear" w:color="auto" w:fill="auto"/>
          </w:tcPr>
          <w:p w14:paraId="2424AC68"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3264" w:type="dxa"/>
            <w:tcBorders>
              <w:left w:val="single" w:sz="8" w:space="0" w:color="000000"/>
              <w:bottom w:val="single" w:sz="8" w:space="0" w:color="000000"/>
              <w:right w:val="single" w:sz="8" w:space="0" w:color="000000"/>
            </w:tcBorders>
            <w:shd w:val="clear" w:color="auto" w:fill="auto"/>
          </w:tcPr>
          <w:p w14:paraId="2DF6CAE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Bösartige Neubildung des Kolons</w:t>
            </w:r>
          </w:p>
        </w:tc>
        <w:tc>
          <w:tcPr>
            <w:tcW w:w="708" w:type="dxa"/>
            <w:tcBorders>
              <w:bottom w:val="single" w:sz="8" w:space="0" w:color="000000"/>
              <w:right w:val="single" w:sz="8" w:space="0" w:color="000000"/>
            </w:tcBorders>
            <w:shd w:val="clear" w:color="auto" w:fill="auto"/>
          </w:tcPr>
          <w:p w14:paraId="6FD1DCF2"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C18</w:t>
            </w:r>
          </w:p>
        </w:tc>
      </w:tr>
      <w:tr w:rsidR="00AE4EA7" w14:paraId="41D5D5C5" w14:textId="77777777">
        <w:trPr>
          <w:trHeight w:val="315"/>
        </w:trPr>
        <w:tc>
          <w:tcPr>
            <w:tcW w:w="724" w:type="dxa"/>
            <w:tcBorders>
              <w:left w:val="single" w:sz="8" w:space="0" w:color="000000"/>
              <w:bottom w:val="single" w:sz="8" w:space="0" w:color="000000"/>
              <w:right w:val="single" w:sz="8" w:space="0" w:color="000000"/>
            </w:tcBorders>
            <w:shd w:val="clear" w:color="auto" w:fill="auto"/>
          </w:tcPr>
          <w:p w14:paraId="2ADC2519"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C50.1</w:t>
            </w:r>
          </w:p>
        </w:tc>
        <w:tc>
          <w:tcPr>
            <w:tcW w:w="4111" w:type="dxa"/>
            <w:tcBorders>
              <w:bottom w:val="single" w:sz="8" w:space="0" w:color="000000"/>
              <w:right w:val="single" w:sz="8" w:space="0" w:color="000000"/>
            </w:tcBorders>
            <w:shd w:val="clear" w:color="auto" w:fill="auto"/>
          </w:tcPr>
          <w:p w14:paraId="5A88004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 xml:space="preserve">Bösartige Neubildung: </w:t>
            </w:r>
            <w:r w:rsidRPr="004832F9">
              <w:rPr>
                <w:rFonts w:eastAsia="Times New Roman" w:cs="Times New Roman"/>
                <w:color w:val="000000"/>
                <w:lang w:eastAsia="de-DE"/>
              </w:rPr>
              <w:t>Zentraler</w:t>
            </w:r>
            <w:r>
              <w:rPr>
                <w:rFonts w:eastAsia="Times New Roman" w:cs="Times New Roman"/>
                <w:color w:val="000000"/>
                <w:lang w:eastAsia="de-DE"/>
              </w:rPr>
              <w:t xml:space="preserve"> Drüsenkörper der Brustdrüse</w:t>
            </w:r>
          </w:p>
        </w:tc>
        <w:tc>
          <w:tcPr>
            <w:tcW w:w="280" w:type="dxa"/>
            <w:shd w:val="clear" w:color="auto" w:fill="auto"/>
          </w:tcPr>
          <w:p w14:paraId="2E7EA517"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3264" w:type="dxa"/>
            <w:tcBorders>
              <w:left w:val="single" w:sz="8" w:space="0" w:color="000000"/>
              <w:bottom w:val="single" w:sz="8" w:space="0" w:color="000000"/>
              <w:right w:val="single" w:sz="8" w:space="0" w:color="000000"/>
            </w:tcBorders>
            <w:shd w:val="clear" w:color="auto" w:fill="auto"/>
          </w:tcPr>
          <w:p w14:paraId="4B90374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Bösartige Neubildung der Brustdrüse</w:t>
            </w:r>
          </w:p>
        </w:tc>
        <w:tc>
          <w:tcPr>
            <w:tcW w:w="708" w:type="dxa"/>
            <w:tcBorders>
              <w:bottom w:val="single" w:sz="8" w:space="0" w:color="000000"/>
              <w:right w:val="single" w:sz="8" w:space="0" w:color="000000"/>
            </w:tcBorders>
            <w:shd w:val="clear" w:color="auto" w:fill="auto"/>
          </w:tcPr>
          <w:p w14:paraId="76A5630D"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w:t>
            </w:r>
          </w:p>
        </w:tc>
      </w:tr>
      <w:tr w:rsidR="00AE4EA7" w14:paraId="07E70CBC" w14:textId="77777777">
        <w:trPr>
          <w:trHeight w:val="315"/>
        </w:trPr>
        <w:tc>
          <w:tcPr>
            <w:tcW w:w="724" w:type="dxa"/>
            <w:tcBorders>
              <w:left w:val="single" w:sz="8" w:space="0" w:color="000000"/>
              <w:bottom w:val="single" w:sz="8" w:space="0" w:color="000000"/>
              <w:right w:val="single" w:sz="8" w:space="0" w:color="000000"/>
            </w:tcBorders>
            <w:shd w:val="clear" w:color="auto" w:fill="auto"/>
          </w:tcPr>
          <w:p w14:paraId="4376BDB5"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C50.3</w:t>
            </w:r>
          </w:p>
        </w:tc>
        <w:tc>
          <w:tcPr>
            <w:tcW w:w="4111" w:type="dxa"/>
            <w:tcBorders>
              <w:bottom w:val="single" w:sz="8" w:space="0" w:color="000000"/>
              <w:right w:val="single" w:sz="8" w:space="0" w:color="000000"/>
            </w:tcBorders>
            <w:shd w:val="clear" w:color="auto" w:fill="auto"/>
          </w:tcPr>
          <w:p w14:paraId="3D58AC1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 xml:space="preserve">Bösartige Neubildung unterer innerer </w:t>
            </w:r>
            <w:r w:rsidRPr="004832F9">
              <w:rPr>
                <w:rFonts w:eastAsia="Times New Roman" w:cs="Times New Roman"/>
                <w:color w:val="000000"/>
                <w:lang w:eastAsia="de-DE"/>
              </w:rPr>
              <w:t>Quadrant Brustdrüse</w:t>
            </w:r>
          </w:p>
        </w:tc>
        <w:tc>
          <w:tcPr>
            <w:tcW w:w="280" w:type="dxa"/>
            <w:shd w:val="clear" w:color="auto" w:fill="auto"/>
          </w:tcPr>
          <w:p w14:paraId="0DCF8278"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3264" w:type="dxa"/>
            <w:tcBorders>
              <w:left w:val="single" w:sz="8" w:space="0" w:color="000000"/>
              <w:bottom w:val="single" w:sz="8" w:space="0" w:color="000000"/>
              <w:right w:val="single" w:sz="8" w:space="0" w:color="000000"/>
            </w:tcBorders>
            <w:shd w:val="clear" w:color="auto" w:fill="auto"/>
          </w:tcPr>
          <w:p w14:paraId="6CCCF65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Bösartige Neubildung der Brustdrüse</w:t>
            </w:r>
          </w:p>
        </w:tc>
        <w:tc>
          <w:tcPr>
            <w:tcW w:w="708" w:type="dxa"/>
            <w:tcBorders>
              <w:bottom w:val="single" w:sz="8" w:space="0" w:color="000000"/>
              <w:right w:val="single" w:sz="8" w:space="0" w:color="000000"/>
            </w:tcBorders>
            <w:shd w:val="clear" w:color="auto" w:fill="auto"/>
          </w:tcPr>
          <w:p w14:paraId="0E12F253"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w:t>
            </w:r>
          </w:p>
        </w:tc>
      </w:tr>
      <w:tr w:rsidR="00AE4EA7" w14:paraId="48222B1D" w14:textId="77777777">
        <w:trPr>
          <w:trHeight w:val="315"/>
        </w:trPr>
        <w:tc>
          <w:tcPr>
            <w:tcW w:w="724" w:type="dxa"/>
            <w:tcBorders>
              <w:left w:val="single" w:sz="8" w:space="0" w:color="000000"/>
              <w:bottom w:val="single" w:sz="8" w:space="0" w:color="000000"/>
              <w:right w:val="single" w:sz="8" w:space="0" w:color="000000"/>
            </w:tcBorders>
            <w:shd w:val="clear" w:color="auto" w:fill="auto"/>
          </w:tcPr>
          <w:p w14:paraId="45E02CB6"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C83.0</w:t>
            </w:r>
          </w:p>
        </w:tc>
        <w:tc>
          <w:tcPr>
            <w:tcW w:w="4111" w:type="dxa"/>
            <w:tcBorders>
              <w:bottom w:val="single" w:sz="8" w:space="0" w:color="000000"/>
              <w:right w:val="single" w:sz="8" w:space="0" w:color="000000"/>
            </w:tcBorders>
            <w:shd w:val="clear" w:color="auto" w:fill="auto"/>
          </w:tcPr>
          <w:p w14:paraId="4420269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 xml:space="preserve">Non-Hodgkin-Lymphom: </w:t>
            </w:r>
            <w:r w:rsidRPr="004832F9">
              <w:rPr>
                <w:rFonts w:eastAsia="Times New Roman" w:cs="Times New Roman"/>
                <w:color w:val="000000"/>
                <w:lang w:eastAsia="de-DE"/>
              </w:rPr>
              <w:t>Kleinzellig</w:t>
            </w:r>
            <w:r>
              <w:rPr>
                <w:rFonts w:eastAsia="Times New Roman" w:cs="Times New Roman"/>
                <w:color w:val="000000"/>
                <w:lang w:eastAsia="de-DE"/>
              </w:rPr>
              <w:t xml:space="preserve"> (diffus)</w:t>
            </w:r>
          </w:p>
        </w:tc>
        <w:tc>
          <w:tcPr>
            <w:tcW w:w="280" w:type="dxa"/>
            <w:shd w:val="clear" w:color="auto" w:fill="auto"/>
          </w:tcPr>
          <w:p w14:paraId="20758550"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3264" w:type="dxa"/>
            <w:tcBorders>
              <w:left w:val="single" w:sz="8" w:space="0" w:color="000000"/>
              <w:bottom w:val="single" w:sz="8" w:space="0" w:color="000000"/>
              <w:right w:val="single" w:sz="8" w:space="0" w:color="000000"/>
            </w:tcBorders>
            <w:shd w:val="clear" w:color="auto" w:fill="auto"/>
          </w:tcPr>
          <w:p w14:paraId="57881DB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Nicht follikuläres Lymphom</w:t>
            </w:r>
          </w:p>
        </w:tc>
        <w:tc>
          <w:tcPr>
            <w:tcW w:w="708" w:type="dxa"/>
            <w:tcBorders>
              <w:bottom w:val="single" w:sz="8" w:space="0" w:color="000000"/>
              <w:right w:val="single" w:sz="8" w:space="0" w:color="000000"/>
            </w:tcBorders>
            <w:shd w:val="clear" w:color="auto" w:fill="auto"/>
          </w:tcPr>
          <w:p w14:paraId="1BE8AC2E"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C83</w:t>
            </w:r>
          </w:p>
        </w:tc>
      </w:tr>
      <w:tr w:rsidR="00AE4EA7" w14:paraId="1FD883FB" w14:textId="77777777">
        <w:trPr>
          <w:trHeight w:val="315"/>
        </w:trPr>
        <w:tc>
          <w:tcPr>
            <w:tcW w:w="724" w:type="dxa"/>
            <w:tcBorders>
              <w:left w:val="single" w:sz="8" w:space="0" w:color="000000"/>
              <w:bottom w:val="single" w:sz="8" w:space="0" w:color="000000"/>
              <w:right w:val="single" w:sz="8" w:space="0" w:color="000000"/>
            </w:tcBorders>
            <w:shd w:val="clear" w:color="auto" w:fill="auto"/>
          </w:tcPr>
          <w:p w14:paraId="61DCDF89"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D12.6</w:t>
            </w:r>
          </w:p>
        </w:tc>
        <w:tc>
          <w:tcPr>
            <w:tcW w:w="4111" w:type="dxa"/>
            <w:tcBorders>
              <w:bottom w:val="single" w:sz="8" w:space="0" w:color="000000"/>
              <w:right w:val="single" w:sz="8" w:space="0" w:color="000000"/>
            </w:tcBorders>
            <w:shd w:val="clear" w:color="auto" w:fill="auto"/>
          </w:tcPr>
          <w:p w14:paraId="7178691A"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 xml:space="preserve">Gutartige Neubildung: Kolon, nicht näher </w:t>
            </w:r>
            <w:r w:rsidRPr="004832F9">
              <w:rPr>
                <w:rFonts w:eastAsia="Times New Roman" w:cs="Times New Roman"/>
                <w:color w:val="000000"/>
                <w:lang w:eastAsia="de-DE"/>
              </w:rPr>
              <w:t>bezeichnet</w:t>
            </w:r>
          </w:p>
        </w:tc>
        <w:tc>
          <w:tcPr>
            <w:tcW w:w="280" w:type="dxa"/>
            <w:shd w:val="clear" w:color="auto" w:fill="auto"/>
          </w:tcPr>
          <w:p w14:paraId="3364FE96"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3264" w:type="dxa"/>
            <w:tcBorders>
              <w:left w:val="single" w:sz="8" w:space="0" w:color="000000"/>
              <w:bottom w:val="single" w:sz="8" w:space="0" w:color="000000"/>
              <w:right w:val="single" w:sz="8" w:space="0" w:color="000000"/>
            </w:tcBorders>
            <w:shd w:val="clear" w:color="auto" w:fill="auto"/>
          </w:tcPr>
          <w:p w14:paraId="448788F3"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 xml:space="preserve">Gutartige Neubildung des Kolons, des Rektums, des </w:t>
            </w:r>
            <w:r w:rsidRPr="004832F9">
              <w:rPr>
                <w:rFonts w:eastAsia="Times New Roman" w:cs="Times New Roman"/>
                <w:color w:val="000000"/>
                <w:lang w:eastAsia="de-DE"/>
              </w:rPr>
              <w:t>Analkanals</w:t>
            </w:r>
            <w:r>
              <w:rPr>
                <w:rFonts w:eastAsia="Times New Roman" w:cs="Times New Roman"/>
                <w:color w:val="000000"/>
                <w:lang w:eastAsia="de-DE"/>
              </w:rPr>
              <w:t xml:space="preserve"> und des Anus</w:t>
            </w:r>
          </w:p>
        </w:tc>
        <w:tc>
          <w:tcPr>
            <w:tcW w:w="708" w:type="dxa"/>
            <w:tcBorders>
              <w:bottom w:val="single" w:sz="8" w:space="0" w:color="000000"/>
              <w:right w:val="single" w:sz="8" w:space="0" w:color="000000"/>
            </w:tcBorders>
            <w:shd w:val="clear" w:color="auto" w:fill="auto"/>
          </w:tcPr>
          <w:p w14:paraId="1E9D9E8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w:t>
            </w:r>
          </w:p>
        </w:tc>
      </w:tr>
      <w:tr w:rsidR="00AE4EA7" w14:paraId="4FE74AC9" w14:textId="77777777">
        <w:trPr>
          <w:trHeight w:val="315"/>
        </w:trPr>
        <w:tc>
          <w:tcPr>
            <w:tcW w:w="724" w:type="dxa"/>
            <w:tcBorders>
              <w:left w:val="single" w:sz="8" w:space="0" w:color="000000"/>
              <w:bottom w:val="single" w:sz="8" w:space="0" w:color="000000"/>
              <w:right w:val="single" w:sz="8" w:space="0" w:color="000000"/>
            </w:tcBorders>
            <w:shd w:val="clear" w:color="auto" w:fill="auto"/>
          </w:tcPr>
          <w:p w14:paraId="504BF838"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D12.8</w:t>
            </w:r>
          </w:p>
        </w:tc>
        <w:tc>
          <w:tcPr>
            <w:tcW w:w="4111" w:type="dxa"/>
            <w:tcBorders>
              <w:bottom w:val="single" w:sz="8" w:space="0" w:color="000000"/>
              <w:right w:val="single" w:sz="8" w:space="0" w:color="000000"/>
            </w:tcBorders>
            <w:shd w:val="clear" w:color="auto" w:fill="auto"/>
          </w:tcPr>
          <w:p w14:paraId="0D7E537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Gutartige Neubildung: Rektum</w:t>
            </w:r>
          </w:p>
        </w:tc>
        <w:tc>
          <w:tcPr>
            <w:tcW w:w="280" w:type="dxa"/>
            <w:shd w:val="clear" w:color="auto" w:fill="auto"/>
          </w:tcPr>
          <w:p w14:paraId="42559F67"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3264" w:type="dxa"/>
            <w:tcBorders>
              <w:left w:val="single" w:sz="8" w:space="0" w:color="000000"/>
              <w:bottom w:val="single" w:sz="8" w:space="0" w:color="000000"/>
              <w:right w:val="single" w:sz="8" w:space="0" w:color="000000"/>
            </w:tcBorders>
            <w:shd w:val="clear" w:color="auto" w:fill="auto"/>
          </w:tcPr>
          <w:p w14:paraId="69D106B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 xml:space="preserve">Gutartige Neubildung des Kolons, des Rektums, des </w:t>
            </w:r>
            <w:r w:rsidRPr="004832F9">
              <w:rPr>
                <w:rFonts w:eastAsia="Times New Roman" w:cs="Times New Roman"/>
                <w:color w:val="000000"/>
                <w:lang w:eastAsia="de-DE"/>
              </w:rPr>
              <w:t>Analkanals</w:t>
            </w:r>
            <w:r>
              <w:rPr>
                <w:rFonts w:eastAsia="Times New Roman" w:cs="Times New Roman"/>
                <w:color w:val="000000"/>
                <w:lang w:eastAsia="de-DE"/>
              </w:rPr>
              <w:t xml:space="preserve"> und des Anus</w:t>
            </w:r>
          </w:p>
        </w:tc>
        <w:tc>
          <w:tcPr>
            <w:tcW w:w="708" w:type="dxa"/>
            <w:tcBorders>
              <w:bottom w:val="single" w:sz="8" w:space="0" w:color="000000"/>
              <w:right w:val="single" w:sz="8" w:space="0" w:color="000000"/>
            </w:tcBorders>
            <w:shd w:val="clear" w:color="auto" w:fill="auto"/>
          </w:tcPr>
          <w:p w14:paraId="12FB5B39"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w:t>
            </w:r>
          </w:p>
        </w:tc>
      </w:tr>
    </w:tbl>
    <w:p w14:paraId="772CD9E2" w14:textId="3F0F3C71" w:rsidR="00AE4EA7" w:rsidRDefault="00000000">
      <w:pPr>
        <w:pStyle w:val="Beschriftung"/>
      </w:pPr>
      <w:bookmarkStart w:id="142" w:name="_Toc150540728"/>
      <w:bookmarkStart w:id="143" w:name="_Toc154606721"/>
      <w:r>
        <w:t xml:space="preserve">Tabelle </w:t>
      </w:r>
      <w:r>
        <w:fldChar w:fldCharType="begin"/>
      </w:r>
      <w:r>
        <w:instrText xml:space="preserve"> SEQ Tabelle \* ARABIC </w:instrText>
      </w:r>
      <w:r>
        <w:fldChar w:fldCharType="separate"/>
      </w:r>
      <w:r w:rsidR="00C9149F">
        <w:rPr>
          <w:noProof/>
        </w:rPr>
        <w:t>4</w:t>
      </w:r>
      <w:r>
        <w:rPr>
          <w:noProof/>
        </w:rPr>
        <w:fldChar w:fldCharType="end"/>
      </w:r>
      <w:r>
        <w:t>: Änderung des Informationswertes einer Diagnose bei Änderung des ICD durch Nichtangabe</w:t>
      </w:r>
      <w:bookmarkEnd w:id="142"/>
      <w:bookmarkEnd w:id="143"/>
    </w:p>
    <w:p w14:paraId="0EAF9D47" w14:textId="30F55AAE" w:rsidR="00AE4EA7" w:rsidRDefault="00497C33">
      <w:pPr>
        <w:jc w:val="left"/>
      </w:pPr>
      <w:r>
        <w:t>In diesem Zusammenhang ist es notwendig, die Nutzer bzw. Anwender darüber zu informieren, dass bestimmte Daten verändert wurden</w:t>
      </w:r>
      <w:r w:rsidR="00027508">
        <w:t>.</w:t>
      </w:r>
    </w:p>
    <w:p w14:paraId="02316F1C" w14:textId="77777777" w:rsidR="00AE4EA7" w:rsidRDefault="00000000">
      <w:pPr>
        <w:pStyle w:val="berschrift3"/>
      </w:pPr>
      <w:bookmarkStart w:id="144" w:name="_Toc154652628"/>
      <w:r>
        <w:t>Maskierung/Ersetzung</w:t>
      </w:r>
      <w:bookmarkEnd w:id="144"/>
    </w:p>
    <w:p w14:paraId="3D802F22" w14:textId="7711E6CB" w:rsidR="00AE4EA7" w:rsidRDefault="00B979F5">
      <w:r w:rsidRPr="00B979F5">
        <w:t xml:space="preserve">Bei dieser Methode werden </w:t>
      </w:r>
      <w:r w:rsidR="005B1D56" w:rsidRPr="004832F9">
        <w:t xml:space="preserve">die </w:t>
      </w:r>
      <w:r w:rsidRPr="004832F9">
        <w:t>zu schützende</w:t>
      </w:r>
      <w:r w:rsidR="004832F9" w:rsidRPr="004832F9">
        <w:t>n</w:t>
      </w:r>
      <w:r w:rsidRPr="004832F9">
        <w:t xml:space="preserve"> Daten</w:t>
      </w:r>
      <w:r>
        <w:t xml:space="preserve"> </w:t>
      </w:r>
      <w:r w:rsidR="005B1D56">
        <w:t>durch</w:t>
      </w:r>
      <w:r>
        <w:t xml:space="preserve"> eine</w:t>
      </w:r>
      <w:r w:rsidR="005B1D56">
        <w:t>n</w:t>
      </w:r>
      <w:r>
        <w:t xml:space="preserve"> konstanten oder sich ändernden Wert, </w:t>
      </w:r>
      <w:r w:rsidR="005B1D56">
        <w:t xml:space="preserve">ein </w:t>
      </w:r>
      <w:r>
        <w:t xml:space="preserve">Zeichen oder </w:t>
      </w:r>
      <w:r w:rsidR="005B1D56">
        <w:t xml:space="preserve">eine </w:t>
      </w:r>
      <w:r>
        <w:t>Zeichenkette ersetzt.</w:t>
      </w:r>
    </w:p>
    <w:p w14:paraId="55FACBF9" w14:textId="2977E0F2" w:rsidR="00F759B1" w:rsidRDefault="00000000">
      <w:pPr>
        <w:spacing w:after="0"/>
      </w:pPr>
      <w:r>
        <w:rPr>
          <w:b/>
        </w:rPr>
        <w:t>Beispiel:</w:t>
      </w:r>
      <w:r>
        <w:t xml:space="preserve"> Die Daten aus </w:t>
      </w:r>
      <w:r>
        <w:fldChar w:fldCharType="begin"/>
      </w:r>
      <w:r>
        <w:instrText xml:space="preserve"> REF _Ref512152891 \h </w:instrText>
      </w:r>
      <w:r>
        <w:fldChar w:fldCharType="separate"/>
      </w:r>
      <w:r w:rsidR="00C9149F">
        <w:t xml:space="preserve">Tabelle </w:t>
      </w:r>
      <w:r w:rsidR="00C9149F">
        <w:rPr>
          <w:noProof/>
        </w:rPr>
        <w:t>1</w:t>
      </w:r>
      <w:r>
        <w:fldChar w:fldCharType="end"/>
      </w:r>
      <w:r>
        <w:t xml:space="preserve"> wurden maskiert, indem der Tag und der Monat des Datums jeweils auf „01“ geändert wurden, die Namen auf feste Zeichenkette unter Beibehaltung der Geschlechterzuordnung:</w:t>
      </w:r>
    </w:p>
    <w:tbl>
      <w:tblPr>
        <w:tblW w:w="7812" w:type="dxa"/>
        <w:tblInd w:w="55" w:type="dxa"/>
        <w:tblLayout w:type="fixed"/>
        <w:tblCellMar>
          <w:left w:w="70" w:type="dxa"/>
          <w:right w:w="70" w:type="dxa"/>
        </w:tblCellMar>
        <w:tblLook w:val="04A0" w:firstRow="1" w:lastRow="0" w:firstColumn="1" w:lastColumn="0" w:noHBand="0" w:noVBand="1"/>
      </w:tblPr>
      <w:tblGrid>
        <w:gridCol w:w="1201"/>
        <w:gridCol w:w="1649"/>
        <w:gridCol w:w="1276"/>
        <w:gridCol w:w="1559"/>
        <w:gridCol w:w="993"/>
        <w:gridCol w:w="1134"/>
      </w:tblGrid>
      <w:tr w:rsidR="00AE4EA7" w14:paraId="6DD81CD8" w14:textId="77777777" w:rsidTr="00F759B1">
        <w:trPr>
          <w:trHeight w:val="315"/>
          <w:tblHeader/>
        </w:trPr>
        <w:tc>
          <w:tcPr>
            <w:tcW w:w="12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58B577" w14:textId="77777777" w:rsidR="00AE4EA7" w:rsidRDefault="00000000" w:rsidP="00F759B1">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Vorname</w:t>
            </w:r>
          </w:p>
        </w:tc>
        <w:tc>
          <w:tcPr>
            <w:tcW w:w="1649" w:type="dxa"/>
            <w:tcBorders>
              <w:top w:val="single" w:sz="8" w:space="0" w:color="000000"/>
              <w:bottom w:val="single" w:sz="8" w:space="0" w:color="000000"/>
              <w:right w:val="single" w:sz="8" w:space="0" w:color="000000"/>
            </w:tcBorders>
            <w:shd w:val="clear" w:color="auto" w:fill="auto"/>
            <w:vAlign w:val="center"/>
          </w:tcPr>
          <w:p w14:paraId="59365CA9"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Nachname</w:t>
            </w:r>
          </w:p>
        </w:tc>
        <w:tc>
          <w:tcPr>
            <w:tcW w:w="1276" w:type="dxa"/>
            <w:tcBorders>
              <w:top w:val="single" w:sz="8" w:space="0" w:color="000000"/>
              <w:bottom w:val="single" w:sz="8" w:space="0" w:color="000000"/>
              <w:right w:val="single" w:sz="8" w:space="0" w:color="000000"/>
            </w:tcBorders>
            <w:shd w:val="clear" w:color="auto" w:fill="auto"/>
            <w:vAlign w:val="center"/>
          </w:tcPr>
          <w:p w14:paraId="158DB5B6"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Geschlecht</w:t>
            </w:r>
          </w:p>
        </w:tc>
        <w:tc>
          <w:tcPr>
            <w:tcW w:w="1559" w:type="dxa"/>
            <w:tcBorders>
              <w:top w:val="single" w:sz="8" w:space="0" w:color="000000"/>
              <w:bottom w:val="single" w:sz="8" w:space="0" w:color="000000"/>
              <w:right w:val="single" w:sz="8" w:space="0" w:color="000000"/>
            </w:tcBorders>
            <w:shd w:val="clear" w:color="auto" w:fill="auto"/>
            <w:vAlign w:val="center"/>
          </w:tcPr>
          <w:p w14:paraId="7880B352"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c>
          <w:tcPr>
            <w:tcW w:w="993" w:type="dxa"/>
            <w:tcBorders>
              <w:top w:val="single" w:sz="8" w:space="0" w:color="000000"/>
              <w:bottom w:val="single" w:sz="8" w:space="0" w:color="000000"/>
              <w:right w:val="single" w:sz="8" w:space="0" w:color="000000"/>
            </w:tcBorders>
            <w:shd w:val="clear" w:color="auto" w:fill="auto"/>
            <w:vAlign w:val="center"/>
          </w:tcPr>
          <w:p w14:paraId="7C6C576F"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PLZ</w:t>
            </w:r>
          </w:p>
        </w:tc>
        <w:tc>
          <w:tcPr>
            <w:tcW w:w="1134" w:type="dxa"/>
            <w:tcBorders>
              <w:top w:val="single" w:sz="8" w:space="0" w:color="000000"/>
              <w:bottom w:val="single" w:sz="8" w:space="0" w:color="000000"/>
              <w:right w:val="single" w:sz="8" w:space="0" w:color="000000"/>
            </w:tcBorders>
            <w:shd w:val="clear" w:color="auto" w:fill="auto"/>
            <w:vAlign w:val="center"/>
          </w:tcPr>
          <w:p w14:paraId="636326E5"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ICD</w:t>
            </w:r>
          </w:p>
        </w:tc>
      </w:tr>
      <w:tr w:rsidR="00AE4EA7" w14:paraId="77D6DC82"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16D77BC3"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Anne</w:t>
            </w:r>
          </w:p>
        </w:tc>
        <w:tc>
          <w:tcPr>
            <w:tcW w:w="1649" w:type="dxa"/>
            <w:tcBorders>
              <w:bottom w:val="single" w:sz="8" w:space="0" w:color="000000"/>
              <w:right w:val="single" w:sz="8" w:space="0" w:color="000000"/>
            </w:tcBorders>
            <w:shd w:val="clear" w:color="auto" w:fill="auto"/>
            <w:vAlign w:val="bottom"/>
          </w:tcPr>
          <w:p w14:paraId="63B3B3E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Musterfrau</w:t>
            </w:r>
          </w:p>
        </w:tc>
        <w:tc>
          <w:tcPr>
            <w:tcW w:w="1276" w:type="dxa"/>
            <w:tcBorders>
              <w:bottom w:val="single" w:sz="8" w:space="0" w:color="000000"/>
              <w:right w:val="single" w:sz="8" w:space="0" w:color="000000"/>
            </w:tcBorders>
            <w:shd w:val="clear" w:color="auto" w:fill="auto"/>
            <w:vAlign w:val="bottom"/>
          </w:tcPr>
          <w:p w14:paraId="000919A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59" w:type="dxa"/>
            <w:tcBorders>
              <w:bottom w:val="single" w:sz="8" w:space="0" w:color="000000"/>
              <w:right w:val="single" w:sz="8" w:space="0" w:color="000000"/>
            </w:tcBorders>
            <w:shd w:val="clear" w:color="auto" w:fill="auto"/>
            <w:vAlign w:val="bottom"/>
          </w:tcPr>
          <w:p w14:paraId="782AF89B"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01.01.1983</w:t>
            </w:r>
          </w:p>
        </w:tc>
        <w:tc>
          <w:tcPr>
            <w:tcW w:w="993" w:type="dxa"/>
            <w:tcBorders>
              <w:bottom w:val="single" w:sz="8" w:space="0" w:color="000000"/>
              <w:right w:val="single" w:sz="8" w:space="0" w:color="000000"/>
            </w:tcBorders>
            <w:shd w:val="clear" w:color="auto" w:fill="auto"/>
            <w:vAlign w:val="bottom"/>
          </w:tcPr>
          <w:p w14:paraId="23904EB1"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10115</w:t>
            </w:r>
          </w:p>
        </w:tc>
        <w:tc>
          <w:tcPr>
            <w:tcW w:w="1134" w:type="dxa"/>
            <w:tcBorders>
              <w:bottom w:val="single" w:sz="8" w:space="0" w:color="000000"/>
              <w:right w:val="single" w:sz="8" w:space="0" w:color="000000"/>
            </w:tcBorders>
            <w:shd w:val="clear" w:color="auto" w:fill="auto"/>
            <w:vAlign w:val="bottom"/>
          </w:tcPr>
          <w:p w14:paraId="7227B1A4"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C43.9</w:t>
            </w:r>
          </w:p>
        </w:tc>
      </w:tr>
      <w:tr w:rsidR="00AE4EA7" w14:paraId="72009868"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08D651DA"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Max</w:t>
            </w:r>
          </w:p>
        </w:tc>
        <w:tc>
          <w:tcPr>
            <w:tcW w:w="1649" w:type="dxa"/>
            <w:tcBorders>
              <w:bottom w:val="single" w:sz="8" w:space="0" w:color="000000"/>
              <w:right w:val="single" w:sz="8" w:space="0" w:color="000000"/>
            </w:tcBorders>
            <w:shd w:val="clear" w:color="auto" w:fill="auto"/>
            <w:vAlign w:val="bottom"/>
          </w:tcPr>
          <w:p w14:paraId="210EDDF5"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Mustermann</w:t>
            </w:r>
          </w:p>
        </w:tc>
        <w:tc>
          <w:tcPr>
            <w:tcW w:w="1276" w:type="dxa"/>
            <w:tcBorders>
              <w:bottom w:val="single" w:sz="8" w:space="0" w:color="000000"/>
              <w:right w:val="single" w:sz="8" w:space="0" w:color="000000"/>
            </w:tcBorders>
            <w:shd w:val="clear" w:color="auto" w:fill="auto"/>
            <w:vAlign w:val="bottom"/>
          </w:tcPr>
          <w:p w14:paraId="5265B79A"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59" w:type="dxa"/>
            <w:tcBorders>
              <w:bottom w:val="single" w:sz="8" w:space="0" w:color="000000"/>
              <w:right w:val="single" w:sz="8" w:space="0" w:color="000000"/>
            </w:tcBorders>
            <w:shd w:val="clear" w:color="auto" w:fill="auto"/>
            <w:vAlign w:val="bottom"/>
          </w:tcPr>
          <w:p w14:paraId="2341603F"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01.01.1965</w:t>
            </w:r>
          </w:p>
        </w:tc>
        <w:tc>
          <w:tcPr>
            <w:tcW w:w="993" w:type="dxa"/>
            <w:tcBorders>
              <w:bottom w:val="single" w:sz="8" w:space="0" w:color="000000"/>
              <w:right w:val="single" w:sz="8" w:space="0" w:color="000000"/>
            </w:tcBorders>
            <w:shd w:val="clear" w:color="auto" w:fill="auto"/>
            <w:vAlign w:val="bottom"/>
          </w:tcPr>
          <w:p w14:paraId="1E160770"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10115</w:t>
            </w:r>
          </w:p>
        </w:tc>
        <w:tc>
          <w:tcPr>
            <w:tcW w:w="1134" w:type="dxa"/>
            <w:tcBorders>
              <w:bottom w:val="single" w:sz="8" w:space="0" w:color="000000"/>
              <w:right w:val="single" w:sz="8" w:space="0" w:color="000000"/>
            </w:tcBorders>
            <w:shd w:val="clear" w:color="auto" w:fill="auto"/>
            <w:vAlign w:val="bottom"/>
          </w:tcPr>
          <w:p w14:paraId="4E281027"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D22.9</w:t>
            </w:r>
          </w:p>
        </w:tc>
      </w:tr>
      <w:tr w:rsidR="00AE4EA7" w14:paraId="22CEB07D"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1BE3D1B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Max</w:t>
            </w:r>
          </w:p>
        </w:tc>
        <w:tc>
          <w:tcPr>
            <w:tcW w:w="1649" w:type="dxa"/>
            <w:tcBorders>
              <w:bottom w:val="single" w:sz="8" w:space="0" w:color="000000"/>
              <w:right w:val="single" w:sz="8" w:space="0" w:color="000000"/>
            </w:tcBorders>
            <w:shd w:val="clear" w:color="auto" w:fill="auto"/>
            <w:vAlign w:val="bottom"/>
          </w:tcPr>
          <w:p w14:paraId="0DF1C7D5"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Mustermann</w:t>
            </w:r>
          </w:p>
        </w:tc>
        <w:tc>
          <w:tcPr>
            <w:tcW w:w="1276" w:type="dxa"/>
            <w:tcBorders>
              <w:bottom w:val="single" w:sz="8" w:space="0" w:color="000000"/>
              <w:right w:val="single" w:sz="8" w:space="0" w:color="000000"/>
            </w:tcBorders>
            <w:shd w:val="clear" w:color="auto" w:fill="auto"/>
            <w:vAlign w:val="bottom"/>
          </w:tcPr>
          <w:p w14:paraId="0F8BE22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59" w:type="dxa"/>
            <w:tcBorders>
              <w:bottom w:val="single" w:sz="8" w:space="0" w:color="000000"/>
              <w:right w:val="single" w:sz="8" w:space="0" w:color="000000"/>
            </w:tcBorders>
            <w:shd w:val="clear" w:color="auto" w:fill="auto"/>
            <w:vAlign w:val="bottom"/>
          </w:tcPr>
          <w:p w14:paraId="046F358E"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01.01.1977</w:t>
            </w:r>
          </w:p>
        </w:tc>
        <w:tc>
          <w:tcPr>
            <w:tcW w:w="993" w:type="dxa"/>
            <w:tcBorders>
              <w:bottom w:val="single" w:sz="8" w:space="0" w:color="000000"/>
              <w:right w:val="single" w:sz="8" w:space="0" w:color="000000"/>
            </w:tcBorders>
            <w:shd w:val="clear" w:color="auto" w:fill="auto"/>
            <w:vAlign w:val="bottom"/>
          </w:tcPr>
          <w:p w14:paraId="39663E1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10178</w:t>
            </w:r>
          </w:p>
        </w:tc>
        <w:tc>
          <w:tcPr>
            <w:tcW w:w="1134" w:type="dxa"/>
            <w:tcBorders>
              <w:bottom w:val="single" w:sz="8" w:space="0" w:color="000000"/>
              <w:right w:val="single" w:sz="8" w:space="0" w:color="000000"/>
            </w:tcBorders>
            <w:shd w:val="clear" w:color="auto" w:fill="auto"/>
            <w:vAlign w:val="bottom"/>
          </w:tcPr>
          <w:p w14:paraId="22689FF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C85.9</w:t>
            </w:r>
          </w:p>
        </w:tc>
      </w:tr>
      <w:tr w:rsidR="00AE4EA7" w14:paraId="6ED3680F"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6E555D63"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Max</w:t>
            </w:r>
          </w:p>
        </w:tc>
        <w:tc>
          <w:tcPr>
            <w:tcW w:w="1649" w:type="dxa"/>
            <w:tcBorders>
              <w:bottom w:val="single" w:sz="8" w:space="0" w:color="000000"/>
              <w:right w:val="single" w:sz="8" w:space="0" w:color="000000"/>
            </w:tcBorders>
            <w:shd w:val="clear" w:color="auto" w:fill="auto"/>
            <w:vAlign w:val="bottom"/>
          </w:tcPr>
          <w:p w14:paraId="5BEC7EB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Mustermann</w:t>
            </w:r>
          </w:p>
        </w:tc>
        <w:tc>
          <w:tcPr>
            <w:tcW w:w="1276" w:type="dxa"/>
            <w:tcBorders>
              <w:bottom w:val="single" w:sz="8" w:space="0" w:color="000000"/>
              <w:right w:val="single" w:sz="8" w:space="0" w:color="000000"/>
            </w:tcBorders>
            <w:shd w:val="clear" w:color="auto" w:fill="auto"/>
            <w:vAlign w:val="bottom"/>
          </w:tcPr>
          <w:p w14:paraId="1AC65E72"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59" w:type="dxa"/>
            <w:tcBorders>
              <w:bottom w:val="single" w:sz="8" w:space="0" w:color="000000"/>
              <w:right w:val="single" w:sz="8" w:space="0" w:color="000000"/>
            </w:tcBorders>
            <w:shd w:val="clear" w:color="auto" w:fill="auto"/>
            <w:vAlign w:val="bottom"/>
          </w:tcPr>
          <w:p w14:paraId="4721E9B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01.01.1981</w:t>
            </w:r>
          </w:p>
        </w:tc>
        <w:tc>
          <w:tcPr>
            <w:tcW w:w="993" w:type="dxa"/>
            <w:tcBorders>
              <w:bottom w:val="single" w:sz="8" w:space="0" w:color="000000"/>
              <w:right w:val="single" w:sz="8" w:space="0" w:color="000000"/>
            </w:tcBorders>
            <w:shd w:val="clear" w:color="auto" w:fill="auto"/>
            <w:vAlign w:val="bottom"/>
          </w:tcPr>
          <w:p w14:paraId="7B101B6C"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10247</w:t>
            </w:r>
          </w:p>
        </w:tc>
        <w:tc>
          <w:tcPr>
            <w:tcW w:w="1134" w:type="dxa"/>
            <w:tcBorders>
              <w:bottom w:val="single" w:sz="8" w:space="0" w:color="000000"/>
              <w:right w:val="single" w:sz="8" w:space="0" w:color="000000"/>
            </w:tcBorders>
            <w:shd w:val="clear" w:color="auto" w:fill="auto"/>
            <w:vAlign w:val="bottom"/>
          </w:tcPr>
          <w:p w14:paraId="33F8E76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D44.8</w:t>
            </w:r>
          </w:p>
        </w:tc>
      </w:tr>
      <w:tr w:rsidR="00AE4EA7" w14:paraId="12A63AD2"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3F4C066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Max</w:t>
            </w:r>
          </w:p>
        </w:tc>
        <w:tc>
          <w:tcPr>
            <w:tcW w:w="1649" w:type="dxa"/>
            <w:tcBorders>
              <w:bottom w:val="single" w:sz="8" w:space="0" w:color="000000"/>
              <w:right w:val="single" w:sz="8" w:space="0" w:color="000000"/>
            </w:tcBorders>
            <w:shd w:val="clear" w:color="auto" w:fill="auto"/>
            <w:vAlign w:val="bottom"/>
          </w:tcPr>
          <w:p w14:paraId="629D85B0"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Mustermann</w:t>
            </w:r>
          </w:p>
        </w:tc>
        <w:tc>
          <w:tcPr>
            <w:tcW w:w="1276" w:type="dxa"/>
            <w:tcBorders>
              <w:bottom w:val="single" w:sz="8" w:space="0" w:color="000000"/>
              <w:right w:val="single" w:sz="8" w:space="0" w:color="000000"/>
            </w:tcBorders>
            <w:shd w:val="clear" w:color="auto" w:fill="auto"/>
            <w:vAlign w:val="bottom"/>
          </w:tcPr>
          <w:p w14:paraId="501E919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59" w:type="dxa"/>
            <w:tcBorders>
              <w:bottom w:val="single" w:sz="8" w:space="0" w:color="000000"/>
              <w:right w:val="single" w:sz="8" w:space="0" w:color="000000"/>
            </w:tcBorders>
            <w:shd w:val="clear" w:color="auto" w:fill="auto"/>
            <w:vAlign w:val="bottom"/>
          </w:tcPr>
          <w:p w14:paraId="3FC45A32"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01.01.1985</w:t>
            </w:r>
          </w:p>
        </w:tc>
        <w:tc>
          <w:tcPr>
            <w:tcW w:w="993" w:type="dxa"/>
            <w:tcBorders>
              <w:bottom w:val="single" w:sz="8" w:space="0" w:color="000000"/>
              <w:right w:val="single" w:sz="8" w:space="0" w:color="000000"/>
            </w:tcBorders>
            <w:shd w:val="clear" w:color="auto" w:fill="auto"/>
            <w:vAlign w:val="bottom"/>
          </w:tcPr>
          <w:p w14:paraId="6AC5122B"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10319</w:t>
            </w:r>
          </w:p>
        </w:tc>
        <w:tc>
          <w:tcPr>
            <w:tcW w:w="1134" w:type="dxa"/>
            <w:tcBorders>
              <w:bottom w:val="single" w:sz="8" w:space="0" w:color="000000"/>
              <w:right w:val="single" w:sz="8" w:space="0" w:color="000000"/>
            </w:tcBorders>
            <w:shd w:val="clear" w:color="auto" w:fill="auto"/>
            <w:vAlign w:val="bottom"/>
          </w:tcPr>
          <w:p w14:paraId="2556EBF1"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C18.4</w:t>
            </w:r>
          </w:p>
        </w:tc>
      </w:tr>
      <w:tr w:rsidR="00AE4EA7" w14:paraId="05B58BE9"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0E2B3B9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Anne</w:t>
            </w:r>
          </w:p>
        </w:tc>
        <w:tc>
          <w:tcPr>
            <w:tcW w:w="1649" w:type="dxa"/>
            <w:tcBorders>
              <w:bottom w:val="single" w:sz="8" w:space="0" w:color="000000"/>
              <w:right w:val="single" w:sz="8" w:space="0" w:color="000000"/>
            </w:tcBorders>
            <w:shd w:val="clear" w:color="auto" w:fill="auto"/>
            <w:vAlign w:val="bottom"/>
          </w:tcPr>
          <w:p w14:paraId="2B99FDA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Musterfrau</w:t>
            </w:r>
          </w:p>
        </w:tc>
        <w:tc>
          <w:tcPr>
            <w:tcW w:w="1276" w:type="dxa"/>
            <w:tcBorders>
              <w:bottom w:val="single" w:sz="8" w:space="0" w:color="000000"/>
              <w:right w:val="single" w:sz="8" w:space="0" w:color="000000"/>
            </w:tcBorders>
            <w:shd w:val="clear" w:color="auto" w:fill="auto"/>
            <w:vAlign w:val="bottom"/>
          </w:tcPr>
          <w:p w14:paraId="4DA3C0E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59" w:type="dxa"/>
            <w:tcBorders>
              <w:bottom w:val="single" w:sz="8" w:space="0" w:color="000000"/>
              <w:right w:val="single" w:sz="8" w:space="0" w:color="000000"/>
            </w:tcBorders>
            <w:shd w:val="clear" w:color="auto" w:fill="auto"/>
            <w:vAlign w:val="bottom"/>
          </w:tcPr>
          <w:p w14:paraId="1E2D7A8D"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01.01.1987</w:t>
            </w:r>
          </w:p>
        </w:tc>
        <w:tc>
          <w:tcPr>
            <w:tcW w:w="993" w:type="dxa"/>
            <w:tcBorders>
              <w:bottom w:val="single" w:sz="8" w:space="0" w:color="000000"/>
              <w:right w:val="single" w:sz="8" w:space="0" w:color="000000"/>
            </w:tcBorders>
            <w:shd w:val="clear" w:color="auto" w:fill="auto"/>
            <w:vAlign w:val="bottom"/>
          </w:tcPr>
          <w:p w14:paraId="51C33203"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10407</w:t>
            </w:r>
          </w:p>
        </w:tc>
        <w:tc>
          <w:tcPr>
            <w:tcW w:w="1134" w:type="dxa"/>
            <w:tcBorders>
              <w:bottom w:val="single" w:sz="8" w:space="0" w:color="000000"/>
              <w:right w:val="single" w:sz="8" w:space="0" w:color="000000"/>
            </w:tcBorders>
            <w:shd w:val="clear" w:color="auto" w:fill="auto"/>
            <w:vAlign w:val="bottom"/>
          </w:tcPr>
          <w:p w14:paraId="48627F2C"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D46.1</w:t>
            </w:r>
          </w:p>
        </w:tc>
      </w:tr>
      <w:tr w:rsidR="00AE4EA7" w14:paraId="2AF91DDE"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20C523B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Max</w:t>
            </w:r>
          </w:p>
        </w:tc>
        <w:tc>
          <w:tcPr>
            <w:tcW w:w="1649" w:type="dxa"/>
            <w:tcBorders>
              <w:bottom w:val="single" w:sz="8" w:space="0" w:color="000000"/>
              <w:right w:val="single" w:sz="8" w:space="0" w:color="000000"/>
            </w:tcBorders>
            <w:shd w:val="clear" w:color="auto" w:fill="auto"/>
            <w:vAlign w:val="bottom"/>
          </w:tcPr>
          <w:p w14:paraId="45F7F48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Mustermann</w:t>
            </w:r>
          </w:p>
        </w:tc>
        <w:tc>
          <w:tcPr>
            <w:tcW w:w="1276" w:type="dxa"/>
            <w:tcBorders>
              <w:bottom w:val="single" w:sz="8" w:space="0" w:color="000000"/>
              <w:right w:val="single" w:sz="8" w:space="0" w:color="000000"/>
            </w:tcBorders>
            <w:shd w:val="clear" w:color="auto" w:fill="auto"/>
            <w:vAlign w:val="bottom"/>
          </w:tcPr>
          <w:p w14:paraId="546DB39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59" w:type="dxa"/>
            <w:tcBorders>
              <w:bottom w:val="single" w:sz="8" w:space="0" w:color="000000"/>
              <w:right w:val="single" w:sz="8" w:space="0" w:color="000000"/>
            </w:tcBorders>
            <w:shd w:val="clear" w:color="auto" w:fill="auto"/>
            <w:vAlign w:val="bottom"/>
          </w:tcPr>
          <w:p w14:paraId="0F8F970D"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01.01.1988</w:t>
            </w:r>
          </w:p>
        </w:tc>
        <w:tc>
          <w:tcPr>
            <w:tcW w:w="993" w:type="dxa"/>
            <w:tcBorders>
              <w:bottom w:val="single" w:sz="8" w:space="0" w:color="000000"/>
              <w:right w:val="single" w:sz="8" w:space="0" w:color="000000"/>
            </w:tcBorders>
            <w:shd w:val="clear" w:color="auto" w:fill="auto"/>
            <w:vAlign w:val="bottom"/>
          </w:tcPr>
          <w:p w14:paraId="12A2967B"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10435</w:t>
            </w:r>
          </w:p>
        </w:tc>
        <w:tc>
          <w:tcPr>
            <w:tcW w:w="1134" w:type="dxa"/>
            <w:tcBorders>
              <w:bottom w:val="single" w:sz="8" w:space="0" w:color="000000"/>
              <w:right w:val="single" w:sz="8" w:space="0" w:color="000000"/>
            </w:tcBorders>
            <w:shd w:val="clear" w:color="auto" w:fill="auto"/>
            <w:vAlign w:val="bottom"/>
          </w:tcPr>
          <w:p w14:paraId="0273AE7A"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C16.3</w:t>
            </w:r>
          </w:p>
        </w:tc>
      </w:tr>
      <w:tr w:rsidR="00AE4EA7" w14:paraId="2D17C5E0"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31FB932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Max</w:t>
            </w:r>
          </w:p>
        </w:tc>
        <w:tc>
          <w:tcPr>
            <w:tcW w:w="1649" w:type="dxa"/>
            <w:tcBorders>
              <w:bottom w:val="single" w:sz="8" w:space="0" w:color="000000"/>
              <w:right w:val="single" w:sz="8" w:space="0" w:color="000000"/>
            </w:tcBorders>
            <w:shd w:val="clear" w:color="auto" w:fill="auto"/>
            <w:vAlign w:val="bottom"/>
          </w:tcPr>
          <w:p w14:paraId="1B4A5223"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Mustermann</w:t>
            </w:r>
          </w:p>
        </w:tc>
        <w:tc>
          <w:tcPr>
            <w:tcW w:w="1276" w:type="dxa"/>
            <w:tcBorders>
              <w:bottom w:val="single" w:sz="8" w:space="0" w:color="000000"/>
              <w:right w:val="single" w:sz="8" w:space="0" w:color="000000"/>
            </w:tcBorders>
            <w:shd w:val="clear" w:color="auto" w:fill="auto"/>
            <w:vAlign w:val="bottom"/>
          </w:tcPr>
          <w:p w14:paraId="0D3DB6F3"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59" w:type="dxa"/>
            <w:tcBorders>
              <w:bottom w:val="single" w:sz="8" w:space="0" w:color="000000"/>
              <w:right w:val="single" w:sz="8" w:space="0" w:color="000000"/>
            </w:tcBorders>
            <w:shd w:val="clear" w:color="auto" w:fill="auto"/>
            <w:vAlign w:val="bottom"/>
          </w:tcPr>
          <w:p w14:paraId="13A03E8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01.01.1968</w:t>
            </w:r>
          </w:p>
        </w:tc>
        <w:tc>
          <w:tcPr>
            <w:tcW w:w="993" w:type="dxa"/>
            <w:tcBorders>
              <w:bottom w:val="single" w:sz="8" w:space="0" w:color="000000"/>
              <w:right w:val="single" w:sz="8" w:space="0" w:color="000000"/>
            </w:tcBorders>
            <w:shd w:val="clear" w:color="auto" w:fill="auto"/>
            <w:vAlign w:val="bottom"/>
          </w:tcPr>
          <w:p w14:paraId="058B8801"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10439</w:t>
            </w:r>
          </w:p>
        </w:tc>
        <w:tc>
          <w:tcPr>
            <w:tcW w:w="1134" w:type="dxa"/>
            <w:tcBorders>
              <w:bottom w:val="single" w:sz="8" w:space="0" w:color="000000"/>
              <w:right w:val="single" w:sz="8" w:space="0" w:color="000000"/>
            </w:tcBorders>
            <w:shd w:val="clear" w:color="auto" w:fill="auto"/>
            <w:vAlign w:val="bottom"/>
          </w:tcPr>
          <w:p w14:paraId="54ED425D"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D46.2</w:t>
            </w:r>
          </w:p>
        </w:tc>
      </w:tr>
      <w:tr w:rsidR="00AE4EA7" w14:paraId="1E17DD3A"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040EDEE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Anne</w:t>
            </w:r>
          </w:p>
        </w:tc>
        <w:tc>
          <w:tcPr>
            <w:tcW w:w="1649" w:type="dxa"/>
            <w:tcBorders>
              <w:bottom w:val="single" w:sz="8" w:space="0" w:color="000000"/>
              <w:right w:val="single" w:sz="8" w:space="0" w:color="000000"/>
            </w:tcBorders>
            <w:shd w:val="clear" w:color="auto" w:fill="auto"/>
            <w:vAlign w:val="bottom"/>
          </w:tcPr>
          <w:p w14:paraId="498AAE3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Musterfrau</w:t>
            </w:r>
          </w:p>
        </w:tc>
        <w:tc>
          <w:tcPr>
            <w:tcW w:w="1276" w:type="dxa"/>
            <w:tcBorders>
              <w:bottom w:val="single" w:sz="8" w:space="0" w:color="000000"/>
              <w:right w:val="single" w:sz="8" w:space="0" w:color="000000"/>
            </w:tcBorders>
            <w:shd w:val="clear" w:color="auto" w:fill="auto"/>
            <w:vAlign w:val="bottom"/>
          </w:tcPr>
          <w:p w14:paraId="684A73C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59" w:type="dxa"/>
            <w:tcBorders>
              <w:bottom w:val="single" w:sz="8" w:space="0" w:color="000000"/>
              <w:right w:val="single" w:sz="8" w:space="0" w:color="000000"/>
            </w:tcBorders>
            <w:shd w:val="clear" w:color="auto" w:fill="auto"/>
            <w:vAlign w:val="bottom"/>
          </w:tcPr>
          <w:p w14:paraId="0B49A165"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01.01.1978</w:t>
            </w:r>
          </w:p>
        </w:tc>
        <w:tc>
          <w:tcPr>
            <w:tcW w:w="993" w:type="dxa"/>
            <w:tcBorders>
              <w:bottom w:val="single" w:sz="8" w:space="0" w:color="000000"/>
              <w:right w:val="single" w:sz="8" w:space="0" w:color="000000"/>
            </w:tcBorders>
            <w:shd w:val="clear" w:color="auto" w:fill="auto"/>
            <w:vAlign w:val="bottom"/>
          </w:tcPr>
          <w:p w14:paraId="22C16753"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10585</w:t>
            </w:r>
          </w:p>
        </w:tc>
        <w:tc>
          <w:tcPr>
            <w:tcW w:w="1134" w:type="dxa"/>
            <w:tcBorders>
              <w:bottom w:val="single" w:sz="8" w:space="0" w:color="000000"/>
              <w:right w:val="single" w:sz="8" w:space="0" w:color="000000"/>
            </w:tcBorders>
            <w:shd w:val="clear" w:color="auto" w:fill="auto"/>
            <w:vAlign w:val="bottom"/>
          </w:tcPr>
          <w:p w14:paraId="70A5A780"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C50.3</w:t>
            </w:r>
          </w:p>
        </w:tc>
      </w:tr>
      <w:tr w:rsidR="00AE4EA7" w14:paraId="1A20B4BD"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148EBA23"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Anne</w:t>
            </w:r>
          </w:p>
        </w:tc>
        <w:tc>
          <w:tcPr>
            <w:tcW w:w="1649" w:type="dxa"/>
            <w:tcBorders>
              <w:bottom w:val="single" w:sz="8" w:space="0" w:color="000000"/>
              <w:right w:val="single" w:sz="8" w:space="0" w:color="000000"/>
            </w:tcBorders>
            <w:shd w:val="clear" w:color="auto" w:fill="auto"/>
            <w:vAlign w:val="bottom"/>
          </w:tcPr>
          <w:p w14:paraId="42878FC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Musterfrau</w:t>
            </w:r>
          </w:p>
        </w:tc>
        <w:tc>
          <w:tcPr>
            <w:tcW w:w="1276" w:type="dxa"/>
            <w:tcBorders>
              <w:bottom w:val="single" w:sz="8" w:space="0" w:color="000000"/>
              <w:right w:val="single" w:sz="8" w:space="0" w:color="000000"/>
            </w:tcBorders>
            <w:shd w:val="clear" w:color="auto" w:fill="auto"/>
            <w:vAlign w:val="bottom"/>
          </w:tcPr>
          <w:p w14:paraId="65A4A96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59" w:type="dxa"/>
            <w:tcBorders>
              <w:bottom w:val="single" w:sz="8" w:space="0" w:color="000000"/>
              <w:right w:val="single" w:sz="8" w:space="0" w:color="000000"/>
            </w:tcBorders>
            <w:shd w:val="clear" w:color="auto" w:fill="auto"/>
            <w:vAlign w:val="bottom"/>
          </w:tcPr>
          <w:p w14:paraId="7904A165"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01.01.1969</w:t>
            </w:r>
          </w:p>
        </w:tc>
        <w:tc>
          <w:tcPr>
            <w:tcW w:w="993" w:type="dxa"/>
            <w:tcBorders>
              <w:bottom w:val="single" w:sz="8" w:space="0" w:color="000000"/>
              <w:right w:val="single" w:sz="8" w:space="0" w:color="000000"/>
            </w:tcBorders>
            <w:shd w:val="clear" w:color="auto" w:fill="auto"/>
            <w:vAlign w:val="bottom"/>
          </w:tcPr>
          <w:p w14:paraId="41B0A7FC"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10707</w:t>
            </w:r>
          </w:p>
        </w:tc>
        <w:tc>
          <w:tcPr>
            <w:tcW w:w="1134" w:type="dxa"/>
            <w:tcBorders>
              <w:bottom w:val="single" w:sz="8" w:space="0" w:color="000000"/>
              <w:right w:val="single" w:sz="8" w:space="0" w:color="000000"/>
            </w:tcBorders>
            <w:shd w:val="clear" w:color="auto" w:fill="auto"/>
            <w:vAlign w:val="bottom"/>
          </w:tcPr>
          <w:p w14:paraId="312957F9"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C91.10</w:t>
            </w:r>
          </w:p>
        </w:tc>
      </w:tr>
      <w:tr w:rsidR="00AE4EA7" w14:paraId="20FA88A3"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73C282D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Max</w:t>
            </w:r>
          </w:p>
        </w:tc>
        <w:tc>
          <w:tcPr>
            <w:tcW w:w="1649" w:type="dxa"/>
            <w:tcBorders>
              <w:bottom w:val="single" w:sz="8" w:space="0" w:color="000000"/>
              <w:right w:val="single" w:sz="8" w:space="0" w:color="000000"/>
            </w:tcBorders>
            <w:shd w:val="clear" w:color="auto" w:fill="auto"/>
            <w:vAlign w:val="bottom"/>
          </w:tcPr>
          <w:p w14:paraId="082327B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Mustermann</w:t>
            </w:r>
          </w:p>
        </w:tc>
        <w:tc>
          <w:tcPr>
            <w:tcW w:w="1276" w:type="dxa"/>
            <w:tcBorders>
              <w:bottom w:val="single" w:sz="8" w:space="0" w:color="000000"/>
              <w:right w:val="single" w:sz="8" w:space="0" w:color="000000"/>
            </w:tcBorders>
            <w:shd w:val="clear" w:color="auto" w:fill="auto"/>
            <w:vAlign w:val="bottom"/>
          </w:tcPr>
          <w:p w14:paraId="47B7394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59" w:type="dxa"/>
            <w:tcBorders>
              <w:bottom w:val="single" w:sz="8" w:space="0" w:color="000000"/>
              <w:right w:val="single" w:sz="8" w:space="0" w:color="000000"/>
            </w:tcBorders>
            <w:shd w:val="clear" w:color="auto" w:fill="auto"/>
            <w:vAlign w:val="bottom"/>
          </w:tcPr>
          <w:p w14:paraId="5B1D0932"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01.01.1967</w:t>
            </w:r>
          </w:p>
        </w:tc>
        <w:tc>
          <w:tcPr>
            <w:tcW w:w="993" w:type="dxa"/>
            <w:tcBorders>
              <w:bottom w:val="single" w:sz="8" w:space="0" w:color="000000"/>
              <w:right w:val="single" w:sz="8" w:space="0" w:color="000000"/>
            </w:tcBorders>
            <w:shd w:val="clear" w:color="auto" w:fill="auto"/>
            <w:vAlign w:val="bottom"/>
          </w:tcPr>
          <w:p w14:paraId="03F6AA0B"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10717</w:t>
            </w:r>
          </w:p>
        </w:tc>
        <w:tc>
          <w:tcPr>
            <w:tcW w:w="1134" w:type="dxa"/>
            <w:tcBorders>
              <w:bottom w:val="single" w:sz="8" w:space="0" w:color="000000"/>
              <w:right w:val="single" w:sz="8" w:space="0" w:color="000000"/>
            </w:tcBorders>
            <w:shd w:val="clear" w:color="auto" w:fill="auto"/>
            <w:vAlign w:val="bottom"/>
          </w:tcPr>
          <w:p w14:paraId="28E62A89"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D12.8</w:t>
            </w:r>
          </w:p>
        </w:tc>
      </w:tr>
      <w:tr w:rsidR="00AE4EA7" w14:paraId="22F750B4"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465897E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Max</w:t>
            </w:r>
          </w:p>
        </w:tc>
        <w:tc>
          <w:tcPr>
            <w:tcW w:w="1649" w:type="dxa"/>
            <w:tcBorders>
              <w:bottom w:val="single" w:sz="8" w:space="0" w:color="000000"/>
              <w:right w:val="single" w:sz="8" w:space="0" w:color="000000"/>
            </w:tcBorders>
            <w:shd w:val="clear" w:color="auto" w:fill="auto"/>
            <w:vAlign w:val="bottom"/>
          </w:tcPr>
          <w:p w14:paraId="4FC845B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Mustermann</w:t>
            </w:r>
          </w:p>
        </w:tc>
        <w:tc>
          <w:tcPr>
            <w:tcW w:w="1276" w:type="dxa"/>
            <w:tcBorders>
              <w:bottom w:val="single" w:sz="8" w:space="0" w:color="000000"/>
              <w:right w:val="single" w:sz="8" w:space="0" w:color="000000"/>
            </w:tcBorders>
            <w:shd w:val="clear" w:color="auto" w:fill="auto"/>
            <w:vAlign w:val="bottom"/>
          </w:tcPr>
          <w:p w14:paraId="512784A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59" w:type="dxa"/>
            <w:tcBorders>
              <w:bottom w:val="single" w:sz="8" w:space="0" w:color="000000"/>
              <w:right w:val="single" w:sz="8" w:space="0" w:color="000000"/>
            </w:tcBorders>
            <w:shd w:val="clear" w:color="auto" w:fill="auto"/>
            <w:vAlign w:val="bottom"/>
          </w:tcPr>
          <w:p w14:paraId="7418C83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01.01.1991</w:t>
            </w:r>
          </w:p>
        </w:tc>
        <w:tc>
          <w:tcPr>
            <w:tcW w:w="993" w:type="dxa"/>
            <w:tcBorders>
              <w:bottom w:val="single" w:sz="8" w:space="0" w:color="000000"/>
              <w:right w:val="single" w:sz="8" w:space="0" w:color="000000"/>
            </w:tcBorders>
            <w:shd w:val="clear" w:color="auto" w:fill="auto"/>
            <w:vAlign w:val="bottom"/>
          </w:tcPr>
          <w:p w14:paraId="75C5E61B"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10717</w:t>
            </w:r>
          </w:p>
        </w:tc>
        <w:tc>
          <w:tcPr>
            <w:tcW w:w="1134" w:type="dxa"/>
            <w:tcBorders>
              <w:bottom w:val="single" w:sz="8" w:space="0" w:color="000000"/>
              <w:right w:val="single" w:sz="8" w:space="0" w:color="000000"/>
            </w:tcBorders>
            <w:shd w:val="clear" w:color="auto" w:fill="auto"/>
            <w:vAlign w:val="bottom"/>
          </w:tcPr>
          <w:p w14:paraId="44198B06"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D12.6</w:t>
            </w:r>
          </w:p>
        </w:tc>
      </w:tr>
      <w:tr w:rsidR="00AE4EA7" w14:paraId="069E4DAC"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04DFD5F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Anne</w:t>
            </w:r>
          </w:p>
        </w:tc>
        <w:tc>
          <w:tcPr>
            <w:tcW w:w="1649" w:type="dxa"/>
            <w:tcBorders>
              <w:bottom w:val="single" w:sz="8" w:space="0" w:color="000000"/>
              <w:right w:val="single" w:sz="8" w:space="0" w:color="000000"/>
            </w:tcBorders>
            <w:shd w:val="clear" w:color="auto" w:fill="auto"/>
            <w:vAlign w:val="bottom"/>
          </w:tcPr>
          <w:p w14:paraId="1A205700"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Musterfrau</w:t>
            </w:r>
          </w:p>
        </w:tc>
        <w:tc>
          <w:tcPr>
            <w:tcW w:w="1276" w:type="dxa"/>
            <w:tcBorders>
              <w:bottom w:val="single" w:sz="8" w:space="0" w:color="000000"/>
              <w:right w:val="single" w:sz="8" w:space="0" w:color="000000"/>
            </w:tcBorders>
            <w:shd w:val="clear" w:color="auto" w:fill="auto"/>
            <w:vAlign w:val="bottom"/>
          </w:tcPr>
          <w:p w14:paraId="65B64E8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59" w:type="dxa"/>
            <w:tcBorders>
              <w:bottom w:val="single" w:sz="8" w:space="0" w:color="000000"/>
              <w:right w:val="single" w:sz="8" w:space="0" w:color="000000"/>
            </w:tcBorders>
            <w:shd w:val="clear" w:color="auto" w:fill="auto"/>
            <w:vAlign w:val="bottom"/>
          </w:tcPr>
          <w:p w14:paraId="1DF04FDD"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01.01.1987</w:t>
            </w:r>
          </w:p>
        </w:tc>
        <w:tc>
          <w:tcPr>
            <w:tcW w:w="993" w:type="dxa"/>
            <w:tcBorders>
              <w:bottom w:val="single" w:sz="8" w:space="0" w:color="000000"/>
              <w:right w:val="single" w:sz="8" w:space="0" w:color="000000"/>
            </w:tcBorders>
            <w:shd w:val="clear" w:color="auto" w:fill="auto"/>
            <w:vAlign w:val="bottom"/>
          </w:tcPr>
          <w:p w14:paraId="2734A68E"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10787</w:t>
            </w:r>
          </w:p>
        </w:tc>
        <w:tc>
          <w:tcPr>
            <w:tcW w:w="1134" w:type="dxa"/>
            <w:tcBorders>
              <w:bottom w:val="single" w:sz="8" w:space="0" w:color="000000"/>
              <w:right w:val="single" w:sz="8" w:space="0" w:color="000000"/>
            </w:tcBorders>
            <w:shd w:val="clear" w:color="auto" w:fill="auto"/>
            <w:vAlign w:val="bottom"/>
          </w:tcPr>
          <w:p w14:paraId="29E66430"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C50.8</w:t>
            </w:r>
          </w:p>
        </w:tc>
      </w:tr>
      <w:tr w:rsidR="00AE4EA7" w14:paraId="53F5588D"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021676D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Anne</w:t>
            </w:r>
          </w:p>
        </w:tc>
        <w:tc>
          <w:tcPr>
            <w:tcW w:w="1649" w:type="dxa"/>
            <w:tcBorders>
              <w:bottom w:val="single" w:sz="8" w:space="0" w:color="000000"/>
              <w:right w:val="single" w:sz="8" w:space="0" w:color="000000"/>
            </w:tcBorders>
            <w:shd w:val="clear" w:color="auto" w:fill="auto"/>
            <w:vAlign w:val="bottom"/>
          </w:tcPr>
          <w:p w14:paraId="32DA925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Musterfrau</w:t>
            </w:r>
          </w:p>
        </w:tc>
        <w:tc>
          <w:tcPr>
            <w:tcW w:w="1276" w:type="dxa"/>
            <w:tcBorders>
              <w:bottom w:val="single" w:sz="8" w:space="0" w:color="000000"/>
              <w:right w:val="single" w:sz="8" w:space="0" w:color="000000"/>
            </w:tcBorders>
            <w:shd w:val="clear" w:color="auto" w:fill="auto"/>
            <w:vAlign w:val="bottom"/>
          </w:tcPr>
          <w:p w14:paraId="062BF05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59" w:type="dxa"/>
            <w:tcBorders>
              <w:bottom w:val="single" w:sz="8" w:space="0" w:color="000000"/>
              <w:right w:val="single" w:sz="8" w:space="0" w:color="000000"/>
            </w:tcBorders>
            <w:shd w:val="clear" w:color="auto" w:fill="auto"/>
            <w:vAlign w:val="bottom"/>
          </w:tcPr>
          <w:p w14:paraId="5EB00BF3"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01.01.1983</w:t>
            </w:r>
          </w:p>
        </w:tc>
        <w:tc>
          <w:tcPr>
            <w:tcW w:w="993" w:type="dxa"/>
            <w:tcBorders>
              <w:bottom w:val="single" w:sz="8" w:space="0" w:color="000000"/>
              <w:right w:val="single" w:sz="8" w:space="0" w:color="000000"/>
            </w:tcBorders>
            <w:shd w:val="clear" w:color="auto" w:fill="auto"/>
            <w:vAlign w:val="bottom"/>
          </w:tcPr>
          <w:p w14:paraId="22C75B05"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10827</w:t>
            </w:r>
          </w:p>
        </w:tc>
        <w:tc>
          <w:tcPr>
            <w:tcW w:w="1134" w:type="dxa"/>
            <w:tcBorders>
              <w:bottom w:val="single" w:sz="8" w:space="0" w:color="000000"/>
              <w:right w:val="single" w:sz="8" w:space="0" w:color="000000"/>
            </w:tcBorders>
            <w:shd w:val="clear" w:color="auto" w:fill="auto"/>
            <w:vAlign w:val="bottom"/>
          </w:tcPr>
          <w:p w14:paraId="54FB9E50"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C50.1</w:t>
            </w:r>
          </w:p>
        </w:tc>
      </w:tr>
      <w:tr w:rsidR="00AE4EA7" w14:paraId="0EF1B5FC" w14:textId="77777777" w:rsidTr="00F759B1">
        <w:trPr>
          <w:trHeight w:val="315"/>
        </w:trPr>
        <w:tc>
          <w:tcPr>
            <w:tcW w:w="1201" w:type="dxa"/>
            <w:tcBorders>
              <w:left w:val="single" w:sz="8" w:space="0" w:color="000000"/>
              <w:bottom w:val="single" w:sz="8" w:space="0" w:color="000000"/>
              <w:right w:val="single" w:sz="8" w:space="0" w:color="000000"/>
            </w:tcBorders>
            <w:shd w:val="clear" w:color="auto" w:fill="auto"/>
            <w:vAlign w:val="bottom"/>
          </w:tcPr>
          <w:p w14:paraId="0652EBD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Anne</w:t>
            </w:r>
          </w:p>
        </w:tc>
        <w:tc>
          <w:tcPr>
            <w:tcW w:w="1649" w:type="dxa"/>
            <w:tcBorders>
              <w:bottom w:val="single" w:sz="8" w:space="0" w:color="000000"/>
              <w:right w:val="single" w:sz="8" w:space="0" w:color="000000"/>
            </w:tcBorders>
            <w:shd w:val="clear" w:color="auto" w:fill="auto"/>
            <w:vAlign w:val="bottom"/>
          </w:tcPr>
          <w:p w14:paraId="362F8AE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Musterfrau</w:t>
            </w:r>
          </w:p>
        </w:tc>
        <w:tc>
          <w:tcPr>
            <w:tcW w:w="1276" w:type="dxa"/>
            <w:tcBorders>
              <w:bottom w:val="single" w:sz="8" w:space="0" w:color="000000"/>
              <w:right w:val="single" w:sz="8" w:space="0" w:color="000000"/>
            </w:tcBorders>
            <w:shd w:val="clear" w:color="auto" w:fill="auto"/>
            <w:vAlign w:val="bottom"/>
          </w:tcPr>
          <w:p w14:paraId="58F07EE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59" w:type="dxa"/>
            <w:tcBorders>
              <w:bottom w:val="single" w:sz="8" w:space="0" w:color="000000"/>
              <w:right w:val="single" w:sz="8" w:space="0" w:color="000000"/>
            </w:tcBorders>
            <w:shd w:val="clear" w:color="auto" w:fill="auto"/>
            <w:vAlign w:val="bottom"/>
          </w:tcPr>
          <w:p w14:paraId="1D426773"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01.01.1975</w:t>
            </w:r>
          </w:p>
        </w:tc>
        <w:tc>
          <w:tcPr>
            <w:tcW w:w="993" w:type="dxa"/>
            <w:tcBorders>
              <w:bottom w:val="single" w:sz="8" w:space="0" w:color="000000"/>
              <w:right w:val="single" w:sz="8" w:space="0" w:color="000000"/>
            </w:tcBorders>
            <w:shd w:val="clear" w:color="auto" w:fill="auto"/>
            <w:vAlign w:val="bottom"/>
          </w:tcPr>
          <w:p w14:paraId="17876B5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10963</w:t>
            </w:r>
          </w:p>
        </w:tc>
        <w:tc>
          <w:tcPr>
            <w:tcW w:w="1134" w:type="dxa"/>
            <w:tcBorders>
              <w:bottom w:val="single" w:sz="8" w:space="0" w:color="000000"/>
              <w:right w:val="single" w:sz="8" w:space="0" w:color="000000"/>
            </w:tcBorders>
            <w:shd w:val="clear" w:color="auto" w:fill="auto"/>
            <w:vAlign w:val="bottom"/>
          </w:tcPr>
          <w:p w14:paraId="412DA3CD"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C83.0</w:t>
            </w:r>
          </w:p>
        </w:tc>
      </w:tr>
    </w:tbl>
    <w:p w14:paraId="69DF3519" w14:textId="2CEC25C1" w:rsidR="00AE4EA7" w:rsidRDefault="00000000">
      <w:pPr>
        <w:pStyle w:val="Beschriftung"/>
      </w:pPr>
      <w:bookmarkStart w:id="145" w:name="_Toc150540729"/>
      <w:bookmarkStart w:id="146" w:name="_Toc154606722"/>
      <w:r>
        <w:t xml:space="preserve">Tabelle </w:t>
      </w:r>
      <w:r>
        <w:fldChar w:fldCharType="begin"/>
      </w:r>
      <w:r>
        <w:instrText xml:space="preserve"> SEQ Tabelle \* ARABIC </w:instrText>
      </w:r>
      <w:r>
        <w:fldChar w:fldCharType="separate"/>
      </w:r>
      <w:r w:rsidR="00C9149F">
        <w:rPr>
          <w:noProof/>
        </w:rPr>
        <w:t>5</w:t>
      </w:r>
      <w:r>
        <w:rPr>
          <w:noProof/>
        </w:rPr>
        <w:fldChar w:fldCharType="end"/>
      </w:r>
      <w:r>
        <w:t xml:space="preserve">: </w:t>
      </w:r>
      <w:r w:rsidRPr="004832F9">
        <w:t>Maskiertes</w:t>
      </w:r>
      <w:r>
        <w:t xml:space="preserve"> Geburtsdatum</w:t>
      </w:r>
      <w:bookmarkEnd w:id="145"/>
      <w:bookmarkEnd w:id="146"/>
    </w:p>
    <w:p w14:paraId="3304F4E5" w14:textId="77777777" w:rsidR="00AE4EA7" w:rsidRDefault="00000000">
      <w:pPr>
        <w:pStyle w:val="berschrift3"/>
      </w:pPr>
      <w:bookmarkStart w:id="147" w:name="_Toc154652629"/>
      <w:r>
        <w:t>Mischung/</w:t>
      </w:r>
      <w:r w:rsidRPr="004832F9">
        <w:t>Shuffeling</w:t>
      </w:r>
      <w:bookmarkEnd w:id="147"/>
    </w:p>
    <w:p w14:paraId="6033D5D9" w14:textId="70E5BB92" w:rsidR="00AE4EA7" w:rsidRDefault="00000000">
      <w:r>
        <w:t xml:space="preserve">Bei der Nutzung dieser Methode </w:t>
      </w:r>
      <w:r w:rsidRPr="004832F9">
        <w:t>werden</w:t>
      </w:r>
      <w:r>
        <w:t xml:space="preserve"> die in den Datensätzen enthaltenen Werte </w:t>
      </w:r>
      <w:r w:rsidR="005B1D56">
        <w:t>ver</w:t>
      </w:r>
      <w:r>
        <w:t>tauscht („</w:t>
      </w:r>
      <w:r w:rsidRPr="004832F9">
        <w:t>verwürfelt</w:t>
      </w:r>
      <w:r>
        <w:t>“). Dabei ist zu beachten, dass etwaige</w:t>
      </w:r>
      <w:r w:rsidR="005B1D56">
        <w:t xml:space="preserve"> Informationen</w:t>
      </w:r>
      <w:r>
        <w:t xml:space="preserve">, </w:t>
      </w:r>
      <w:r w:rsidR="005B1D56">
        <w:t xml:space="preserve">welche </w:t>
      </w:r>
      <w:r>
        <w:t xml:space="preserve">eine Person eindeutig identifizieren wie </w:t>
      </w:r>
      <w:r w:rsidR="005B1D56">
        <w:t>z. B.</w:t>
      </w:r>
      <w:r>
        <w:t xml:space="preserve"> eine Telefonnummer oder eine Kreditkartennummer</w:t>
      </w:r>
      <w:r w:rsidR="00497C33">
        <w:t>,</w:t>
      </w:r>
      <w:r>
        <w:t xml:space="preserve"> zur Auflösung des Personenbezugs zusätzlich mit einer weiteren Methode verfremdet werden müssen, um einen Personenbezug ausschließen zu können.</w:t>
      </w:r>
    </w:p>
    <w:p w14:paraId="3F9FCBCF" w14:textId="66A282C5" w:rsidR="00AE4EA7" w:rsidRDefault="00000000">
      <w:r>
        <w:t xml:space="preserve">Die Grundlage für diese Durchmischung sollte eine Zufallsverteilung sein, die jedem Datenfeld die Daten bzw. </w:t>
      </w:r>
      <w:r w:rsidR="005B1D56">
        <w:t xml:space="preserve">die </w:t>
      </w:r>
      <w:r>
        <w:t xml:space="preserve">Teilmenge der Daten eines anderen Datenfeldes zuordnet, wodurch letztlich ein neuer Datensatz </w:t>
      </w:r>
      <w:r w:rsidR="005B1D56">
        <w:t>entsteht</w:t>
      </w:r>
      <w:r>
        <w:t xml:space="preserve">. Bei einer zufälligen Vertauschung </w:t>
      </w:r>
      <w:r w:rsidR="00497C33">
        <w:t>kann</w:t>
      </w:r>
      <w:r>
        <w:t xml:space="preserve"> grundsätzlich nicht aus</w:t>
      </w:r>
      <w:r w:rsidR="00497C33">
        <w:t>geschlossen werden</w:t>
      </w:r>
      <w:r>
        <w:t xml:space="preserve">, dass ein Datensatz auf sich selbst abgebildet wird, </w:t>
      </w:r>
      <w:r w:rsidR="005B1D56">
        <w:t>sodass</w:t>
      </w:r>
      <w:r>
        <w:t xml:space="preserve"> im Ergebnis keine Veränderung stattfinde</w:t>
      </w:r>
      <w:r w:rsidR="00497C33">
        <w:t>t</w:t>
      </w:r>
      <w:r>
        <w:t xml:space="preserve">. Dies </w:t>
      </w:r>
      <w:r w:rsidR="00027508">
        <w:t>muss</w:t>
      </w:r>
      <w:r>
        <w:t xml:space="preserve"> natürlich durch entsprechende Vorkehrungen </w:t>
      </w:r>
      <w:r w:rsidR="00027508">
        <w:t>und geeignete Maßnahmen ausgeschlossen werden</w:t>
      </w:r>
      <w:r>
        <w:t>.</w:t>
      </w:r>
    </w:p>
    <w:p w14:paraId="705AA634" w14:textId="4A6D5E44" w:rsidR="00AE4EA7" w:rsidRDefault="00000000">
      <w:pPr>
        <w:spacing w:after="0"/>
      </w:pPr>
      <w:r>
        <w:rPr>
          <w:b/>
        </w:rPr>
        <w:t>Beispiel:</w:t>
      </w:r>
      <w:r>
        <w:t xml:space="preserve"> Die Daten aus </w:t>
      </w:r>
      <w:r>
        <w:fldChar w:fldCharType="begin"/>
      </w:r>
      <w:r>
        <w:instrText xml:space="preserve"> REF _Ref512152891 \h </w:instrText>
      </w:r>
      <w:r>
        <w:fldChar w:fldCharType="separate"/>
      </w:r>
      <w:r w:rsidR="00C9149F">
        <w:t xml:space="preserve">Tabelle </w:t>
      </w:r>
      <w:r w:rsidR="00C9149F">
        <w:rPr>
          <w:noProof/>
        </w:rPr>
        <w:t>1</w:t>
      </w:r>
      <w:r>
        <w:fldChar w:fldCharType="end"/>
      </w:r>
      <w:r>
        <w:t xml:space="preserve"> werden untereinander vermischt, um so die Identifizierung auszuschließen:</w:t>
      </w:r>
    </w:p>
    <w:tbl>
      <w:tblPr>
        <w:tblW w:w="9478" w:type="dxa"/>
        <w:tblInd w:w="55" w:type="dxa"/>
        <w:tblLayout w:type="fixed"/>
        <w:tblCellMar>
          <w:left w:w="70" w:type="dxa"/>
          <w:right w:w="70" w:type="dxa"/>
        </w:tblCellMar>
        <w:tblLook w:val="04A0" w:firstRow="1" w:lastRow="0" w:firstColumn="1" w:lastColumn="0" w:noHBand="0" w:noVBand="1"/>
      </w:tblPr>
      <w:tblGrid>
        <w:gridCol w:w="1199"/>
        <w:gridCol w:w="1198"/>
        <w:gridCol w:w="1203"/>
        <w:gridCol w:w="952"/>
        <w:gridCol w:w="425"/>
        <w:gridCol w:w="1233"/>
        <w:gridCol w:w="1199"/>
        <w:gridCol w:w="1200"/>
        <w:gridCol w:w="869"/>
      </w:tblGrid>
      <w:tr w:rsidR="00AE4EA7" w14:paraId="46E777FA" w14:textId="77777777">
        <w:trPr>
          <w:trHeight w:val="330"/>
        </w:trPr>
        <w:tc>
          <w:tcPr>
            <w:tcW w:w="4551" w:type="dxa"/>
            <w:gridSpan w:val="4"/>
            <w:tcBorders>
              <w:bottom w:val="single" w:sz="8" w:space="0" w:color="000000"/>
            </w:tcBorders>
            <w:shd w:val="clear" w:color="auto" w:fill="auto"/>
            <w:vAlign w:val="center"/>
          </w:tcPr>
          <w:p w14:paraId="60A70935" w14:textId="77777777" w:rsidR="00AE4EA7" w:rsidRDefault="00000000">
            <w:pPr>
              <w:widowControl w:val="0"/>
              <w:spacing w:after="0" w:line="240" w:lineRule="auto"/>
              <w:jc w:val="center"/>
              <w:rPr>
                <w:rFonts w:ascii="Calibri" w:eastAsia="Times New Roman" w:hAnsi="Calibri" w:cs="Times New Roman"/>
                <w:b/>
                <w:bCs/>
                <w:color w:val="000000"/>
                <w:sz w:val="24"/>
                <w:szCs w:val="24"/>
                <w:lang w:eastAsia="de-DE"/>
              </w:rPr>
            </w:pPr>
            <w:r>
              <w:rPr>
                <w:rFonts w:eastAsia="Times New Roman" w:cs="Times New Roman"/>
                <w:b/>
                <w:bCs/>
                <w:color w:val="000000"/>
                <w:sz w:val="24"/>
                <w:szCs w:val="24"/>
                <w:lang w:eastAsia="de-DE"/>
              </w:rPr>
              <w:t>Original</w:t>
            </w:r>
          </w:p>
        </w:tc>
        <w:tc>
          <w:tcPr>
            <w:tcW w:w="425" w:type="dxa"/>
            <w:shd w:val="clear" w:color="auto" w:fill="auto"/>
            <w:vAlign w:val="bottom"/>
          </w:tcPr>
          <w:p w14:paraId="03191AE3"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4501" w:type="dxa"/>
            <w:gridSpan w:val="4"/>
            <w:tcBorders>
              <w:bottom w:val="single" w:sz="8" w:space="0" w:color="000000"/>
            </w:tcBorders>
            <w:shd w:val="clear" w:color="auto" w:fill="auto"/>
            <w:vAlign w:val="center"/>
          </w:tcPr>
          <w:p w14:paraId="752927C4" w14:textId="77777777" w:rsidR="00AE4EA7" w:rsidRDefault="00000000">
            <w:pPr>
              <w:widowControl w:val="0"/>
              <w:spacing w:after="0" w:line="240" w:lineRule="auto"/>
              <w:jc w:val="center"/>
              <w:rPr>
                <w:rFonts w:ascii="Calibri" w:eastAsia="Times New Roman" w:hAnsi="Calibri" w:cs="Times New Roman"/>
                <w:b/>
                <w:bCs/>
                <w:color w:val="000000"/>
                <w:sz w:val="24"/>
                <w:szCs w:val="24"/>
                <w:lang w:eastAsia="de-DE"/>
              </w:rPr>
            </w:pPr>
            <w:r>
              <w:rPr>
                <w:rFonts w:eastAsia="Times New Roman" w:cs="Times New Roman"/>
                <w:b/>
                <w:bCs/>
                <w:color w:val="000000"/>
                <w:sz w:val="24"/>
                <w:szCs w:val="24"/>
                <w:lang w:eastAsia="de-DE"/>
              </w:rPr>
              <w:t>Mischung</w:t>
            </w:r>
          </w:p>
        </w:tc>
      </w:tr>
      <w:tr w:rsidR="00AE4EA7" w14:paraId="0981840E"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center"/>
          </w:tcPr>
          <w:p w14:paraId="38F28045"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Vorname</w:t>
            </w:r>
          </w:p>
        </w:tc>
        <w:tc>
          <w:tcPr>
            <w:tcW w:w="1198" w:type="dxa"/>
            <w:tcBorders>
              <w:bottom w:val="single" w:sz="8" w:space="0" w:color="000000"/>
              <w:right w:val="single" w:sz="8" w:space="0" w:color="000000"/>
            </w:tcBorders>
            <w:shd w:val="clear" w:color="auto" w:fill="auto"/>
            <w:vAlign w:val="center"/>
          </w:tcPr>
          <w:p w14:paraId="4A2FB7B9"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Nachname</w:t>
            </w:r>
          </w:p>
        </w:tc>
        <w:tc>
          <w:tcPr>
            <w:tcW w:w="1203" w:type="dxa"/>
            <w:tcBorders>
              <w:bottom w:val="single" w:sz="8" w:space="0" w:color="000000"/>
              <w:right w:val="single" w:sz="8" w:space="0" w:color="000000"/>
            </w:tcBorders>
            <w:shd w:val="clear" w:color="auto" w:fill="auto"/>
            <w:vAlign w:val="center"/>
          </w:tcPr>
          <w:p w14:paraId="23A81A30"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c>
          <w:tcPr>
            <w:tcW w:w="952" w:type="dxa"/>
            <w:tcBorders>
              <w:bottom w:val="single" w:sz="8" w:space="0" w:color="000000"/>
              <w:right w:val="single" w:sz="8" w:space="0" w:color="000000"/>
            </w:tcBorders>
            <w:shd w:val="clear" w:color="auto" w:fill="auto"/>
            <w:vAlign w:val="center"/>
          </w:tcPr>
          <w:p w14:paraId="03015F16"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ICD</w:t>
            </w:r>
          </w:p>
        </w:tc>
        <w:tc>
          <w:tcPr>
            <w:tcW w:w="425" w:type="dxa"/>
            <w:shd w:val="clear" w:color="auto" w:fill="auto"/>
            <w:vAlign w:val="bottom"/>
          </w:tcPr>
          <w:p w14:paraId="66A97295"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center"/>
          </w:tcPr>
          <w:p w14:paraId="0D9DA2B0"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Vorname</w:t>
            </w:r>
          </w:p>
        </w:tc>
        <w:tc>
          <w:tcPr>
            <w:tcW w:w="1199" w:type="dxa"/>
            <w:tcBorders>
              <w:bottom w:val="single" w:sz="8" w:space="0" w:color="000000"/>
              <w:right w:val="single" w:sz="8" w:space="0" w:color="000000"/>
            </w:tcBorders>
            <w:shd w:val="clear" w:color="auto" w:fill="auto"/>
            <w:vAlign w:val="center"/>
          </w:tcPr>
          <w:p w14:paraId="7376FB46"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Nachname</w:t>
            </w:r>
          </w:p>
        </w:tc>
        <w:tc>
          <w:tcPr>
            <w:tcW w:w="1200" w:type="dxa"/>
            <w:tcBorders>
              <w:bottom w:val="single" w:sz="8" w:space="0" w:color="000000"/>
              <w:right w:val="single" w:sz="8" w:space="0" w:color="000000"/>
            </w:tcBorders>
            <w:shd w:val="clear" w:color="auto" w:fill="auto"/>
            <w:vAlign w:val="center"/>
          </w:tcPr>
          <w:p w14:paraId="36929541"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c>
          <w:tcPr>
            <w:tcW w:w="869" w:type="dxa"/>
            <w:tcBorders>
              <w:bottom w:val="single" w:sz="8" w:space="0" w:color="000000"/>
              <w:right w:val="single" w:sz="8" w:space="0" w:color="000000"/>
            </w:tcBorders>
            <w:shd w:val="clear" w:color="auto" w:fill="auto"/>
            <w:vAlign w:val="center"/>
          </w:tcPr>
          <w:p w14:paraId="3074BCF3"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ICD</w:t>
            </w:r>
          </w:p>
        </w:tc>
      </w:tr>
      <w:tr w:rsidR="00AE4EA7" w14:paraId="1B18E728"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48B3D56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Käthe</w:t>
            </w:r>
          </w:p>
        </w:tc>
        <w:tc>
          <w:tcPr>
            <w:tcW w:w="1198" w:type="dxa"/>
            <w:tcBorders>
              <w:bottom w:val="single" w:sz="8" w:space="0" w:color="000000"/>
              <w:right w:val="single" w:sz="8" w:space="0" w:color="000000"/>
            </w:tcBorders>
            <w:shd w:val="clear" w:color="auto" w:fill="auto"/>
            <w:vAlign w:val="bottom"/>
          </w:tcPr>
          <w:p w14:paraId="360E420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Albers</w:t>
            </w:r>
          </w:p>
        </w:tc>
        <w:tc>
          <w:tcPr>
            <w:tcW w:w="1203" w:type="dxa"/>
            <w:tcBorders>
              <w:bottom w:val="single" w:sz="8" w:space="0" w:color="000000"/>
              <w:right w:val="single" w:sz="8" w:space="0" w:color="000000"/>
            </w:tcBorders>
            <w:shd w:val="clear" w:color="auto" w:fill="auto"/>
            <w:vAlign w:val="bottom"/>
          </w:tcPr>
          <w:p w14:paraId="5C080B8A"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27.05.1975</w:t>
            </w:r>
          </w:p>
        </w:tc>
        <w:tc>
          <w:tcPr>
            <w:tcW w:w="952" w:type="dxa"/>
            <w:tcBorders>
              <w:bottom w:val="single" w:sz="8" w:space="0" w:color="000000"/>
              <w:right w:val="single" w:sz="8" w:space="0" w:color="000000"/>
            </w:tcBorders>
            <w:shd w:val="clear" w:color="auto" w:fill="auto"/>
            <w:vAlign w:val="bottom"/>
          </w:tcPr>
          <w:p w14:paraId="3BAF96C8"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C83.0</w:t>
            </w:r>
          </w:p>
        </w:tc>
        <w:tc>
          <w:tcPr>
            <w:tcW w:w="425" w:type="dxa"/>
            <w:shd w:val="clear" w:color="auto" w:fill="auto"/>
            <w:vAlign w:val="bottom"/>
          </w:tcPr>
          <w:p w14:paraId="5A3854D7"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3E1BA24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Uwe</w:t>
            </w:r>
          </w:p>
        </w:tc>
        <w:tc>
          <w:tcPr>
            <w:tcW w:w="1199" w:type="dxa"/>
            <w:tcBorders>
              <w:bottom w:val="single" w:sz="8" w:space="0" w:color="000000"/>
              <w:right w:val="single" w:sz="8" w:space="0" w:color="000000"/>
            </w:tcBorders>
            <w:shd w:val="clear" w:color="auto" w:fill="auto"/>
            <w:vAlign w:val="bottom"/>
          </w:tcPr>
          <w:p w14:paraId="452E813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Albers</w:t>
            </w:r>
          </w:p>
        </w:tc>
        <w:tc>
          <w:tcPr>
            <w:tcW w:w="1200" w:type="dxa"/>
            <w:tcBorders>
              <w:bottom w:val="single" w:sz="8" w:space="0" w:color="000000"/>
              <w:right w:val="single" w:sz="8" w:space="0" w:color="000000"/>
            </w:tcBorders>
            <w:shd w:val="clear" w:color="auto" w:fill="auto"/>
            <w:vAlign w:val="bottom"/>
          </w:tcPr>
          <w:p w14:paraId="242131D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28.08.1991</w:t>
            </w:r>
          </w:p>
        </w:tc>
        <w:tc>
          <w:tcPr>
            <w:tcW w:w="869" w:type="dxa"/>
            <w:tcBorders>
              <w:bottom w:val="single" w:sz="8" w:space="0" w:color="000000"/>
              <w:right w:val="single" w:sz="8" w:space="0" w:color="000000"/>
            </w:tcBorders>
            <w:shd w:val="clear" w:color="auto" w:fill="auto"/>
            <w:vAlign w:val="bottom"/>
          </w:tcPr>
          <w:p w14:paraId="2881EAC9"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C16.3</w:t>
            </w:r>
          </w:p>
        </w:tc>
      </w:tr>
      <w:tr w:rsidR="00AE4EA7" w14:paraId="20E09275"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25689D9C" w14:textId="05F8A6C9" w:rsidR="00AE4EA7" w:rsidRDefault="00B979F5">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Frieda</w:t>
            </w:r>
          </w:p>
        </w:tc>
        <w:tc>
          <w:tcPr>
            <w:tcW w:w="1198" w:type="dxa"/>
            <w:tcBorders>
              <w:bottom w:val="single" w:sz="8" w:space="0" w:color="000000"/>
              <w:right w:val="single" w:sz="8" w:space="0" w:color="000000"/>
            </w:tcBorders>
            <w:shd w:val="clear" w:color="auto" w:fill="auto"/>
            <w:vAlign w:val="bottom"/>
          </w:tcPr>
          <w:p w14:paraId="3973265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Fischer</w:t>
            </w:r>
          </w:p>
        </w:tc>
        <w:tc>
          <w:tcPr>
            <w:tcW w:w="1203" w:type="dxa"/>
            <w:tcBorders>
              <w:bottom w:val="single" w:sz="8" w:space="0" w:color="000000"/>
              <w:right w:val="single" w:sz="8" w:space="0" w:color="000000"/>
            </w:tcBorders>
            <w:shd w:val="clear" w:color="auto" w:fill="auto"/>
            <w:vAlign w:val="bottom"/>
          </w:tcPr>
          <w:p w14:paraId="11939C93"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15.11.1987</w:t>
            </w:r>
          </w:p>
        </w:tc>
        <w:tc>
          <w:tcPr>
            <w:tcW w:w="952" w:type="dxa"/>
            <w:tcBorders>
              <w:bottom w:val="single" w:sz="8" w:space="0" w:color="000000"/>
              <w:right w:val="single" w:sz="8" w:space="0" w:color="000000"/>
            </w:tcBorders>
            <w:shd w:val="clear" w:color="auto" w:fill="auto"/>
            <w:vAlign w:val="bottom"/>
          </w:tcPr>
          <w:p w14:paraId="66EA5E42"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C50.8</w:t>
            </w:r>
          </w:p>
        </w:tc>
        <w:tc>
          <w:tcPr>
            <w:tcW w:w="425" w:type="dxa"/>
            <w:shd w:val="clear" w:color="auto" w:fill="auto"/>
            <w:vAlign w:val="bottom"/>
          </w:tcPr>
          <w:p w14:paraId="482F0648"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4F10DF1B"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Michael</w:t>
            </w:r>
          </w:p>
        </w:tc>
        <w:tc>
          <w:tcPr>
            <w:tcW w:w="1199" w:type="dxa"/>
            <w:tcBorders>
              <w:bottom w:val="single" w:sz="8" w:space="0" w:color="000000"/>
              <w:right w:val="single" w:sz="8" w:space="0" w:color="000000"/>
            </w:tcBorders>
            <w:shd w:val="clear" w:color="auto" w:fill="auto"/>
            <w:vAlign w:val="bottom"/>
          </w:tcPr>
          <w:p w14:paraId="554BFEA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Fischer</w:t>
            </w:r>
          </w:p>
        </w:tc>
        <w:tc>
          <w:tcPr>
            <w:tcW w:w="1200" w:type="dxa"/>
            <w:tcBorders>
              <w:bottom w:val="single" w:sz="8" w:space="0" w:color="000000"/>
              <w:right w:val="single" w:sz="8" w:space="0" w:color="000000"/>
            </w:tcBorders>
            <w:shd w:val="clear" w:color="auto" w:fill="auto"/>
            <w:vAlign w:val="bottom"/>
          </w:tcPr>
          <w:p w14:paraId="5F7613F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31.03.1988</w:t>
            </w:r>
          </w:p>
        </w:tc>
        <w:tc>
          <w:tcPr>
            <w:tcW w:w="869" w:type="dxa"/>
            <w:tcBorders>
              <w:bottom w:val="single" w:sz="8" w:space="0" w:color="000000"/>
              <w:right w:val="single" w:sz="8" w:space="0" w:color="000000"/>
            </w:tcBorders>
            <w:shd w:val="clear" w:color="auto" w:fill="auto"/>
            <w:vAlign w:val="bottom"/>
          </w:tcPr>
          <w:p w14:paraId="4FE86110"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C18.4</w:t>
            </w:r>
          </w:p>
        </w:tc>
      </w:tr>
      <w:tr w:rsidR="00AE4EA7" w14:paraId="5DA3DD46"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625F5EB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Kunigunde</w:t>
            </w:r>
          </w:p>
        </w:tc>
        <w:tc>
          <w:tcPr>
            <w:tcW w:w="1198" w:type="dxa"/>
            <w:tcBorders>
              <w:bottom w:val="single" w:sz="8" w:space="0" w:color="000000"/>
              <w:right w:val="single" w:sz="8" w:space="0" w:color="000000"/>
            </w:tcBorders>
            <w:shd w:val="clear" w:color="auto" w:fill="auto"/>
            <w:vAlign w:val="bottom"/>
          </w:tcPr>
          <w:p w14:paraId="7FC1152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Gewaltig</w:t>
            </w:r>
          </w:p>
        </w:tc>
        <w:tc>
          <w:tcPr>
            <w:tcW w:w="1203" w:type="dxa"/>
            <w:tcBorders>
              <w:bottom w:val="single" w:sz="8" w:space="0" w:color="000000"/>
              <w:right w:val="single" w:sz="8" w:space="0" w:color="000000"/>
            </w:tcBorders>
            <w:shd w:val="clear" w:color="auto" w:fill="auto"/>
            <w:vAlign w:val="bottom"/>
          </w:tcPr>
          <w:p w14:paraId="2D564DDE"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21.01.1969</w:t>
            </w:r>
          </w:p>
        </w:tc>
        <w:tc>
          <w:tcPr>
            <w:tcW w:w="952" w:type="dxa"/>
            <w:tcBorders>
              <w:bottom w:val="single" w:sz="8" w:space="0" w:color="000000"/>
              <w:right w:val="single" w:sz="8" w:space="0" w:color="000000"/>
            </w:tcBorders>
            <w:shd w:val="clear" w:color="auto" w:fill="auto"/>
            <w:vAlign w:val="bottom"/>
          </w:tcPr>
          <w:p w14:paraId="62F6147D"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C91.10</w:t>
            </w:r>
          </w:p>
        </w:tc>
        <w:tc>
          <w:tcPr>
            <w:tcW w:w="425" w:type="dxa"/>
            <w:shd w:val="clear" w:color="auto" w:fill="auto"/>
            <w:vAlign w:val="bottom"/>
          </w:tcPr>
          <w:p w14:paraId="157CED42"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74A6BB6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Kunigunde</w:t>
            </w:r>
          </w:p>
        </w:tc>
        <w:tc>
          <w:tcPr>
            <w:tcW w:w="1199" w:type="dxa"/>
            <w:tcBorders>
              <w:bottom w:val="single" w:sz="8" w:space="0" w:color="000000"/>
              <w:right w:val="single" w:sz="8" w:space="0" w:color="000000"/>
            </w:tcBorders>
            <w:shd w:val="clear" w:color="auto" w:fill="auto"/>
            <w:vAlign w:val="bottom"/>
          </w:tcPr>
          <w:p w14:paraId="3B6FD0E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Gewaltig</w:t>
            </w:r>
          </w:p>
        </w:tc>
        <w:tc>
          <w:tcPr>
            <w:tcW w:w="1200" w:type="dxa"/>
            <w:tcBorders>
              <w:bottom w:val="single" w:sz="8" w:space="0" w:color="000000"/>
              <w:right w:val="single" w:sz="8" w:space="0" w:color="000000"/>
            </w:tcBorders>
            <w:shd w:val="clear" w:color="auto" w:fill="auto"/>
            <w:vAlign w:val="bottom"/>
          </w:tcPr>
          <w:p w14:paraId="4BAF1FFD"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15.11.1987</w:t>
            </w:r>
          </w:p>
        </w:tc>
        <w:tc>
          <w:tcPr>
            <w:tcW w:w="869" w:type="dxa"/>
            <w:tcBorders>
              <w:bottom w:val="single" w:sz="8" w:space="0" w:color="000000"/>
              <w:right w:val="single" w:sz="8" w:space="0" w:color="000000"/>
            </w:tcBorders>
            <w:shd w:val="clear" w:color="auto" w:fill="auto"/>
            <w:vAlign w:val="bottom"/>
          </w:tcPr>
          <w:p w14:paraId="186B0B79"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C43.9</w:t>
            </w:r>
          </w:p>
        </w:tc>
      </w:tr>
      <w:tr w:rsidR="00AE4EA7" w14:paraId="1E306CB8"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726CA8B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Franz</w:t>
            </w:r>
          </w:p>
        </w:tc>
        <w:tc>
          <w:tcPr>
            <w:tcW w:w="1198" w:type="dxa"/>
            <w:tcBorders>
              <w:bottom w:val="single" w:sz="8" w:space="0" w:color="000000"/>
              <w:right w:val="single" w:sz="8" w:space="0" w:color="000000"/>
            </w:tcBorders>
            <w:shd w:val="clear" w:color="auto" w:fill="auto"/>
            <w:vAlign w:val="bottom"/>
          </w:tcPr>
          <w:p w14:paraId="4D921A20"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Herrlich</w:t>
            </w:r>
          </w:p>
        </w:tc>
        <w:tc>
          <w:tcPr>
            <w:tcW w:w="1203" w:type="dxa"/>
            <w:tcBorders>
              <w:bottom w:val="single" w:sz="8" w:space="0" w:color="000000"/>
              <w:right w:val="single" w:sz="8" w:space="0" w:color="000000"/>
            </w:tcBorders>
            <w:shd w:val="clear" w:color="auto" w:fill="auto"/>
            <w:vAlign w:val="bottom"/>
          </w:tcPr>
          <w:p w14:paraId="790111C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17.11.1967</w:t>
            </w:r>
          </w:p>
        </w:tc>
        <w:tc>
          <w:tcPr>
            <w:tcW w:w="952" w:type="dxa"/>
            <w:tcBorders>
              <w:bottom w:val="single" w:sz="8" w:space="0" w:color="000000"/>
              <w:right w:val="single" w:sz="8" w:space="0" w:color="000000"/>
            </w:tcBorders>
            <w:shd w:val="clear" w:color="auto" w:fill="auto"/>
            <w:vAlign w:val="bottom"/>
          </w:tcPr>
          <w:p w14:paraId="39138BBB"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D12.8</w:t>
            </w:r>
          </w:p>
        </w:tc>
        <w:tc>
          <w:tcPr>
            <w:tcW w:w="425" w:type="dxa"/>
            <w:shd w:val="clear" w:color="auto" w:fill="auto"/>
            <w:vAlign w:val="bottom"/>
          </w:tcPr>
          <w:p w14:paraId="3DE464C4"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7DFA994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Käthe</w:t>
            </w:r>
          </w:p>
        </w:tc>
        <w:tc>
          <w:tcPr>
            <w:tcW w:w="1199" w:type="dxa"/>
            <w:tcBorders>
              <w:bottom w:val="single" w:sz="8" w:space="0" w:color="000000"/>
              <w:right w:val="single" w:sz="8" w:space="0" w:color="000000"/>
            </w:tcBorders>
            <w:shd w:val="clear" w:color="auto" w:fill="auto"/>
            <w:vAlign w:val="bottom"/>
          </w:tcPr>
          <w:p w14:paraId="11D63B9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Herrlich</w:t>
            </w:r>
          </w:p>
        </w:tc>
        <w:tc>
          <w:tcPr>
            <w:tcW w:w="1200" w:type="dxa"/>
            <w:tcBorders>
              <w:bottom w:val="single" w:sz="8" w:space="0" w:color="000000"/>
              <w:right w:val="single" w:sz="8" w:space="0" w:color="000000"/>
            </w:tcBorders>
            <w:shd w:val="clear" w:color="auto" w:fill="auto"/>
            <w:vAlign w:val="bottom"/>
          </w:tcPr>
          <w:p w14:paraId="62B8D5C3"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15.07.1987</w:t>
            </w:r>
          </w:p>
        </w:tc>
        <w:tc>
          <w:tcPr>
            <w:tcW w:w="869" w:type="dxa"/>
            <w:tcBorders>
              <w:bottom w:val="single" w:sz="8" w:space="0" w:color="000000"/>
              <w:right w:val="single" w:sz="8" w:space="0" w:color="000000"/>
            </w:tcBorders>
            <w:shd w:val="clear" w:color="auto" w:fill="auto"/>
            <w:vAlign w:val="bottom"/>
          </w:tcPr>
          <w:p w14:paraId="67ED85BC"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C50.1</w:t>
            </w:r>
          </w:p>
        </w:tc>
      </w:tr>
      <w:tr w:rsidR="00AE4EA7" w14:paraId="09FB11B4"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42C7862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Gerfriede</w:t>
            </w:r>
          </w:p>
        </w:tc>
        <w:tc>
          <w:tcPr>
            <w:tcW w:w="1198" w:type="dxa"/>
            <w:tcBorders>
              <w:bottom w:val="single" w:sz="8" w:space="0" w:color="000000"/>
              <w:right w:val="single" w:sz="8" w:space="0" w:color="000000"/>
            </w:tcBorders>
            <w:shd w:val="clear" w:color="auto" w:fill="auto"/>
            <w:vAlign w:val="bottom"/>
          </w:tcPr>
          <w:p w14:paraId="7B71EED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Jensen</w:t>
            </w:r>
          </w:p>
        </w:tc>
        <w:tc>
          <w:tcPr>
            <w:tcW w:w="1203" w:type="dxa"/>
            <w:tcBorders>
              <w:bottom w:val="single" w:sz="8" w:space="0" w:color="000000"/>
              <w:right w:val="single" w:sz="8" w:space="0" w:color="000000"/>
            </w:tcBorders>
            <w:shd w:val="clear" w:color="auto" w:fill="auto"/>
            <w:vAlign w:val="bottom"/>
          </w:tcPr>
          <w:p w14:paraId="5CE581AE"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23.07.1983</w:t>
            </w:r>
          </w:p>
        </w:tc>
        <w:tc>
          <w:tcPr>
            <w:tcW w:w="952" w:type="dxa"/>
            <w:tcBorders>
              <w:bottom w:val="single" w:sz="8" w:space="0" w:color="000000"/>
              <w:right w:val="single" w:sz="8" w:space="0" w:color="000000"/>
            </w:tcBorders>
            <w:shd w:val="clear" w:color="auto" w:fill="auto"/>
            <w:vAlign w:val="bottom"/>
          </w:tcPr>
          <w:p w14:paraId="6BACD18A"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C50.1</w:t>
            </w:r>
          </w:p>
        </w:tc>
        <w:tc>
          <w:tcPr>
            <w:tcW w:w="425" w:type="dxa"/>
            <w:shd w:val="clear" w:color="auto" w:fill="auto"/>
            <w:vAlign w:val="bottom"/>
          </w:tcPr>
          <w:p w14:paraId="5FEF9976"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05DF274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Jürgen</w:t>
            </w:r>
          </w:p>
        </w:tc>
        <w:tc>
          <w:tcPr>
            <w:tcW w:w="1199" w:type="dxa"/>
            <w:tcBorders>
              <w:bottom w:val="single" w:sz="8" w:space="0" w:color="000000"/>
              <w:right w:val="single" w:sz="8" w:space="0" w:color="000000"/>
            </w:tcBorders>
            <w:shd w:val="clear" w:color="auto" w:fill="auto"/>
            <w:vAlign w:val="bottom"/>
          </w:tcPr>
          <w:p w14:paraId="5CF369D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Jensen</w:t>
            </w:r>
          </w:p>
        </w:tc>
        <w:tc>
          <w:tcPr>
            <w:tcW w:w="1200" w:type="dxa"/>
            <w:tcBorders>
              <w:bottom w:val="single" w:sz="8" w:space="0" w:color="000000"/>
              <w:right w:val="single" w:sz="8" w:space="0" w:color="000000"/>
            </w:tcBorders>
            <w:shd w:val="clear" w:color="auto" w:fill="auto"/>
            <w:vAlign w:val="bottom"/>
          </w:tcPr>
          <w:p w14:paraId="013172FF"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29.11.1985</w:t>
            </w:r>
          </w:p>
        </w:tc>
        <w:tc>
          <w:tcPr>
            <w:tcW w:w="869" w:type="dxa"/>
            <w:tcBorders>
              <w:bottom w:val="single" w:sz="8" w:space="0" w:color="000000"/>
              <w:right w:val="single" w:sz="8" w:space="0" w:color="000000"/>
            </w:tcBorders>
            <w:shd w:val="clear" w:color="auto" w:fill="auto"/>
            <w:vAlign w:val="bottom"/>
          </w:tcPr>
          <w:p w14:paraId="61155216"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C50.3</w:t>
            </w:r>
          </w:p>
        </w:tc>
      </w:tr>
      <w:tr w:rsidR="00AE4EA7" w14:paraId="09E77D44"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7FE2E10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Berthold</w:t>
            </w:r>
          </w:p>
        </w:tc>
        <w:tc>
          <w:tcPr>
            <w:tcW w:w="1198" w:type="dxa"/>
            <w:tcBorders>
              <w:bottom w:val="single" w:sz="8" w:space="0" w:color="000000"/>
              <w:right w:val="single" w:sz="8" w:space="0" w:color="000000"/>
            </w:tcBorders>
            <w:shd w:val="clear" w:color="auto" w:fill="auto"/>
            <w:vAlign w:val="bottom"/>
          </w:tcPr>
          <w:p w14:paraId="3DE0DEE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Koch</w:t>
            </w:r>
          </w:p>
        </w:tc>
        <w:tc>
          <w:tcPr>
            <w:tcW w:w="1203" w:type="dxa"/>
            <w:tcBorders>
              <w:bottom w:val="single" w:sz="8" w:space="0" w:color="000000"/>
              <w:right w:val="single" w:sz="8" w:space="0" w:color="000000"/>
            </w:tcBorders>
            <w:shd w:val="clear" w:color="auto" w:fill="auto"/>
            <w:vAlign w:val="bottom"/>
          </w:tcPr>
          <w:p w14:paraId="76D437D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28.08.1991</w:t>
            </w:r>
          </w:p>
        </w:tc>
        <w:tc>
          <w:tcPr>
            <w:tcW w:w="952" w:type="dxa"/>
            <w:tcBorders>
              <w:bottom w:val="single" w:sz="8" w:space="0" w:color="000000"/>
              <w:right w:val="single" w:sz="8" w:space="0" w:color="000000"/>
            </w:tcBorders>
            <w:shd w:val="clear" w:color="auto" w:fill="auto"/>
            <w:vAlign w:val="bottom"/>
          </w:tcPr>
          <w:p w14:paraId="466EC025"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D12.6</w:t>
            </w:r>
          </w:p>
        </w:tc>
        <w:tc>
          <w:tcPr>
            <w:tcW w:w="425" w:type="dxa"/>
            <w:shd w:val="clear" w:color="auto" w:fill="auto"/>
            <w:vAlign w:val="bottom"/>
          </w:tcPr>
          <w:p w14:paraId="21CE164C"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7A3A26B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Jan</w:t>
            </w:r>
          </w:p>
        </w:tc>
        <w:tc>
          <w:tcPr>
            <w:tcW w:w="1199" w:type="dxa"/>
            <w:tcBorders>
              <w:bottom w:val="single" w:sz="8" w:space="0" w:color="000000"/>
              <w:right w:val="single" w:sz="8" w:space="0" w:color="000000"/>
            </w:tcBorders>
            <w:shd w:val="clear" w:color="auto" w:fill="auto"/>
            <w:vAlign w:val="bottom"/>
          </w:tcPr>
          <w:p w14:paraId="23EB404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Koch</w:t>
            </w:r>
          </w:p>
        </w:tc>
        <w:tc>
          <w:tcPr>
            <w:tcW w:w="1200" w:type="dxa"/>
            <w:tcBorders>
              <w:bottom w:val="single" w:sz="8" w:space="0" w:color="000000"/>
              <w:right w:val="single" w:sz="8" w:space="0" w:color="000000"/>
            </w:tcBorders>
            <w:shd w:val="clear" w:color="auto" w:fill="auto"/>
            <w:vAlign w:val="bottom"/>
          </w:tcPr>
          <w:p w14:paraId="130D8D8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23.07.1983</w:t>
            </w:r>
          </w:p>
        </w:tc>
        <w:tc>
          <w:tcPr>
            <w:tcW w:w="869" w:type="dxa"/>
            <w:tcBorders>
              <w:bottom w:val="single" w:sz="8" w:space="0" w:color="000000"/>
              <w:right w:val="single" w:sz="8" w:space="0" w:color="000000"/>
            </w:tcBorders>
            <w:shd w:val="clear" w:color="auto" w:fill="auto"/>
            <w:vAlign w:val="bottom"/>
          </w:tcPr>
          <w:p w14:paraId="09FB548E"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C50.8</w:t>
            </w:r>
          </w:p>
        </w:tc>
      </w:tr>
      <w:tr w:rsidR="00AE4EA7" w14:paraId="5EE24040"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10BD5D9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Michael</w:t>
            </w:r>
          </w:p>
        </w:tc>
        <w:tc>
          <w:tcPr>
            <w:tcW w:w="1198" w:type="dxa"/>
            <w:tcBorders>
              <w:bottom w:val="single" w:sz="8" w:space="0" w:color="000000"/>
              <w:right w:val="single" w:sz="8" w:space="0" w:color="000000"/>
            </w:tcBorders>
            <w:shd w:val="clear" w:color="auto" w:fill="auto"/>
            <w:vAlign w:val="bottom"/>
          </w:tcPr>
          <w:p w14:paraId="4BBC330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Matuschek</w:t>
            </w:r>
          </w:p>
        </w:tc>
        <w:tc>
          <w:tcPr>
            <w:tcW w:w="1203" w:type="dxa"/>
            <w:tcBorders>
              <w:bottom w:val="single" w:sz="8" w:space="0" w:color="000000"/>
              <w:right w:val="single" w:sz="8" w:space="0" w:color="000000"/>
            </w:tcBorders>
            <w:shd w:val="clear" w:color="auto" w:fill="auto"/>
            <w:vAlign w:val="bottom"/>
          </w:tcPr>
          <w:p w14:paraId="0DFFB20D"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13.04.1968</w:t>
            </w:r>
          </w:p>
        </w:tc>
        <w:tc>
          <w:tcPr>
            <w:tcW w:w="952" w:type="dxa"/>
            <w:tcBorders>
              <w:bottom w:val="single" w:sz="8" w:space="0" w:color="000000"/>
              <w:right w:val="single" w:sz="8" w:space="0" w:color="000000"/>
            </w:tcBorders>
            <w:shd w:val="clear" w:color="auto" w:fill="auto"/>
            <w:vAlign w:val="bottom"/>
          </w:tcPr>
          <w:p w14:paraId="255E49E8"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D46.2</w:t>
            </w:r>
          </w:p>
        </w:tc>
        <w:tc>
          <w:tcPr>
            <w:tcW w:w="425" w:type="dxa"/>
            <w:shd w:val="clear" w:color="auto" w:fill="auto"/>
            <w:vAlign w:val="bottom"/>
          </w:tcPr>
          <w:p w14:paraId="2D461110"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74096D1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Hugo-Egon</w:t>
            </w:r>
          </w:p>
        </w:tc>
        <w:tc>
          <w:tcPr>
            <w:tcW w:w="1199" w:type="dxa"/>
            <w:tcBorders>
              <w:bottom w:val="single" w:sz="8" w:space="0" w:color="000000"/>
              <w:right w:val="single" w:sz="8" w:space="0" w:color="000000"/>
            </w:tcBorders>
            <w:shd w:val="clear" w:color="auto" w:fill="auto"/>
            <w:vAlign w:val="bottom"/>
          </w:tcPr>
          <w:p w14:paraId="28AB5391"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Matuschek</w:t>
            </w:r>
          </w:p>
        </w:tc>
        <w:tc>
          <w:tcPr>
            <w:tcW w:w="1200" w:type="dxa"/>
            <w:tcBorders>
              <w:bottom w:val="single" w:sz="8" w:space="0" w:color="000000"/>
              <w:right w:val="single" w:sz="8" w:space="0" w:color="000000"/>
            </w:tcBorders>
            <w:shd w:val="clear" w:color="auto" w:fill="auto"/>
            <w:vAlign w:val="bottom"/>
          </w:tcPr>
          <w:p w14:paraId="4FB1A25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11.05.1983</w:t>
            </w:r>
          </w:p>
        </w:tc>
        <w:tc>
          <w:tcPr>
            <w:tcW w:w="869" w:type="dxa"/>
            <w:tcBorders>
              <w:bottom w:val="single" w:sz="8" w:space="0" w:color="000000"/>
              <w:right w:val="single" w:sz="8" w:space="0" w:color="000000"/>
            </w:tcBorders>
            <w:shd w:val="clear" w:color="auto" w:fill="auto"/>
            <w:vAlign w:val="bottom"/>
          </w:tcPr>
          <w:p w14:paraId="6CADB413"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C83.0</w:t>
            </w:r>
          </w:p>
        </w:tc>
      </w:tr>
      <w:tr w:rsidR="00AE4EA7" w14:paraId="35603A04"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28C7C120"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Hugo-Egon</w:t>
            </w:r>
          </w:p>
        </w:tc>
        <w:tc>
          <w:tcPr>
            <w:tcW w:w="1198" w:type="dxa"/>
            <w:tcBorders>
              <w:bottom w:val="single" w:sz="8" w:space="0" w:color="000000"/>
              <w:right w:val="single" w:sz="8" w:space="0" w:color="000000"/>
            </w:tcBorders>
            <w:shd w:val="clear" w:color="auto" w:fill="auto"/>
            <w:vAlign w:val="bottom"/>
          </w:tcPr>
          <w:p w14:paraId="1248B55B"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Meyer</w:t>
            </w:r>
          </w:p>
        </w:tc>
        <w:tc>
          <w:tcPr>
            <w:tcW w:w="1203" w:type="dxa"/>
            <w:tcBorders>
              <w:bottom w:val="single" w:sz="8" w:space="0" w:color="000000"/>
              <w:right w:val="single" w:sz="8" w:space="0" w:color="000000"/>
            </w:tcBorders>
            <w:shd w:val="clear" w:color="auto" w:fill="auto"/>
            <w:vAlign w:val="bottom"/>
          </w:tcPr>
          <w:p w14:paraId="0A62178A"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27.08.1977</w:t>
            </w:r>
          </w:p>
        </w:tc>
        <w:tc>
          <w:tcPr>
            <w:tcW w:w="952" w:type="dxa"/>
            <w:tcBorders>
              <w:bottom w:val="single" w:sz="8" w:space="0" w:color="000000"/>
              <w:right w:val="single" w:sz="8" w:space="0" w:color="000000"/>
            </w:tcBorders>
            <w:shd w:val="clear" w:color="auto" w:fill="auto"/>
            <w:vAlign w:val="bottom"/>
          </w:tcPr>
          <w:p w14:paraId="702DB470"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C85.9</w:t>
            </w:r>
          </w:p>
        </w:tc>
        <w:tc>
          <w:tcPr>
            <w:tcW w:w="425" w:type="dxa"/>
            <w:shd w:val="clear" w:color="auto" w:fill="auto"/>
            <w:vAlign w:val="bottom"/>
          </w:tcPr>
          <w:p w14:paraId="24702C71"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7E65B95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Hiltrud</w:t>
            </w:r>
          </w:p>
        </w:tc>
        <w:tc>
          <w:tcPr>
            <w:tcW w:w="1199" w:type="dxa"/>
            <w:tcBorders>
              <w:bottom w:val="single" w:sz="8" w:space="0" w:color="000000"/>
              <w:right w:val="single" w:sz="8" w:space="0" w:color="000000"/>
            </w:tcBorders>
            <w:shd w:val="clear" w:color="auto" w:fill="auto"/>
            <w:vAlign w:val="bottom"/>
          </w:tcPr>
          <w:p w14:paraId="1F84846B"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Meyer</w:t>
            </w:r>
          </w:p>
        </w:tc>
        <w:tc>
          <w:tcPr>
            <w:tcW w:w="1200" w:type="dxa"/>
            <w:tcBorders>
              <w:bottom w:val="single" w:sz="8" w:space="0" w:color="000000"/>
              <w:right w:val="single" w:sz="8" w:space="0" w:color="000000"/>
            </w:tcBorders>
            <w:shd w:val="clear" w:color="auto" w:fill="auto"/>
            <w:vAlign w:val="bottom"/>
          </w:tcPr>
          <w:p w14:paraId="39D8C4BA"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23.12.1981</w:t>
            </w:r>
          </w:p>
        </w:tc>
        <w:tc>
          <w:tcPr>
            <w:tcW w:w="869" w:type="dxa"/>
            <w:tcBorders>
              <w:bottom w:val="single" w:sz="8" w:space="0" w:color="000000"/>
              <w:right w:val="single" w:sz="8" w:space="0" w:color="000000"/>
            </w:tcBorders>
            <w:shd w:val="clear" w:color="auto" w:fill="auto"/>
            <w:vAlign w:val="bottom"/>
          </w:tcPr>
          <w:p w14:paraId="4BFFF4D4"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C85.9</w:t>
            </w:r>
          </w:p>
        </w:tc>
      </w:tr>
      <w:tr w:rsidR="00AE4EA7" w14:paraId="1657D3D8"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479E6C7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Uwe</w:t>
            </w:r>
          </w:p>
        </w:tc>
        <w:tc>
          <w:tcPr>
            <w:tcW w:w="1198" w:type="dxa"/>
            <w:tcBorders>
              <w:bottom w:val="single" w:sz="8" w:space="0" w:color="000000"/>
              <w:right w:val="single" w:sz="8" w:space="0" w:color="000000"/>
            </w:tcBorders>
            <w:shd w:val="clear" w:color="auto" w:fill="auto"/>
            <w:vAlign w:val="bottom"/>
          </w:tcPr>
          <w:p w14:paraId="23B4EABA"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Müller</w:t>
            </w:r>
          </w:p>
        </w:tc>
        <w:tc>
          <w:tcPr>
            <w:tcW w:w="1203" w:type="dxa"/>
            <w:tcBorders>
              <w:bottom w:val="single" w:sz="8" w:space="0" w:color="000000"/>
              <w:right w:val="single" w:sz="8" w:space="0" w:color="000000"/>
            </w:tcBorders>
            <w:shd w:val="clear" w:color="auto" w:fill="auto"/>
            <w:vAlign w:val="bottom"/>
          </w:tcPr>
          <w:p w14:paraId="6E9DA9F3"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31.03.1988</w:t>
            </w:r>
          </w:p>
        </w:tc>
        <w:tc>
          <w:tcPr>
            <w:tcW w:w="952" w:type="dxa"/>
            <w:tcBorders>
              <w:bottom w:val="single" w:sz="8" w:space="0" w:color="000000"/>
              <w:right w:val="single" w:sz="8" w:space="0" w:color="000000"/>
            </w:tcBorders>
            <w:shd w:val="clear" w:color="auto" w:fill="auto"/>
            <w:vAlign w:val="bottom"/>
          </w:tcPr>
          <w:p w14:paraId="318DBAF3"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C16.3</w:t>
            </w:r>
          </w:p>
        </w:tc>
        <w:tc>
          <w:tcPr>
            <w:tcW w:w="425" w:type="dxa"/>
            <w:shd w:val="clear" w:color="auto" w:fill="auto"/>
            <w:vAlign w:val="bottom"/>
          </w:tcPr>
          <w:p w14:paraId="2549D6DE"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1CC4CD4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Heike</w:t>
            </w:r>
          </w:p>
        </w:tc>
        <w:tc>
          <w:tcPr>
            <w:tcW w:w="1199" w:type="dxa"/>
            <w:tcBorders>
              <w:bottom w:val="single" w:sz="8" w:space="0" w:color="000000"/>
              <w:right w:val="single" w:sz="8" w:space="0" w:color="000000"/>
            </w:tcBorders>
            <w:shd w:val="clear" w:color="auto" w:fill="auto"/>
            <w:vAlign w:val="bottom"/>
          </w:tcPr>
          <w:p w14:paraId="4503F35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Müller</w:t>
            </w:r>
          </w:p>
        </w:tc>
        <w:tc>
          <w:tcPr>
            <w:tcW w:w="1200" w:type="dxa"/>
            <w:tcBorders>
              <w:bottom w:val="single" w:sz="8" w:space="0" w:color="000000"/>
              <w:right w:val="single" w:sz="8" w:space="0" w:color="000000"/>
            </w:tcBorders>
            <w:shd w:val="clear" w:color="auto" w:fill="auto"/>
            <w:vAlign w:val="bottom"/>
          </w:tcPr>
          <w:p w14:paraId="439AFC3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01.04.1978</w:t>
            </w:r>
          </w:p>
        </w:tc>
        <w:tc>
          <w:tcPr>
            <w:tcW w:w="869" w:type="dxa"/>
            <w:tcBorders>
              <w:bottom w:val="single" w:sz="8" w:space="0" w:color="000000"/>
              <w:right w:val="single" w:sz="8" w:space="0" w:color="000000"/>
            </w:tcBorders>
            <w:shd w:val="clear" w:color="auto" w:fill="auto"/>
            <w:vAlign w:val="bottom"/>
          </w:tcPr>
          <w:p w14:paraId="2BCA98E2"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C91.10</w:t>
            </w:r>
          </w:p>
        </w:tc>
      </w:tr>
      <w:tr w:rsidR="00AE4EA7" w14:paraId="18ADAE28" w14:textId="77777777">
        <w:trPr>
          <w:trHeight w:val="330"/>
        </w:trPr>
        <w:tc>
          <w:tcPr>
            <w:tcW w:w="4551" w:type="dxa"/>
            <w:gridSpan w:val="4"/>
            <w:tcBorders>
              <w:bottom w:val="single" w:sz="8" w:space="0" w:color="000000"/>
            </w:tcBorders>
            <w:shd w:val="clear" w:color="auto" w:fill="auto"/>
            <w:vAlign w:val="center"/>
          </w:tcPr>
          <w:p w14:paraId="4266D2B8" w14:textId="77777777" w:rsidR="00AE4EA7" w:rsidRDefault="00000000">
            <w:pPr>
              <w:widowControl w:val="0"/>
              <w:spacing w:after="0" w:line="240" w:lineRule="auto"/>
              <w:jc w:val="center"/>
              <w:rPr>
                <w:rFonts w:ascii="Calibri" w:eastAsia="Times New Roman" w:hAnsi="Calibri" w:cs="Times New Roman"/>
                <w:b/>
                <w:bCs/>
                <w:color w:val="000000"/>
                <w:sz w:val="24"/>
                <w:szCs w:val="24"/>
                <w:lang w:eastAsia="de-DE"/>
              </w:rPr>
            </w:pPr>
            <w:r>
              <w:rPr>
                <w:rFonts w:eastAsia="Times New Roman" w:cs="Times New Roman"/>
                <w:b/>
                <w:bCs/>
                <w:color w:val="000000"/>
                <w:sz w:val="24"/>
                <w:szCs w:val="24"/>
                <w:lang w:eastAsia="de-DE"/>
              </w:rPr>
              <w:t>Original</w:t>
            </w:r>
          </w:p>
        </w:tc>
        <w:tc>
          <w:tcPr>
            <w:tcW w:w="425" w:type="dxa"/>
            <w:shd w:val="clear" w:color="auto" w:fill="auto"/>
            <w:vAlign w:val="bottom"/>
          </w:tcPr>
          <w:p w14:paraId="7DAEC118"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4501" w:type="dxa"/>
            <w:gridSpan w:val="4"/>
            <w:tcBorders>
              <w:bottom w:val="single" w:sz="8" w:space="0" w:color="000000"/>
            </w:tcBorders>
            <w:shd w:val="clear" w:color="auto" w:fill="auto"/>
            <w:vAlign w:val="center"/>
          </w:tcPr>
          <w:p w14:paraId="3432B745" w14:textId="77777777" w:rsidR="00AE4EA7" w:rsidRDefault="00000000">
            <w:pPr>
              <w:widowControl w:val="0"/>
              <w:spacing w:after="0" w:line="240" w:lineRule="auto"/>
              <w:jc w:val="center"/>
              <w:rPr>
                <w:rFonts w:ascii="Calibri" w:eastAsia="Times New Roman" w:hAnsi="Calibri" w:cs="Times New Roman"/>
                <w:b/>
                <w:bCs/>
                <w:color w:val="000000"/>
                <w:sz w:val="24"/>
                <w:szCs w:val="24"/>
                <w:lang w:eastAsia="de-DE"/>
              </w:rPr>
            </w:pPr>
            <w:r>
              <w:rPr>
                <w:rFonts w:eastAsia="Times New Roman" w:cs="Times New Roman"/>
                <w:b/>
                <w:bCs/>
                <w:color w:val="000000"/>
                <w:sz w:val="24"/>
                <w:szCs w:val="24"/>
                <w:lang w:eastAsia="de-DE"/>
              </w:rPr>
              <w:t>Mischung</w:t>
            </w:r>
          </w:p>
        </w:tc>
      </w:tr>
      <w:tr w:rsidR="00AE4EA7" w14:paraId="2036B616"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center"/>
          </w:tcPr>
          <w:p w14:paraId="59FEF112"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Vorname</w:t>
            </w:r>
          </w:p>
        </w:tc>
        <w:tc>
          <w:tcPr>
            <w:tcW w:w="1198" w:type="dxa"/>
            <w:tcBorders>
              <w:bottom w:val="single" w:sz="8" w:space="0" w:color="000000"/>
              <w:right w:val="single" w:sz="8" w:space="0" w:color="000000"/>
            </w:tcBorders>
            <w:shd w:val="clear" w:color="auto" w:fill="auto"/>
            <w:vAlign w:val="center"/>
          </w:tcPr>
          <w:p w14:paraId="247336C1"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Nachname</w:t>
            </w:r>
          </w:p>
        </w:tc>
        <w:tc>
          <w:tcPr>
            <w:tcW w:w="1203" w:type="dxa"/>
            <w:tcBorders>
              <w:bottom w:val="single" w:sz="8" w:space="0" w:color="000000"/>
              <w:right w:val="single" w:sz="8" w:space="0" w:color="000000"/>
            </w:tcBorders>
            <w:shd w:val="clear" w:color="auto" w:fill="auto"/>
            <w:vAlign w:val="center"/>
          </w:tcPr>
          <w:p w14:paraId="73083D36"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c>
          <w:tcPr>
            <w:tcW w:w="952" w:type="dxa"/>
            <w:tcBorders>
              <w:bottom w:val="single" w:sz="8" w:space="0" w:color="000000"/>
              <w:right w:val="single" w:sz="8" w:space="0" w:color="000000"/>
            </w:tcBorders>
            <w:shd w:val="clear" w:color="auto" w:fill="auto"/>
            <w:vAlign w:val="center"/>
          </w:tcPr>
          <w:p w14:paraId="1E213C2D"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ICD</w:t>
            </w:r>
          </w:p>
        </w:tc>
        <w:tc>
          <w:tcPr>
            <w:tcW w:w="425" w:type="dxa"/>
            <w:shd w:val="clear" w:color="auto" w:fill="auto"/>
            <w:vAlign w:val="bottom"/>
          </w:tcPr>
          <w:p w14:paraId="7C0E520D"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center"/>
          </w:tcPr>
          <w:p w14:paraId="4C6EB668"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Vorname</w:t>
            </w:r>
          </w:p>
        </w:tc>
        <w:tc>
          <w:tcPr>
            <w:tcW w:w="1199" w:type="dxa"/>
            <w:tcBorders>
              <w:bottom w:val="single" w:sz="8" w:space="0" w:color="000000"/>
              <w:right w:val="single" w:sz="8" w:space="0" w:color="000000"/>
            </w:tcBorders>
            <w:shd w:val="clear" w:color="auto" w:fill="auto"/>
            <w:vAlign w:val="center"/>
          </w:tcPr>
          <w:p w14:paraId="4E588D05"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Nachname</w:t>
            </w:r>
          </w:p>
        </w:tc>
        <w:tc>
          <w:tcPr>
            <w:tcW w:w="1200" w:type="dxa"/>
            <w:tcBorders>
              <w:bottom w:val="single" w:sz="8" w:space="0" w:color="000000"/>
              <w:right w:val="single" w:sz="8" w:space="0" w:color="000000"/>
            </w:tcBorders>
            <w:shd w:val="clear" w:color="auto" w:fill="auto"/>
            <w:vAlign w:val="center"/>
          </w:tcPr>
          <w:p w14:paraId="3626DF78"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c>
          <w:tcPr>
            <w:tcW w:w="869" w:type="dxa"/>
            <w:tcBorders>
              <w:bottom w:val="single" w:sz="8" w:space="0" w:color="000000"/>
              <w:right w:val="single" w:sz="8" w:space="0" w:color="000000"/>
            </w:tcBorders>
            <w:shd w:val="clear" w:color="auto" w:fill="auto"/>
            <w:vAlign w:val="center"/>
          </w:tcPr>
          <w:p w14:paraId="0C57D298"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ICD</w:t>
            </w:r>
          </w:p>
        </w:tc>
      </w:tr>
      <w:tr w:rsidR="00AE4EA7" w14:paraId="0FF277EE"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6DF42B8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Hiltrud</w:t>
            </w:r>
          </w:p>
        </w:tc>
        <w:tc>
          <w:tcPr>
            <w:tcW w:w="1198" w:type="dxa"/>
            <w:tcBorders>
              <w:bottom w:val="single" w:sz="8" w:space="0" w:color="000000"/>
              <w:right w:val="single" w:sz="8" w:space="0" w:color="000000"/>
            </w:tcBorders>
            <w:shd w:val="clear" w:color="auto" w:fill="auto"/>
            <w:vAlign w:val="bottom"/>
          </w:tcPr>
          <w:p w14:paraId="4B37BDF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Niemand</w:t>
            </w:r>
          </w:p>
        </w:tc>
        <w:tc>
          <w:tcPr>
            <w:tcW w:w="1203" w:type="dxa"/>
            <w:tcBorders>
              <w:bottom w:val="single" w:sz="8" w:space="0" w:color="000000"/>
              <w:right w:val="single" w:sz="8" w:space="0" w:color="000000"/>
            </w:tcBorders>
            <w:shd w:val="clear" w:color="auto" w:fill="auto"/>
            <w:vAlign w:val="bottom"/>
          </w:tcPr>
          <w:p w14:paraId="347F0BB0"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15.07.1987</w:t>
            </w:r>
          </w:p>
        </w:tc>
        <w:tc>
          <w:tcPr>
            <w:tcW w:w="952" w:type="dxa"/>
            <w:tcBorders>
              <w:bottom w:val="single" w:sz="8" w:space="0" w:color="000000"/>
              <w:right w:val="single" w:sz="8" w:space="0" w:color="000000"/>
            </w:tcBorders>
            <w:shd w:val="clear" w:color="auto" w:fill="auto"/>
            <w:vAlign w:val="bottom"/>
          </w:tcPr>
          <w:p w14:paraId="08F034C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D46.1</w:t>
            </w:r>
          </w:p>
        </w:tc>
        <w:tc>
          <w:tcPr>
            <w:tcW w:w="425" w:type="dxa"/>
            <w:shd w:val="clear" w:color="auto" w:fill="auto"/>
            <w:vAlign w:val="bottom"/>
          </w:tcPr>
          <w:p w14:paraId="0226A2D3"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1F411FEB"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Gerfriede</w:t>
            </w:r>
          </w:p>
        </w:tc>
        <w:tc>
          <w:tcPr>
            <w:tcW w:w="1199" w:type="dxa"/>
            <w:tcBorders>
              <w:bottom w:val="single" w:sz="8" w:space="0" w:color="000000"/>
              <w:right w:val="single" w:sz="8" w:space="0" w:color="000000"/>
            </w:tcBorders>
            <w:shd w:val="clear" w:color="auto" w:fill="auto"/>
            <w:vAlign w:val="bottom"/>
          </w:tcPr>
          <w:p w14:paraId="207234B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Niemand</w:t>
            </w:r>
          </w:p>
        </w:tc>
        <w:tc>
          <w:tcPr>
            <w:tcW w:w="1200" w:type="dxa"/>
            <w:tcBorders>
              <w:bottom w:val="single" w:sz="8" w:space="0" w:color="000000"/>
              <w:right w:val="single" w:sz="8" w:space="0" w:color="000000"/>
            </w:tcBorders>
            <w:shd w:val="clear" w:color="auto" w:fill="auto"/>
            <w:vAlign w:val="bottom"/>
          </w:tcPr>
          <w:p w14:paraId="585E3A9C"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27.08.1977</w:t>
            </w:r>
          </w:p>
        </w:tc>
        <w:tc>
          <w:tcPr>
            <w:tcW w:w="869" w:type="dxa"/>
            <w:tcBorders>
              <w:bottom w:val="single" w:sz="8" w:space="0" w:color="000000"/>
              <w:right w:val="single" w:sz="8" w:space="0" w:color="000000"/>
            </w:tcBorders>
            <w:shd w:val="clear" w:color="auto" w:fill="auto"/>
            <w:vAlign w:val="bottom"/>
          </w:tcPr>
          <w:p w14:paraId="31FB477E"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D12.6</w:t>
            </w:r>
          </w:p>
        </w:tc>
      </w:tr>
      <w:tr w:rsidR="00AE4EA7" w14:paraId="7C11C9F4"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63EFA00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Heike</w:t>
            </w:r>
          </w:p>
        </w:tc>
        <w:tc>
          <w:tcPr>
            <w:tcW w:w="1198" w:type="dxa"/>
            <w:tcBorders>
              <w:bottom w:val="single" w:sz="8" w:space="0" w:color="000000"/>
              <w:right w:val="single" w:sz="8" w:space="0" w:color="000000"/>
            </w:tcBorders>
            <w:shd w:val="clear" w:color="auto" w:fill="auto"/>
            <w:vAlign w:val="bottom"/>
          </w:tcPr>
          <w:p w14:paraId="7ADC1492"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Richter</w:t>
            </w:r>
          </w:p>
        </w:tc>
        <w:tc>
          <w:tcPr>
            <w:tcW w:w="1203" w:type="dxa"/>
            <w:tcBorders>
              <w:bottom w:val="single" w:sz="8" w:space="0" w:color="000000"/>
              <w:right w:val="single" w:sz="8" w:space="0" w:color="000000"/>
            </w:tcBorders>
            <w:shd w:val="clear" w:color="auto" w:fill="auto"/>
            <w:vAlign w:val="bottom"/>
          </w:tcPr>
          <w:p w14:paraId="680E1CEC"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11.05.1983</w:t>
            </w:r>
          </w:p>
        </w:tc>
        <w:tc>
          <w:tcPr>
            <w:tcW w:w="952" w:type="dxa"/>
            <w:tcBorders>
              <w:bottom w:val="single" w:sz="8" w:space="0" w:color="000000"/>
              <w:right w:val="single" w:sz="8" w:space="0" w:color="000000"/>
            </w:tcBorders>
            <w:shd w:val="clear" w:color="auto" w:fill="auto"/>
            <w:vAlign w:val="bottom"/>
          </w:tcPr>
          <w:p w14:paraId="00787B8E"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C43.9</w:t>
            </w:r>
          </w:p>
        </w:tc>
        <w:tc>
          <w:tcPr>
            <w:tcW w:w="425" w:type="dxa"/>
            <w:shd w:val="clear" w:color="auto" w:fill="auto"/>
            <w:vAlign w:val="bottom"/>
          </w:tcPr>
          <w:p w14:paraId="2928A6B1"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178F9F4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Franz</w:t>
            </w:r>
          </w:p>
        </w:tc>
        <w:tc>
          <w:tcPr>
            <w:tcW w:w="1199" w:type="dxa"/>
            <w:tcBorders>
              <w:bottom w:val="single" w:sz="8" w:space="0" w:color="000000"/>
              <w:right w:val="single" w:sz="8" w:space="0" w:color="000000"/>
            </w:tcBorders>
            <w:shd w:val="clear" w:color="auto" w:fill="auto"/>
            <w:vAlign w:val="bottom"/>
          </w:tcPr>
          <w:p w14:paraId="7BDF51DB"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Richter</w:t>
            </w:r>
          </w:p>
        </w:tc>
        <w:tc>
          <w:tcPr>
            <w:tcW w:w="1200" w:type="dxa"/>
            <w:tcBorders>
              <w:bottom w:val="single" w:sz="8" w:space="0" w:color="000000"/>
              <w:right w:val="single" w:sz="8" w:space="0" w:color="000000"/>
            </w:tcBorders>
            <w:shd w:val="clear" w:color="auto" w:fill="auto"/>
            <w:vAlign w:val="bottom"/>
          </w:tcPr>
          <w:p w14:paraId="415430F0"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27.05.1975</w:t>
            </w:r>
          </w:p>
        </w:tc>
        <w:tc>
          <w:tcPr>
            <w:tcW w:w="869" w:type="dxa"/>
            <w:tcBorders>
              <w:bottom w:val="single" w:sz="8" w:space="0" w:color="000000"/>
              <w:right w:val="single" w:sz="8" w:space="0" w:color="000000"/>
            </w:tcBorders>
            <w:shd w:val="clear" w:color="auto" w:fill="auto"/>
            <w:vAlign w:val="bottom"/>
          </w:tcPr>
          <w:p w14:paraId="55E6387C"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D12.8</w:t>
            </w:r>
          </w:p>
        </w:tc>
      </w:tr>
      <w:tr w:rsidR="00AE4EA7" w14:paraId="5B157DFE"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517D9ED5"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Anke</w:t>
            </w:r>
          </w:p>
        </w:tc>
        <w:tc>
          <w:tcPr>
            <w:tcW w:w="1198" w:type="dxa"/>
            <w:tcBorders>
              <w:bottom w:val="single" w:sz="8" w:space="0" w:color="000000"/>
              <w:right w:val="single" w:sz="8" w:space="0" w:color="000000"/>
            </w:tcBorders>
            <w:shd w:val="clear" w:color="auto" w:fill="auto"/>
            <w:vAlign w:val="bottom"/>
          </w:tcPr>
          <w:p w14:paraId="5B4341B2"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Schmidt</w:t>
            </w:r>
          </w:p>
        </w:tc>
        <w:tc>
          <w:tcPr>
            <w:tcW w:w="1203" w:type="dxa"/>
            <w:tcBorders>
              <w:bottom w:val="single" w:sz="8" w:space="0" w:color="000000"/>
              <w:right w:val="single" w:sz="8" w:space="0" w:color="000000"/>
            </w:tcBorders>
            <w:shd w:val="clear" w:color="auto" w:fill="auto"/>
            <w:vAlign w:val="bottom"/>
          </w:tcPr>
          <w:p w14:paraId="3E3C2E3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01.04.1978</w:t>
            </w:r>
          </w:p>
        </w:tc>
        <w:tc>
          <w:tcPr>
            <w:tcW w:w="952" w:type="dxa"/>
            <w:tcBorders>
              <w:bottom w:val="single" w:sz="8" w:space="0" w:color="000000"/>
              <w:right w:val="single" w:sz="8" w:space="0" w:color="000000"/>
            </w:tcBorders>
            <w:shd w:val="clear" w:color="auto" w:fill="auto"/>
            <w:vAlign w:val="bottom"/>
          </w:tcPr>
          <w:p w14:paraId="25C5EB0B"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C50.3</w:t>
            </w:r>
          </w:p>
        </w:tc>
        <w:tc>
          <w:tcPr>
            <w:tcW w:w="425" w:type="dxa"/>
            <w:shd w:val="clear" w:color="auto" w:fill="auto"/>
            <w:vAlign w:val="bottom"/>
          </w:tcPr>
          <w:p w14:paraId="34D6D086"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300A821E" w14:textId="2CCAC234" w:rsidR="00AE4EA7" w:rsidRDefault="00B979F5">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Frieda</w:t>
            </w:r>
          </w:p>
        </w:tc>
        <w:tc>
          <w:tcPr>
            <w:tcW w:w="1199" w:type="dxa"/>
            <w:tcBorders>
              <w:bottom w:val="single" w:sz="8" w:space="0" w:color="000000"/>
              <w:right w:val="single" w:sz="8" w:space="0" w:color="000000"/>
            </w:tcBorders>
            <w:shd w:val="clear" w:color="auto" w:fill="auto"/>
            <w:vAlign w:val="bottom"/>
          </w:tcPr>
          <w:p w14:paraId="1E2E7FC8"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Schmidt</w:t>
            </w:r>
          </w:p>
        </w:tc>
        <w:tc>
          <w:tcPr>
            <w:tcW w:w="1200" w:type="dxa"/>
            <w:tcBorders>
              <w:bottom w:val="single" w:sz="8" w:space="0" w:color="000000"/>
              <w:right w:val="single" w:sz="8" w:space="0" w:color="000000"/>
            </w:tcBorders>
            <w:shd w:val="clear" w:color="auto" w:fill="auto"/>
            <w:vAlign w:val="bottom"/>
          </w:tcPr>
          <w:p w14:paraId="78E8EF0C"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21.01.1969</w:t>
            </w:r>
          </w:p>
        </w:tc>
        <w:tc>
          <w:tcPr>
            <w:tcW w:w="869" w:type="dxa"/>
            <w:tcBorders>
              <w:bottom w:val="single" w:sz="8" w:space="0" w:color="000000"/>
              <w:right w:val="single" w:sz="8" w:space="0" w:color="000000"/>
            </w:tcBorders>
            <w:shd w:val="clear" w:color="auto" w:fill="auto"/>
            <w:vAlign w:val="bottom"/>
          </w:tcPr>
          <w:p w14:paraId="1B27A5E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D22.9</w:t>
            </w:r>
          </w:p>
        </w:tc>
      </w:tr>
      <w:tr w:rsidR="00AE4EA7" w14:paraId="0AC7B315"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628F4DA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Eckbert</w:t>
            </w:r>
          </w:p>
        </w:tc>
        <w:tc>
          <w:tcPr>
            <w:tcW w:w="1198" w:type="dxa"/>
            <w:tcBorders>
              <w:bottom w:val="single" w:sz="8" w:space="0" w:color="000000"/>
              <w:right w:val="single" w:sz="8" w:space="0" w:color="000000"/>
            </w:tcBorders>
            <w:shd w:val="clear" w:color="auto" w:fill="auto"/>
            <w:vAlign w:val="bottom"/>
          </w:tcPr>
          <w:p w14:paraId="2EA27AA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Schneider</w:t>
            </w:r>
          </w:p>
        </w:tc>
        <w:tc>
          <w:tcPr>
            <w:tcW w:w="1203" w:type="dxa"/>
            <w:tcBorders>
              <w:bottom w:val="single" w:sz="8" w:space="0" w:color="000000"/>
              <w:right w:val="single" w:sz="8" w:space="0" w:color="000000"/>
            </w:tcBorders>
            <w:shd w:val="clear" w:color="auto" w:fill="auto"/>
            <w:vAlign w:val="bottom"/>
          </w:tcPr>
          <w:p w14:paraId="2A4805A0"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23.12.1981</w:t>
            </w:r>
          </w:p>
        </w:tc>
        <w:tc>
          <w:tcPr>
            <w:tcW w:w="952" w:type="dxa"/>
            <w:tcBorders>
              <w:bottom w:val="single" w:sz="8" w:space="0" w:color="000000"/>
              <w:right w:val="single" w:sz="8" w:space="0" w:color="000000"/>
            </w:tcBorders>
            <w:shd w:val="clear" w:color="auto" w:fill="auto"/>
            <w:vAlign w:val="bottom"/>
          </w:tcPr>
          <w:p w14:paraId="280CA45E"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D44.8</w:t>
            </w:r>
          </w:p>
        </w:tc>
        <w:tc>
          <w:tcPr>
            <w:tcW w:w="425" w:type="dxa"/>
            <w:shd w:val="clear" w:color="auto" w:fill="auto"/>
            <w:vAlign w:val="bottom"/>
          </w:tcPr>
          <w:p w14:paraId="080A6A71"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12A21EA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Eckbert</w:t>
            </w:r>
          </w:p>
        </w:tc>
        <w:tc>
          <w:tcPr>
            <w:tcW w:w="1199" w:type="dxa"/>
            <w:tcBorders>
              <w:bottom w:val="single" w:sz="8" w:space="0" w:color="000000"/>
              <w:right w:val="single" w:sz="8" w:space="0" w:color="000000"/>
            </w:tcBorders>
            <w:shd w:val="clear" w:color="auto" w:fill="auto"/>
            <w:vAlign w:val="bottom"/>
          </w:tcPr>
          <w:p w14:paraId="707FEAC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Schneider</w:t>
            </w:r>
          </w:p>
        </w:tc>
        <w:tc>
          <w:tcPr>
            <w:tcW w:w="1200" w:type="dxa"/>
            <w:tcBorders>
              <w:bottom w:val="single" w:sz="8" w:space="0" w:color="000000"/>
              <w:right w:val="single" w:sz="8" w:space="0" w:color="000000"/>
            </w:tcBorders>
            <w:shd w:val="clear" w:color="auto" w:fill="auto"/>
            <w:vAlign w:val="bottom"/>
          </w:tcPr>
          <w:p w14:paraId="765FA265"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13.04.1968</w:t>
            </w:r>
          </w:p>
        </w:tc>
        <w:tc>
          <w:tcPr>
            <w:tcW w:w="869" w:type="dxa"/>
            <w:tcBorders>
              <w:bottom w:val="single" w:sz="8" w:space="0" w:color="000000"/>
              <w:right w:val="single" w:sz="8" w:space="0" w:color="000000"/>
            </w:tcBorders>
            <w:shd w:val="clear" w:color="auto" w:fill="auto"/>
            <w:vAlign w:val="bottom"/>
          </w:tcPr>
          <w:p w14:paraId="4DE5FA7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D44.8</w:t>
            </w:r>
          </w:p>
        </w:tc>
      </w:tr>
      <w:tr w:rsidR="00AE4EA7" w14:paraId="4B16EB19"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2A2DD10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Jan</w:t>
            </w:r>
          </w:p>
        </w:tc>
        <w:tc>
          <w:tcPr>
            <w:tcW w:w="1198" w:type="dxa"/>
            <w:tcBorders>
              <w:bottom w:val="single" w:sz="8" w:space="0" w:color="000000"/>
              <w:right w:val="single" w:sz="8" w:space="0" w:color="000000"/>
            </w:tcBorders>
            <w:shd w:val="clear" w:color="auto" w:fill="auto"/>
            <w:vAlign w:val="bottom"/>
          </w:tcPr>
          <w:p w14:paraId="3AB9777A"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Schröder</w:t>
            </w:r>
          </w:p>
        </w:tc>
        <w:tc>
          <w:tcPr>
            <w:tcW w:w="1203" w:type="dxa"/>
            <w:tcBorders>
              <w:bottom w:val="single" w:sz="8" w:space="0" w:color="000000"/>
              <w:right w:val="single" w:sz="8" w:space="0" w:color="000000"/>
            </w:tcBorders>
            <w:shd w:val="clear" w:color="auto" w:fill="auto"/>
            <w:vAlign w:val="bottom"/>
          </w:tcPr>
          <w:p w14:paraId="78294D0C"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03.12.1965</w:t>
            </w:r>
          </w:p>
        </w:tc>
        <w:tc>
          <w:tcPr>
            <w:tcW w:w="952" w:type="dxa"/>
            <w:tcBorders>
              <w:bottom w:val="single" w:sz="8" w:space="0" w:color="000000"/>
              <w:right w:val="single" w:sz="8" w:space="0" w:color="000000"/>
            </w:tcBorders>
            <w:shd w:val="clear" w:color="auto" w:fill="auto"/>
            <w:vAlign w:val="bottom"/>
          </w:tcPr>
          <w:p w14:paraId="637DBB5F"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D22.9</w:t>
            </w:r>
          </w:p>
        </w:tc>
        <w:tc>
          <w:tcPr>
            <w:tcW w:w="425" w:type="dxa"/>
            <w:shd w:val="clear" w:color="auto" w:fill="auto"/>
            <w:vAlign w:val="bottom"/>
          </w:tcPr>
          <w:p w14:paraId="698A08A5"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6F7A99A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Berthold</w:t>
            </w:r>
          </w:p>
        </w:tc>
        <w:tc>
          <w:tcPr>
            <w:tcW w:w="1199" w:type="dxa"/>
            <w:tcBorders>
              <w:bottom w:val="single" w:sz="8" w:space="0" w:color="000000"/>
              <w:right w:val="single" w:sz="8" w:space="0" w:color="000000"/>
            </w:tcBorders>
            <w:shd w:val="clear" w:color="auto" w:fill="auto"/>
            <w:vAlign w:val="bottom"/>
          </w:tcPr>
          <w:p w14:paraId="4D6665BA"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Schröder</w:t>
            </w:r>
          </w:p>
        </w:tc>
        <w:tc>
          <w:tcPr>
            <w:tcW w:w="1200" w:type="dxa"/>
            <w:tcBorders>
              <w:bottom w:val="single" w:sz="8" w:space="0" w:color="000000"/>
              <w:right w:val="single" w:sz="8" w:space="0" w:color="000000"/>
            </w:tcBorders>
            <w:shd w:val="clear" w:color="auto" w:fill="auto"/>
            <w:vAlign w:val="bottom"/>
          </w:tcPr>
          <w:p w14:paraId="6C596F5A"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17.11.1967</w:t>
            </w:r>
          </w:p>
        </w:tc>
        <w:tc>
          <w:tcPr>
            <w:tcW w:w="869" w:type="dxa"/>
            <w:tcBorders>
              <w:bottom w:val="single" w:sz="8" w:space="0" w:color="000000"/>
              <w:right w:val="single" w:sz="8" w:space="0" w:color="000000"/>
            </w:tcBorders>
            <w:shd w:val="clear" w:color="auto" w:fill="auto"/>
            <w:vAlign w:val="bottom"/>
          </w:tcPr>
          <w:p w14:paraId="3E11C748"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D46.1</w:t>
            </w:r>
          </w:p>
        </w:tc>
      </w:tr>
      <w:tr w:rsidR="00AE4EA7" w14:paraId="7200C929" w14:textId="77777777">
        <w:trPr>
          <w:trHeight w:val="315"/>
        </w:trPr>
        <w:tc>
          <w:tcPr>
            <w:tcW w:w="1198" w:type="dxa"/>
            <w:tcBorders>
              <w:left w:val="single" w:sz="8" w:space="0" w:color="000000"/>
              <w:bottom w:val="single" w:sz="8" w:space="0" w:color="000000"/>
              <w:right w:val="single" w:sz="8" w:space="0" w:color="000000"/>
            </w:tcBorders>
            <w:shd w:val="clear" w:color="auto" w:fill="auto"/>
            <w:vAlign w:val="bottom"/>
          </w:tcPr>
          <w:p w14:paraId="4946050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Jürgen</w:t>
            </w:r>
          </w:p>
        </w:tc>
        <w:tc>
          <w:tcPr>
            <w:tcW w:w="1198" w:type="dxa"/>
            <w:tcBorders>
              <w:bottom w:val="single" w:sz="8" w:space="0" w:color="000000"/>
              <w:right w:val="single" w:sz="8" w:space="0" w:color="000000"/>
            </w:tcBorders>
            <w:shd w:val="clear" w:color="auto" w:fill="auto"/>
            <w:vAlign w:val="bottom"/>
          </w:tcPr>
          <w:p w14:paraId="1E3BF3C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Stillstand</w:t>
            </w:r>
          </w:p>
        </w:tc>
        <w:tc>
          <w:tcPr>
            <w:tcW w:w="1203" w:type="dxa"/>
            <w:tcBorders>
              <w:bottom w:val="single" w:sz="8" w:space="0" w:color="000000"/>
              <w:right w:val="single" w:sz="8" w:space="0" w:color="000000"/>
            </w:tcBorders>
            <w:shd w:val="clear" w:color="auto" w:fill="auto"/>
            <w:vAlign w:val="bottom"/>
          </w:tcPr>
          <w:p w14:paraId="7D03D409"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29.11.1985</w:t>
            </w:r>
          </w:p>
        </w:tc>
        <w:tc>
          <w:tcPr>
            <w:tcW w:w="952" w:type="dxa"/>
            <w:tcBorders>
              <w:bottom w:val="single" w:sz="8" w:space="0" w:color="000000"/>
              <w:right w:val="single" w:sz="8" w:space="0" w:color="000000"/>
            </w:tcBorders>
            <w:shd w:val="clear" w:color="auto" w:fill="auto"/>
            <w:vAlign w:val="bottom"/>
          </w:tcPr>
          <w:p w14:paraId="16EA46B2"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C18.4</w:t>
            </w:r>
          </w:p>
        </w:tc>
        <w:tc>
          <w:tcPr>
            <w:tcW w:w="425" w:type="dxa"/>
            <w:shd w:val="clear" w:color="auto" w:fill="auto"/>
            <w:vAlign w:val="bottom"/>
          </w:tcPr>
          <w:p w14:paraId="34A6E405"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233" w:type="dxa"/>
            <w:tcBorders>
              <w:left w:val="single" w:sz="8" w:space="0" w:color="000000"/>
              <w:bottom w:val="single" w:sz="8" w:space="0" w:color="000000"/>
              <w:right w:val="single" w:sz="8" w:space="0" w:color="000000"/>
            </w:tcBorders>
            <w:shd w:val="clear" w:color="auto" w:fill="auto"/>
            <w:vAlign w:val="bottom"/>
          </w:tcPr>
          <w:p w14:paraId="018666F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Anke</w:t>
            </w:r>
          </w:p>
        </w:tc>
        <w:tc>
          <w:tcPr>
            <w:tcW w:w="1199" w:type="dxa"/>
            <w:tcBorders>
              <w:bottom w:val="single" w:sz="8" w:space="0" w:color="000000"/>
              <w:right w:val="single" w:sz="8" w:space="0" w:color="000000"/>
            </w:tcBorders>
            <w:shd w:val="clear" w:color="auto" w:fill="auto"/>
            <w:vAlign w:val="bottom"/>
          </w:tcPr>
          <w:p w14:paraId="1C29C33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Stillstand</w:t>
            </w:r>
          </w:p>
        </w:tc>
        <w:tc>
          <w:tcPr>
            <w:tcW w:w="1200" w:type="dxa"/>
            <w:tcBorders>
              <w:bottom w:val="single" w:sz="8" w:space="0" w:color="000000"/>
              <w:right w:val="single" w:sz="8" w:space="0" w:color="000000"/>
            </w:tcBorders>
            <w:shd w:val="clear" w:color="auto" w:fill="auto"/>
            <w:vAlign w:val="bottom"/>
          </w:tcPr>
          <w:p w14:paraId="0932DD8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03.12.1965</w:t>
            </w:r>
          </w:p>
        </w:tc>
        <w:tc>
          <w:tcPr>
            <w:tcW w:w="869" w:type="dxa"/>
            <w:tcBorders>
              <w:bottom w:val="single" w:sz="8" w:space="0" w:color="000000"/>
              <w:right w:val="single" w:sz="8" w:space="0" w:color="000000"/>
            </w:tcBorders>
            <w:shd w:val="clear" w:color="auto" w:fill="auto"/>
            <w:vAlign w:val="bottom"/>
          </w:tcPr>
          <w:p w14:paraId="7F68C955"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D46.2</w:t>
            </w:r>
          </w:p>
        </w:tc>
      </w:tr>
    </w:tbl>
    <w:p w14:paraId="2332151E" w14:textId="0AC42DFD" w:rsidR="00AE4EA7" w:rsidRDefault="00000000">
      <w:pPr>
        <w:pStyle w:val="Beschriftung"/>
      </w:pPr>
      <w:bookmarkStart w:id="148" w:name="_Ref150569408"/>
      <w:bookmarkStart w:id="149" w:name="_Toc150540730"/>
      <w:bookmarkStart w:id="150" w:name="_Toc154606723"/>
      <w:r>
        <w:t xml:space="preserve">Tabelle </w:t>
      </w:r>
      <w:r>
        <w:fldChar w:fldCharType="begin"/>
      </w:r>
      <w:r>
        <w:instrText xml:space="preserve"> SEQ Tabelle \* ARABIC </w:instrText>
      </w:r>
      <w:r>
        <w:fldChar w:fldCharType="separate"/>
      </w:r>
      <w:r w:rsidR="00C9149F">
        <w:rPr>
          <w:noProof/>
        </w:rPr>
        <w:t>6</w:t>
      </w:r>
      <w:r>
        <w:rPr>
          <w:noProof/>
        </w:rPr>
        <w:fldChar w:fldCharType="end"/>
      </w:r>
      <w:bookmarkEnd w:id="148"/>
      <w:r>
        <w:t xml:space="preserve">: </w:t>
      </w:r>
      <w:bookmarkStart w:id="151" w:name="_Ref150569402"/>
      <w:r>
        <w:t xml:space="preserve">Vermischung der Datensätze, </w:t>
      </w:r>
      <w:r w:rsidRPr="004C1658">
        <w:t>sodass</w:t>
      </w:r>
      <w:r>
        <w:t xml:space="preserve"> eine Identifizierung nicht möglich </w:t>
      </w:r>
      <w:r w:rsidRPr="004832F9">
        <w:t>ist</w:t>
      </w:r>
      <w:bookmarkEnd w:id="149"/>
      <w:bookmarkEnd w:id="150"/>
      <w:bookmarkEnd w:id="151"/>
    </w:p>
    <w:p w14:paraId="7A4735A0" w14:textId="7AC45E94" w:rsidR="007A1A5F" w:rsidRPr="007A1A5F" w:rsidRDefault="007A1A5F" w:rsidP="007A1A5F">
      <w:r>
        <w:t xml:space="preserve">Wie </w:t>
      </w:r>
      <w:r w:rsidR="005B1D56">
        <w:t>das</w:t>
      </w:r>
      <w:r>
        <w:t xml:space="preserve"> Ergebnis der Mischung in </w:t>
      </w:r>
      <w:r>
        <w:fldChar w:fldCharType="begin"/>
      </w:r>
      <w:r>
        <w:instrText xml:space="preserve"> REF _Ref150569408 \h </w:instrText>
      </w:r>
      <w:r>
        <w:fldChar w:fldCharType="separate"/>
      </w:r>
      <w:r w:rsidR="00C9149F">
        <w:t xml:space="preserve">Tabelle </w:t>
      </w:r>
      <w:r w:rsidR="00C9149F">
        <w:rPr>
          <w:noProof/>
        </w:rPr>
        <w:t>6</w:t>
      </w:r>
      <w:r>
        <w:fldChar w:fldCharType="end"/>
      </w:r>
      <w:r>
        <w:t xml:space="preserve"> </w:t>
      </w:r>
      <w:r w:rsidR="005B1D56">
        <w:t>zeigt</w:t>
      </w:r>
      <w:r>
        <w:t xml:space="preserve">, bleibt dabei zwar jeder </w:t>
      </w:r>
      <w:r w:rsidR="006330C9">
        <w:t>W</w:t>
      </w:r>
      <w:r>
        <w:t xml:space="preserve">ert erhalten, sodass sich Mittelwert und Median z. B. des ICD nicht ändern, jedoch können sich durch eine Zufallsverteilung die Zuordnungen und damit Zusammenhänge ändern. Brustkrebs </w:t>
      </w:r>
      <w:r w:rsidR="005B1D56">
        <w:t>(</w:t>
      </w:r>
      <w:r w:rsidRPr="004832F9">
        <w:t>C50</w:t>
      </w:r>
      <w:r>
        <w:t xml:space="preserve">) ist bei Männern eine seltene Erkrankung, durch die Mischung tritt Brustkrebs in der Verteilung jedoch </w:t>
      </w:r>
      <w:r w:rsidR="005B1D56">
        <w:t>häufiger</w:t>
      </w:r>
      <w:r>
        <w:t xml:space="preserve"> bei Männern auf. Diese Effekte müssen vor dem Einsatz </w:t>
      </w:r>
      <w:r w:rsidR="005B1D56">
        <w:t>dieser Technik berücksichtigt</w:t>
      </w:r>
      <w:r>
        <w:t xml:space="preserve"> werden. In der Medizin ist es aufgrund der geplanten Auswertungen häufig sinnvoller, </w:t>
      </w:r>
      <w:r w:rsidR="005B1D56">
        <w:t>anstelle</w:t>
      </w:r>
      <w:r>
        <w:t xml:space="preserve"> einer reinen Mischung „</w:t>
      </w:r>
      <w:r w:rsidRPr="004832F9">
        <w:t>Differential</w:t>
      </w:r>
      <w:r>
        <w:t xml:space="preserve"> </w:t>
      </w:r>
      <w:r w:rsidRPr="004832F9">
        <w:t>Privacy</w:t>
      </w:r>
      <w:r>
        <w:t xml:space="preserve">“ (siehe Kapitel </w:t>
      </w:r>
      <w:r>
        <w:fldChar w:fldCharType="begin"/>
      </w:r>
      <w:r>
        <w:instrText xml:space="preserve"> REF _Ref150569690 \r \h </w:instrText>
      </w:r>
      <w:r>
        <w:fldChar w:fldCharType="separate"/>
      </w:r>
      <w:r w:rsidR="00C9149F">
        <w:t>8.4.8</w:t>
      </w:r>
      <w:r>
        <w:fldChar w:fldCharType="end"/>
      </w:r>
      <w:r>
        <w:t xml:space="preserve">) </w:t>
      </w:r>
      <w:r w:rsidR="005B1D56">
        <w:t>zu verwenden</w:t>
      </w:r>
      <w:r>
        <w:t xml:space="preserve">, da bei </w:t>
      </w:r>
      <w:r w:rsidRPr="004832F9">
        <w:t>Differential</w:t>
      </w:r>
      <w:r>
        <w:t xml:space="preserve"> </w:t>
      </w:r>
      <w:r w:rsidRPr="004832F9">
        <w:t>Privacy</w:t>
      </w:r>
      <w:r>
        <w:t xml:space="preserve"> </w:t>
      </w:r>
      <w:r w:rsidRPr="007A1A5F">
        <w:t>die statistischen Aussagen des ursprünglichen Datensatzes erhalten bleib</w:t>
      </w:r>
      <w:r w:rsidR="005B1D56">
        <w:t>en</w:t>
      </w:r>
      <w:r>
        <w:t>.</w:t>
      </w:r>
    </w:p>
    <w:p w14:paraId="5360F70A" w14:textId="77777777" w:rsidR="00AE4EA7" w:rsidRDefault="00000000">
      <w:pPr>
        <w:pStyle w:val="berschrift3"/>
      </w:pPr>
      <w:bookmarkStart w:id="152" w:name="_Toc154652630"/>
      <w:r>
        <w:t>Varianzmethode</w:t>
      </w:r>
      <w:bookmarkEnd w:id="152"/>
    </w:p>
    <w:p w14:paraId="49F21DFD" w14:textId="5048D054" w:rsidR="00AE4EA7" w:rsidRDefault="00000000">
      <w:r>
        <w:t xml:space="preserve">Bei dieser Methode werden Daten, die auf Zahlen basieren, dadurch verfremdet, dass die Zahlenwerte in festgelegten, zufällig erhöhten oder verringerten Streuungsintervallen </w:t>
      </w:r>
      <w:r w:rsidR="005B1D56">
        <w:t>ver</w:t>
      </w:r>
      <w:r>
        <w:t>ändert werden.</w:t>
      </w:r>
    </w:p>
    <w:p w14:paraId="68754734" w14:textId="30FB9D1C" w:rsidR="00AE4EA7" w:rsidRDefault="00000000">
      <w:pPr>
        <w:spacing w:after="0"/>
      </w:pPr>
      <w:r>
        <w:rPr>
          <w:b/>
        </w:rPr>
        <w:t>Beispiel:</w:t>
      </w:r>
      <w:r>
        <w:t xml:space="preserve"> Das Geburtsdatum aus </w:t>
      </w:r>
      <w:r>
        <w:fldChar w:fldCharType="begin"/>
      </w:r>
      <w:r>
        <w:instrText xml:space="preserve"> REF _Ref512152891 \h </w:instrText>
      </w:r>
      <w:r>
        <w:fldChar w:fldCharType="separate"/>
      </w:r>
      <w:r w:rsidR="00C9149F">
        <w:t xml:space="preserve">Tabelle </w:t>
      </w:r>
      <w:r w:rsidR="00C9149F">
        <w:rPr>
          <w:noProof/>
        </w:rPr>
        <w:t>1</w:t>
      </w:r>
      <w:r>
        <w:fldChar w:fldCharType="end"/>
      </w:r>
      <w:r>
        <w:t xml:space="preserve"> wurde mittels der Varianzmethode bearbeitet, wodurch das Geburtsdatum willkürlich verändert wurde, die statistische Aussage der Tabelle jedoch erhalten blieb:</w:t>
      </w:r>
    </w:p>
    <w:tbl>
      <w:tblPr>
        <w:tblW w:w="7528" w:type="dxa"/>
        <w:tblInd w:w="55" w:type="dxa"/>
        <w:tblLayout w:type="fixed"/>
        <w:tblCellMar>
          <w:left w:w="70" w:type="dxa"/>
          <w:right w:w="70" w:type="dxa"/>
        </w:tblCellMar>
        <w:tblLook w:val="04A0" w:firstRow="1" w:lastRow="0" w:firstColumn="1" w:lastColumn="0" w:noHBand="0" w:noVBand="1"/>
      </w:tblPr>
      <w:tblGrid>
        <w:gridCol w:w="1200"/>
        <w:gridCol w:w="1200"/>
        <w:gridCol w:w="1200"/>
        <w:gridCol w:w="1520"/>
        <w:gridCol w:w="880"/>
        <w:gridCol w:w="1528"/>
      </w:tblGrid>
      <w:tr w:rsidR="00AE4EA7" w14:paraId="12579438" w14:textId="77777777">
        <w:trPr>
          <w:trHeight w:val="315"/>
          <w:tblHeader/>
        </w:trPr>
        <w:tc>
          <w:tcPr>
            <w:tcW w:w="119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397CFD"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Vorname</w:t>
            </w:r>
          </w:p>
        </w:tc>
        <w:tc>
          <w:tcPr>
            <w:tcW w:w="1200" w:type="dxa"/>
            <w:tcBorders>
              <w:top w:val="single" w:sz="8" w:space="0" w:color="000000"/>
              <w:bottom w:val="single" w:sz="8" w:space="0" w:color="000000"/>
              <w:right w:val="single" w:sz="8" w:space="0" w:color="000000"/>
            </w:tcBorders>
            <w:shd w:val="clear" w:color="auto" w:fill="auto"/>
            <w:vAlign w:val="center"/>
          </w:tcPr>
          <w:p w14:paraId="167CF3B8"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Nachname</w:t>
            </w:r>
          </w:p>
        </w:tc>
        <w:tc>
          <w:tcPr>
            <w:tcW w:w="1200" w:type="dxa"/>
            <w:tcBorders>
              <w:top w:val="single" w:sz="8" w:space="0" w:color="000000"/>
              <w:bottom w:val="single" w:sz="8" w:space="0" w:color="000000"/>
              <w:right w:val="single" w:sz="8" w:space="0" w:color="000000"/>
            </w:tcBorders>
            <w:shd w:val="clear" w:color="auto" w:fill="auto"/>
            <w:vAlign w:val="center"/>
          </w:tcPr>
          <w:p w14:paraId="529E8C6B"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Geschlecht</w:t>
            </w:r>
          </w:p>
        </w:tc>
        <w:tc>
          <w:tcPr>
            <w:tcW w:w="1520" w:type="dxa"/>
            <w:tcBorders>
              <w:top w:val="single" w:sz="8" w:space="0" w:color="000000"/>
              <w:bottom w:val="single" w:sz="8" w:space="0" w:color="000000"/>
              <w:right w:val="single" w:sz="8" w:space="0" w:color="000000"/>
            </w:tcBorders>
            <w:shd w:val="clear" w:color="auto" w:fill="auto"/>
            <w:vAlign w:val="center"/>
          </w:tcPr>
          <w:p w14:paraId="277DD604"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c>
          <w:tcPr>
            <w:tcW w:w="880" w:type="dxa"/>
            <w:shd w:val="clear" w:color="auto" w:fill="auto"/>
            <w:vAlign w:val="bottom"/>
          </w:tcPr>
          <w:p w14:paraId="21881592"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B04BC4" w14:textId="77777777" w:rsidR="00AE4EA7" w:rsidRDefault="00000000">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r>
      <w:tr w:rsidR="00AE4EA7" w14:paraId="5BC3268C"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44DDDF1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Heike</w:t>
            </w:r>
          </w:p>
        </w:tc>
        <w:tc>
          <w:tcPr>
            <w:tcW w:w="1200" w:type="dxa"/>
            <w:tcBorders>
              <w:bottom w:val="single" w:sz="8" w:space="0" w:color="000000"/>
              <w:right w:val="single" w:sz="8" w:space="0" w:color="000000"/>
            </w:tcBorders>
            <w:shd w:val="clear" w:color="auto" w:fill="auto"/>
            <w:vAlign w:val="bottom"/>
          </w:tcPr>
          <w:p w14:paraId="0EC5534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Richter</w:t>
            </w:r>
          </w:p>
        </w:tc>
        <w:tc>
          <w:tcPr>
            <w:tcW w:w="1200" w:type="dxa"/>
            <w:tcBorders>
              <w:bottom w:val="single" w:sz="8" w:space="0" w:color="000000"/>
              <w:right w:val="single" w:sz="8" w:space="0" w:color="000000"/>
            </w:tcBorders>
            <w:shd w:val="clear" w:color="auto" w:fill="auto"/>
            <w:vAlign w:val="bottom"/>
          </w:tcPr>
          <w:p w14:paraId="431861F2"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0" w:type="dxa"/>
            <w:tcBorders>
              <w:bottom w:val="single" w:sz="8" w:space="0" w:color="000000"/>
              <w:right w:val="single" w:sz="8" w:space="0" w:color="000000"/>
            </w:tcBorders>
            <w:shd w:val="clear" w:color="auto" w:fill="auto"/>
            <w:vAlign w:val="bottom"/>
          </w:tcPr>
          <w:p w14:paraId="19725FA0"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11.05.1983</w:t>
            </w:r>
          </w:p>
        </w:tc>
        <w:tc>
          <w:tcPr>
            <w:tcW w:w="880" w:type="dxa"/>
            <w:shd w:val="clear" w:color="auto" w:fill="auto"/>
            <w:vAlign w:val="bottom"/>
          </w:tcPr>
          <w:p w14:paraId="53CB4761"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387E2E4E"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14.05.1983</w:t>
            </w:r>
          </w:p>
        </w:tc>
      </w:tr>
      <w:tr w:rsidR="00AE4EA7" w14:paraId="2CE9F0CE"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68AABC3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Jan</w:t>
            </w:r>
          </w:p>
        </w:tc>
        <w:tc>
          <w:tcPr>
            <w:tcW w:w="1200" w:type="dxa"/>
            <w:tcBorders>
              <w:bottom w:val="single" w:sz="8" w:space="0" w:color="000000"/>
              <w:right w:val="single" w:sz="8" w:space="0" w:color="000000"/>
            </w:tcBorders>
            <w:shd w:val="clear" w:color="auto" w:fill="auto"/>
            <w:vAlign w:val="bottom"/>
          </w:tcPr>
          <w:p w14:paraId="7904B29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Schröder</w:t>
            </w:r>
          </w:p>
        </w:tc>
        <w:tc>
          <w:tcPr>
            <w:tcW w:w="1200" w:type="dxa"/>
            <w:tcBorders>
              <w:bottom w:val="single" w:sz="8" w:space="0" w:color="000000"/>
              <w:right w:val="single" w:sz="8" w:space="0" w:color="000000"/>
            </w:tcBorders>
            <w:shd w:val="clear" w:color="auto" w:fill="auto"/>
            <w:vAlign w:val="bottom"/>
          </w:tcPr>
          <w:p w14:paraId="44447F22"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0" w:type="dxa"/>
            <w:tcBorders>
              <w:bottom w:val="single" w:sz="8" w:space="0" w:color="000000"/>
              <w:right w:val="single" w:sz="8" w:space="0" w:color="000000"/>
            </w:tcBorders>
            <w:shd w:val="clear" w:color="auto" w:fill="auto"/>
            <w:vAlign w:val="bottom"/>
          </w:tcPr>
          <w:p w14:paraId="12CE166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03.12.1965</w:t>
            </w:r>
          </w:p>
        </w:tc>
        <w:tc>
          <w:tcPr>
            <w:tcW w:w="880" w:type="dxa"/>
            <w:shd w:val="clear" w:color="auto" w:fill="auto"/>
            <w:vAlign w:val="bottom"/>
          </w:tcPr>
          <w:p w14:paraId="073DC868"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683DFB9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05.12.1965</w:t>
            </w:r>
          </w:p>
        </w:tc>
      </w:tr>
      <w:tr w:rsidR="00AE4EA7" w14:paraId="43E15F4F"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25C7C89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Hugo-Egon</w:t>
            </w:r>
          </w:p>
        </w:tc>
        <w:tc>
          <w:tcPr>
            <w:tcW w:w="1200" w:type="dxa"/>
            <w:tcBorders>
              <w:bottom w:val="single" w:sz="8" w:space="0" w:color="000000"/>
              <w:right w:val="single" w:sz="8" w:space="0" w:color="000000"/>
            </w:tcBorders>
            <w:shd w:val="clear" w:color="auto" w:fill="auto"/>
            <w:vAlign w:val="bottom"/>
          </w:tcPr>
          <w:p w14:paraId="7C67BDD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Meyer</w:t>
            </w:r>
          </w:p>
        </w:tc>
        <w:tc>
          <w:tcPr>
            <w:tcW w:w="1200" w:type="dxa"/>
            <w:tcBorders>
              <w:bottom w:val="single" w:sz="8" w:space="0" w:color="000000"/>
              <w:right w:val="single" w:sz="8" w:space="0" w:color="000000"/>
            </w:tcBorders>
            <w:shd w:val="clear" w:color="auto" w:fill="auto"/>
            <w:vAlign w:val="bottom"/>
          </w:tcPr>
          <w:p w14:paraId="32EBEC8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0" w:type="dxa"/>
            <w:tcBorders>
              <w:bottom w:val="single" w:sz="8" w:space="0" w:color="000000"/>
              <w:right w:val="single" w:sz="8" w:space="0" w:color="000000"/>
            </w:tcBorders>
            <w:shd w:val="clear" w:color="auto" w:fill="auto"/>
            <w:vAlign w:val="bottom"/>
          </w:tcPr>
          <w:p w14:paraId="1FDCD84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27.08.1977</w:t>
            </w:r>
          </w:p>
        </w:tc>
        <w:tc>
          <w:tcPr>
            <w:tcW w:w="880" w:type="dxa"/>
            <w:shd w:val="clear" w:color="auto" w:fill="auto"/>
            <w:vAlign w:val="bottom"/>
          </w:tcPr>
          <w:p w14:paraId="7661ACE0"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1C31F71A"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29.08.1977</w:t>
            </w:r>
          </w:p>
        </w:tc>
      </w:tr>
      <w:tr w:rsidR="00AE4EA7" w14:paraId="47A09014"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381242C0"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Eckbert</w:t>
            </w:r>
          </w:p>
        </w:tc>
        <w:tc>
          <w:tcPr>
            <w:tcW w:w="1200" w:type="dxa"/>
            <w:tcBorders>
              <w:bottom w:val="single" w:sz="8" w:space="0" w:color="000000"/>
              <w:right w:val="single" w:sz="8" w:space="0" w:color="000000"/>
            </w:tcBorders>
            <w:shd w:val="clear" w:color="auto" w:fill="auto"/>
            <w:vAlign w:val="bottom"/>
          </w:tcPr>
          <w:p w14:paraId="2F978C8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Schneider</w:t>
            </w:r>
          </w:p>
        </w:tc>
        <w:tc>
          <w:tcPr>
            <w:tcW w:w="1200" w:type="dxa"/>
            <w:tcBorders>
              <w:bottom w:val="single" w:sz="8" w:space="0" w:color="000000"/>
              <w:right w:val="single" w:sz="8" w:space="0" w:color="000000"/>
            </w:tcBorders>
            <w:shd w:val="clear" w:color="auto" w:fill="auto"/>
            <w:vAlign w:val="bottom"/>
          </w:tcPr>
          <w:p w14:paraId="63F7DE0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0" w:type="dxa"/>
            <w:tcBorders>
              <w:bottom w:val="single" w:sz="8" w:space="0" w:color="000000"/>
              <w:right w:val="single" w:sz="8" w:space="0" w:color="000000"/>
            </w:tcBorders>
            <w:shd w:val="clear" w:color="auto" w:fill="auto"/>
            <w:vAlign w:val="bottom"/>
          </w:tcPr>
          <w:p w14:paraId="370DA675"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23.12.1981</w:t>
            </w:r>
          </w:p>
        </w:tc>
        <w:tc>
          <w:tcPr>
            <w:tcW w:w="880" w:type="dxa"/>
            <w:shd w:val="clear" w:color="auto" w:fill="auto"/>
            <w:vAlign w:val="bottom"/>
          </w:tcPr>
          <w:p w14:paraId="21B7B045"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1EF211C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21.12.1981</w:t>
            </w:r>
          </w:p>
        </w:tc>
      </w:tr>
      <w:tr w:rsidR="00AE4EA7" w14:paraId="1003A1DB"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75C41D1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Jürgen</w:t>
            </w:r>
          </w:p>
        </w:tc>
        <w:tc>
          <w:tcPr>
            <w:tcW w:w="1200" w:type="dxa"/>
            <w:tcBorders>
              <w:bottom w:val="single" w:sz="8" w:space="0" w:color="000000"/>
              <w:right w:val="single" w:sz="8" w:space="0" w:color="000000"/>
            </w:tcBorders>
            <w:shd w:val="clear" w:color="auto" w:fill="auto"/>
            <w:vAlign w:val="bottom"/>
          </w:tcPr>
          <w:p w14:paraId="7F9DD72B"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Stillstand</w:t>
            </w:r>
          </w:p>
        </w:tc>
        <w:tc>
          <w:tcPr>
            <w:tcW w:w="1200" w:type="dxa"/>
            <w:tcBorders>
              <w:bottom w:val="single" w:sz="8" w:space="0" w:color="000000"/>
              <w:right w:val="single" w:sz="8" w:space="0" w:color="000000"/>
            </w:tcBorders>
            <w:shd w:val="clear" w:color="auto" w:fill="auto"/>
            <w:vAlign w:val="bottom"/>
          </w:tcPr>
          <w:p w14:paraId="655493B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0" w:type="dxa"/>
            <w:tcBorders>
              <w:bottom w:val="single" w:sz="8" w:space="0" w:color="000000"/>
              <w:right w:val="single" w:sz="8" w:space="0" w:color="000000"/>
            </w:tcBorders>
            <w:shd w:val="clear" w:color="auto" w:fill="auto"/>
            <w:vAlign w:val="bottom"/>
          </w:tcPr>
          <w:p w14:paraId="78B3C07F"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29.11.1985</w:t>
            </w:r>
          </w:p>
        </w:tc>
        <w:tc>
          <w:tcPr>
            <w:tcW w:w="880" w:type="dxa"/>
            <w:shd w:val="clear" w:color="auto" w:fill="auto"/>
            <w:vAlign w:val="bottom"/>
          </w:tcPr>
          <w:p w14:paraId="22ECD35B"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7275106A"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30.11.1985</w:t>
            </w:r>
          </w:p>
        </w:tc>
      </w:tr>
      <w:tr w:rsidR="00AE4EA7" w14:paraId="5A0833AF"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7664FF0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Hiltrud</w:t>
            </w:r>
          </w:p>
        </w:tc>
        <w:tc>
          <w:tcPr>
            <w:tcW w:w="1200" w:type="dxa"/>
            <w:tcBorders>
              <w:bottom w:val="single" w:sz="8" w:space="0" w:color="000000"/>
              <w:right w:val="single" w:sz="8" w:space="0" w:color="000000"/>
            </w:tcBorders>
            <w:shd w:val="clear" w:color="auto" w:fill="auto"/>
            <w:vAlign w:val="bottom"/>
          </w:tcPr>
          <w:p w14:paraId="1B98EA1E"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Niemand</w:t>
            </w:r>
          </w:p>
        </w:tc>
        <w:tc>
          <w:tcPr>
            <w:tcW w:w="1200" w:type="dxa"/>
            <w:tcBorders>
              <w:bottom w:val="single" w:sz="8" w:space="0" w:color="000000"/>
              <w:right w:val="single" w:sz="8" w:space="0" w:color="000000"/>
            </w:tcBorders>
            <w:shd w:val="clear" w:color="auto" w:fill="auto"/>
            <w:vAlign w:val="bottom"/>
          </w:tcPr>
          <w:p w14:paraId="545A3F7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0" w:type="dxa"/>
            <w:tcBorders>
              <w:bottom w:val="single" w:sz="8" w:space="0" w:color="000000"/>
              <w:right w:val="single" w:sz="8" w:space="0" w:color="000000"/>
            </w:tcBorders>
            <w:shd w:val="clear" w:color="auto" w:fill="auto"/>
            <w:vAlign w:val="bottom"/>
          </w:tcPr>
          <w:p w14:paraId="25418569"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15.07.1987</w:t>
            </w:r>
          </w:p>
        </w:tc>
        <w:tc>
          <w:tcPr>
            <w:tcW w:w="880" w:type="dxa"/>
            <w:shd w:val="clear" w:color="auto" w:fill="auto"/>
            <w:vAlign w:val="bottom"/>
          </w:tcPr>
          <w:p w14:paraId="5DA7C411"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08199F7D"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16.07.1987</w:t>
            </w:r>
          </w:p>
        </w:tc>
      </w:tr>
      <w:tr w:rsidR="00AE4EA7" w14:paraId="19F99F30"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07B3A00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Uwe</w:t>
            </w:r>
          </w:p>
        </w:tc>
        <w:tc>
          <w:tcPr>
            <w:tcW w:w="1200" w:type="dxa"/>
            <w:tcBorders>
              <w:bottom w:val="single" w:sz="8" w:space="0" w:color="000000"/>
              <w:right w:val="single" w:sz="8" w:space="0" w:color="000000"/>
            </w:tcBorders>
            <w:shd w:val="clear" w:color="auto" w:fill="auto"/>
            <w:vAlign w:val="bottom"/>
          </w:tcPr>
          <w:p w14:paraId="110F3C7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Müller</w:t>
            </w:r>
          </w:p>
        </w:tc>
        <w:tc>
          <w:tcPr>
            <w:tcW w:w="1200" w:type="dxa"/>
            <w:tcBorders>
              <w:bottom w:val="single" w:sz="8" w:space="0" w:color="000000"/>
              <w:right w:val="single" w:sz="8" w:space="0" w:color="000000"/>
            </w:tcBorders>
            <w:shd w:val="clear" w:color="auto" w:fill="auto"/>
            <w:vAlign w:val="bottom"/>
          </w:tcPr>
          <w:p w14:paraId="109011E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0" w:type="dxa"/>
            <w:tcBorders>
              <w:bottom w:val="single" w:sz="8" w:space="0" w:color="000000"/>
              <w:right w:val="single" w:sz="8" w:space="0" w:color="000000"/>
            </w:tcBorders>
            <w:shd w:val="clear" w:color="auto" w:fill="auto"/>
            <w:vAlign w:val="bottom"/>
          </w:tcPr>
          <w:p w14:paraId="020B8EE2"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31.03.1988</w:t>
            </w:r>
          </w:p>
        </w:tc>
        <w:tc>
          <w:tcPr>
            <w:tcW w:w="880" w:type="dxa"/>
            <w:shd w:val="clear" w:color="auto" w:fill="auto"/>
            <w:vAlign w:val="bottom"/>
          </w:tcPr>
          <w:p w14:paraId="10751DEA"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78095B1F"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03.04.1988</w:t>
            </w:r>
          </w:p>
        </w:tc>
      </w:tr>
      <w:tr w:rsidR="00AE4EA7" w14:paraId="0A4D9E2A"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185CAFB5"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Michael</w:t>
            </w:r>
          </w:p>
        </w:tc>
        <w:tc>
          <w:tcPr>
            <w:tcW w:w="1200" w:type="dxa"/>
            <w:tcBorders>
              <w:bottom w:val="single" w:sz="8" w:space="0" w:color="000000"/>
              <w:right w:val="single" w:sz="8" w:space="0" w:color="000000"/>
            </w:tcBorders>
            <w:shd w:val="clear" w:color="auto" w:fill="auto"/>
            <w:vAlign w:val="bottom"/>
          </w:tcPr>
          <w:p w14:paraId="36CD803B" w14:textId="77777777" w:rsidR="00AE4EA7" w:rsidRDefault="00000000">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Matuschek</w:t>
            </w:r>
          </w:p>
        </w:tc>
        <w:tc>
          <w:tcPr>
            <w:tcW w:w="1200" w:type="dxa"/>
            <w:tcBorders>
              <w:bottom w:val="single" w:sz="8" w:space="0" w:color="000000"/>
              <w:right w:val="single" w:sz="8" w:space="0" w:color="000000"/>
            </w:tcBorders>
            <w:shd w:val="clear" w:color="auto" w:fill="auto"/>
            <w:vAlign w:val="bottom"/>
          </w:tcPr>
          <w:p w14:paraId="04BD2A3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0" w:type="dxa"/>
            <w:tcBorders>
              <w:bottom w:val="single" w:sz="8" w:space="0" w:color="000000"/>
              <w:right w:val="single" w:sz="8" w:space="0" w:color="000000"/>
            </w:tcBorders>
            <w:shd w:val="clear" w:color="auto" w:fill="auto"/>
            <w:vAlign w:val="bottom"/>
          </w:tcPr>
          <w:p w14:paraId="6809E842"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13.04.1968</w:t>
            </w:r>
          </w:p>
        </w:tc>
        <w:tc>
          <w:tcPr>
            <w:tcW w:w="880" w:type="dxa"/>
            <w:shd w:val="clear" w:color="auto" w:fill="auto"/>
            <w:vAlign w:val="bottom"/>
          </w:tcPr>
          <w:p w14:paraId="5F20091C"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6B0A6EE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18.04.1968</w:t>
            </w:r>
          </w:p>
        </w:tc>
      </w:tr>
      <w:tr w:rsidR="00AE4EA7" w14:paraId="6ECC28CC"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5EB969A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Anke</w:t>
            </w:r>
          </w:p>
        </w:tc>
        <w:tc>
          <w:tcPr>
            <w:tcW w:w="1200" w:type="dxa"/>
            <w:tcBorders>
              <w:bottom w:val="single" w:sz="8" w:space="0" w:color="000000"/>
              <w:right w:val="single" w:sz="8" w:space="0" w:color="000000"/>
            </w:tcBorders>
            <w:shd w:val="clear" w:color="auto" w:fill="auto"/>
            <w:vAlign w:val="bottom"/>
          </w:tcPr>
          <w:p w14:paraId="0A180970"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Schmidt</w:t>
            </w:r>
          </w:p>
        </w:tc>
        <w:tc>
          <w:tcPr>
            <w:tcW w:w="1200" w:type="dxa"/>
            <w:tcBorders>
              <w:bottom w:val="single" w:sz="8" w:space="0" w:color="000000"/>
              <w:right w:val="single" w:sz="8" w:space="0" w:color="000000"/>
            </w:tcBorders>
            <w:shd w:val="clear" w:color="auto" w:fill="auto"/>
            <w:vAlign w:val="bottom"/>
          </w:tcPr>
          <w:p w14:paraId="572EBD44"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0" w:type="dxa"/>
            <w:tcBorders>
              <w:bottom w:val="single" w:sz="8" w:space="0" w:color="000000"/>
              <w:right w:val="single" w:sz="8" w:space="0" w:color="000000"/>
            </w:tcBorders>
            <w:shd w:val="clear" w:color="auto" w:fill="auto"/>
            <w:vAlign w:val="bottom"/>
          </w:tcPr>
          <w:p w14:paraId="371FC0A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01.04.1978</w:t>
            </w:r>
          </w:p>
        </w:tc>
        <w:tc>
          <w:tcPr>
            <w:tcW w:w="880" w:type="dxa"/>
            <w:shd w:val="clear" w:color="auto" w:fill="auto"/>
            <w:vAlign w:val="bottom"/>
          </w:tcPr>
          <w:p w14:paraId="582EB689"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131D86E1"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29.03.1978</w:t>
            </w:r>
          </w:p>
        </w:tc>
      </w:tr>
      <w:tr w:rsidR="00AE4EA7" w14:paraId="595E4808"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294609C1"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Kunigunde</w:t>
            </w:r>
          </w:p>
        </w:tc>
        <w:tc>
          <w:tcPr>
            <w:tcW w:w="1200" w:type="dxa"/>
            <w:tcBorders>
              <w:bottom w:val="single" w:sz="8" w:space="0" w:color="000000"/>
              <w:right w:val="single" w:sz="8" w:space="0" w:color="000000"/>
            </w:tcBorders>
            <w:shd w:val="clear" w:color="auto" w:fill="auto"/>
            <w:vAlign w:val="bottom"/>
          </w:tcPr>
          <w:p w14:paraId="7EF0FD7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Gewaltig</w:t>
            </w:r>
          </w:p>
        </w:tc>
        <w:tc>
          <w:tcPr>
            <w:tcW w:w="1200" w:type="dxa"/>
            <w:tcBorders>
              <w:bottom w:val="single" w:sz="8" w:space="0" w:color="000000"/>
              <w:right w:val="single" w:sz="8" w:space="0" w:color="000000"/>
            </w:tcBorders>
            <w:shd w:val="clear" w:color="auto" w:fill="auto"/>
            <w:vAlign w:val="bottom"/>
          </w:tcPr>
          <w:p w14:paraId="7E389B96"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0" w:type="dxa"/>
            <w:tcBorders>
              <w:bottom w:val="single" w:sz="8" w:space="0" w:color="000000"/>
              <w:right w:val="single" w:sz="8" w:space="0" w:color="000000"/>
            </w:tcBorders>
            <w:shd w:val="clear" w:color="auto" w:fill="auto"/>
            <w:vAlign w:val="bottom"/>
          </w:tcPr>
          <w:p w14:paraId="5CB5D64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21.01.1969</w:t>
            </w:r>
          </w:p>
        </w:tc>
        <w:tc>
          <w:tcPr>
            <w:tcW w:w="880" w:type="dxa"/>
            <w:shd w:val="clear" w:color="auto" w:fill="auto"/>
            <w:vAlign w:val="bottom"/>
          </w:tcPr>
          <w:p w14:paraId="46EA6DAF"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2A7EB123"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17.01.1969</w:t>
            </w:r>
          </w:p>
        </w:tc>
      </w:tr>
      <w:tr w:rsidR="00AE4EA7" w14:paraId="4EE5305A"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10FE3D3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Franz</w:t>
            </w:r>
          </w:p>
        </w:tc>
        <w:tc>
          <w:tcPr>
            <w:tcW w:w="1200" w:type="dxa"/>
            <w:tcBorders>
              <w:bottom w:val="single" w:sz="8" w:space="0" w:color="000000"/>
              <w:right w:val="single" w:sz="8" w:space="0" w:color="000000"/>
            </w:tcBorders>
            <w:shd w:val="clear" w:color="auto" w:fill="auto"/>
            <w:vAlign w:val="bottom"/>
          </w:tcPr>
          <w:p w14:paraId="047F2673"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Herrlich</w:t>
            </w:r>
          </w:p>
        </w:tc>
        <w:tc>
          <w:tcPr>
            <w:tcW w:w="1200" w:type="dxa"/>
            <w:tcBorders>
              <w:bottom w:val="single" w:sz="8" w:space="0" w:color="000000"/>
              <w:right w:val="single" w:sz="8" w:space="0" w:color="000000"/>
            </w:tcBorders>
            <w:shd w:val="clear" w:color="auto" w:fill="auto"/>
            <w:vAlign w:val="bottom"/>
          </w:tcPr>
          <w:p w14:paraId="1CF2B77C"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0" w:type="dxa"/>
            <w:tcBorders>
              <w:bottom w:val="single" w:sz="8" w:space="0" w:color="000000"/>
              <w:right w:val="single" w:sz="8" w:space="0" w:color="000000"/>
            </w:tcBorders>
            <w:shd w:val="clear" w:color="auto" w:fill="auto"/>
            <w:vAlign w:val="bottom"/>
          </w:tcPr>
          <w:p w14:paraId="2675E23F"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17.11.1967</w:t>
            </w:r>
          </w:p>
        </w:tc>
        <w:tc>
          <w:tcPr>
            <w:tcW w:w="880" w:type="dxa"/>
            <w:shd w:val="clear" w:color="auto" w:fill="auto"/>
            <w:vAlign w:val="bottom"/>
          </w:tcPr>
          <w:p w14:paraId="13754855"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15649642"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22.11.1967</w:t>
            </w:r>
          </w:p>
        </w:tc>
      </w:tr>
      <w:tr w:rsidR="00AE4EA7" w14:paraId="15553B52"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497CC662"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Berthold</w:t>
            </w:r>
          </w:p>
        </w:tc>
        <w:tc>
          <w:tcPr>
            <w:tcW w:w="1200" w:type="dxa"/>
            <w:tcBorders>
              <w:bottom w:val="single" w:sz="8" w:space="0" w:color="000000"/>
              <w:right w:val="single" w:sz="8" w:space="0" w:color="000000"/>
            </w:tcBorders>
            <w:shd w:val="clear" w:color="auto" w:fill="auto"/>
            <w:vAlign w:val="bottom"/>
          </w:tcPr>
          <w:p w14:paraId="52D387B3"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Koch</w:t>
            </w:r>
          </w:p>
        </w:tc>
        <w:tc>
          <w:tcPr>
            <w:tcW w:w="1200" w:type="dxa"/>
            <w:tcBorders>
              <w:bottom w:val="single" w:sz="8" w:space="0" w:color="000000"/>
              <w:right w:val="single" w:sz="8" w:space="0" w:color="000000"/>
            </w:tcBorders>
            <w:shd w:val="clear" w:color="auto" w:fill="auto"/>
            <w:vAlign w:val="bottom"/>
          </w:tcPr>
          <w:p w14:paraId="1809BFA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0" w:type="dxa"/>
            <w:tcBorders>
              <w:bottom w:val="single" w:sz="8" w:space="0" w:color="000000"/>
              <w:right w:val="single" w:sz="8" w:space="0" w:color="000000"/>
            </w:tcBorders>
            <w:shd w:val="clear" w:color="auto" w:fill="auto"/>
            <w:vAlign w:val="bottom"/>
          </w:tcPr>
          <w:p w14:paraId="490A83DF"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28.08.1991</w:t>
            </w:r>
          </w:p>
        </w:tc>
        <w:tc>
          <w:tcPr>
            <w:tcW w:w="880" w:type="dxa"/>
            <w:shd w:val="clear" w:color="auto" w:fill="auto"/>
            <w:vAlign w:val="bottom"/>
          </w:tcPr>
          <w:p w14:paraId="3371D4CF"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30FDD806"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01.09.1991</w:t>
            </w:r>
          </w:p>
        </w:tc>
      </w:tr>
      <w:tr w:rsidR="00AE4EA7" w14:paraId="10F017A1"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01D163CD" w14:textId="10114578" w:rsidR="00AE4EA7" w:rsidRDefault="00B979F5">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Frieda</w:t>
            </w:r>
          </w:p>
        </w:tc>
        <w:tc>
          <w:tcPr>
            <w:tcW w:w="1200" w:type="dxa"/>
            <w:tcBorders>
              <w:bottom w:val="single" w:sz="8" w:space="0" w:color="000000"/>
              <w:right w:val="single" w:sz="8" w:space="0" w:color="000000"/>
            </w:tcBorders>
            <w:shd w:val="clear" w:color="auto" w:fill="auto"/>
            <w:vAlign w:val="bottom"/>
          </w:tcPr>
          <w:p w14:paraId="58EE6CFD"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Fischer</w:t>
            </w:r>
          </w:p>
        </w:tc>
        <w:tc>
          <w:tcPr>
            <w:tcW w:w="1200" w:type="dxa"/>
            <w:tcBorders>
              <w:bottom w:val="single" w:sz="8" w:space="0" w:color="000000"/>
              <w:right w:val="single" w:sz="8" w:space="0" w:color="000000"/>
            </w:tcBorders>
            <w:shd w:val="clear" w:color="auto" w:fill="auto"/>
            <w:vAlign w:val="bottom"/>
          </w:tcPr>
          <w:p w14:paraId="4DD8049F"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0" w:type="dxa"/>
            <w:tcBorders>
              <w:bottom w:val="single" w:sz="8" w:space="0" w:color="000000"/>
              <w:right w:val="single" w:sz="8" w:space="0" w:color="000000"/>
            </w:tcBorders>
            <w:shd w:val="clear" w:color="auto" w:fill="auto"/>
            <w:vAlign w:val="bottom"/>
          </w:tcPr>
          <w:p w14:paraId="73362904"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15.11.1987</w:t>
            </w:r>
          </w:p>
        </w:tc>
        <w:tc>
          <w:tcPr>
            <w:tcW w:w="880" w:type="dxa"/>
            <w:shd w:val="clear" w:color="auto" w:fill="auto"/>
            <w:vAlign w:val="bottom"/>
          </w:tcPr>
          <w:p w14:paraId="7FD075CF"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7B449409"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18.11.1987</w:t>
            </w:r>
          </w:p>
        </w:tc>
      </w:tr>
      <w:tr w:rsidR="00AE4EA7" w14:paraId="1088FF7D"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65C746CA"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Gerfriede</w:t>
            </w:r>
          </w:p>
        </w:tc>
        <w:tc>
          <w:tcPr>
            <w:tcW w:w="1200" w:type="dxa"/>
            <w:tcBorders>
              <w:bottom w:val="single" w:sz="8" w:space="0" w:color="000000"/>
              <w:right w:val="single" w:sz="8" w:space="0" w:color="000000"/>
            </w:tcBorders>
            <w:shd w:val="clear" w:color="auto" w:fill="auto"/>
            <w:vAlign w:val="bottom"/>
          </w:tcPr>
          <w:p w14:paraId="28F3A247"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Jensen</w:t>
            </w:r>
          </w:p>
        </w:tc>
        <w:tc>
          <w:tcPr>
            <w:tcW w:w="1200" w:type="dxa"/>
            <w:tcBorders>
              <w:bottom w:val="single" w:sz="8" w:space="0" w:color="000000"/>
              <w:right w:val="single" w:sz="8" w:space="0" w:color="000000"/>
            </w:tcBorders>
            <w:shd w:val="clear" w:color="auto" w:fill="auto"/>
            <w:vAlign w:val="bottom"/>
          </w:tcPr>
          <w:p w14:paraId="25A5510A"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0" w:type="dxa"/>
            <w:tcBorders>
              <w:bottom w:val="single" w:sz="8" w:space="0" w:color="000000"/>
              <w:right w:val="single" w:sz="8" w:space="0" w:color="000000"/>
            </w:tcBorders>
            <w:shd w:val="clear" w:color="auto" w:fill="auto"/>
            <w:vAlign w:val="bottom"/>
          </w:tcPr>
          <w:p w14:paraId="5222BEE7"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23.07.1983</w:t>
            </w:r>
          </w:p>
        </w:tc>
        <w:tc>
          <w:tcPr>
            <w:tcW w:w="880" w:type="dxa"/>
            <w:shd w:val="clear" w:color="auto" w:fill="auto"/>
            <w:vAlign w:val="bottom"/>
          </w:tcPr>
          <w:p w14:paraId="1A028EB2"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6F28EFEB"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26.07.1983</w:t>
            </w:r>
          </w:p>
        </w:tc>
      </w:tr>
      <w:tr w:rsidR="00AE4EA7" w14:paraId="2C0749BF" w14:textId="77777777">
        <w:trPr>
          <w:trHeight w:val="315"/>
        </w:trPr>
        <w:tc>
          <w:tcPr>
            <w:tcW w:w="1199" w:type="dxa"/>
            <w:tcBorders>
              <w:left w:val="single" w:sz="8" w:space="0" w:color="000000"/>
              <w:bottom w:val="single" w:sz="8" w:space="0" w:color="000000"/>
              <w:right w:val="single" w:sz="8" w:space="0" w:color="000000"/>
            </w:tcBorders>
            <w:shd w:val="clear" w:color="auto" w:fill="auto"/>
            <w:vAlign w:val="bottom"/>
          </w:tcPr>
          <w:p w14:paraId="72BE0E4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Käthe</w:t>
            </w:r>
          </w:p>
        </w:tc>
        <w:tc>
          <w:tcPr>
            <w:tcW w:w="1200" w:type="dxa"/>
            <w:tcBorders>
              <w:bottom w:val="single" w:sz="8" w:space="0" w:color="000000"/>
              <w:right w:val="single" w:sz="8" w:space="0" w:color="000000"/>
            </w:tcBorders>
            <w:shd w:val="clear" w:color="auto" w:fill="auto"/>
            <w:vAlign w:val="bottom"/>
          </w:tcPr>
          <w:p w14:paraId="00370959"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Albers</w:t>
            </w:r>
          </w:p>
        </w:tc>
        <w:tc>
          <w:tcPr>
            <w:tcW w:w="1200" w:type="dxa"/>
            <w:tcBorders>
              <w:bottom w:val="single" w:sz="8" w:space="0" w:color="000000"/>
              <w:right w:val="single" w:sz="8" w:space="0" w:color="000000"/>
            </w:tcBorders>
            <w:shd w:val="clear" w:color="auto" w:fill="auto"/>
            <w:vAlign w:val="bottom"/>
          </w:tcPr>
          <w:p w14:paraId="5A6E5480" w14:textId="77777777" w:rsidR="00AE4EA7" w:rsidRDefault="00000000">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0" w:type="dxa"/>
            <w:tcBorders>
              <w:bottom w:val="single" w:sz="8" w:space="0" w:color="000000"/>
              <w:right w:val="single" w:sz="8" w:space="0" w:color="000000"/>
            </w:tcBorders>
            <w:shd w:val="clear" w:color="auto" w:fill="auto"/>
            <w:vAlign w:val="bottom"/>
          </w:tcPr>
          <w:p w14:paraId="55ACA30B"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27.05.1975</w:t>
            </w:r>
          </w:p>
        </w:tc>
        <w:tc>
          <w:tcPr>
            <w:tcW w:w="880" w:type="dxa"/>
            <w:shd w:val="clear" w:color="auto" w:fill="auto"/>
            <w:vAlign w:val="bottom"/>
          </w:tcPr>
          <w:p w14:paraId="5AF7BE7A" w14:textId="77777777" w:rsidR="00AE4EA7" w:rsidRDefault="00AE4EA7">
            <w:pPr>
              <w:widowControl w:val="0"/>
              <w:spacing w:after="0" w:line="240" w:lineRule="auto"/>
              <w:jc w:val="left"/>
              <w:rPr>
                <w:rFonts w:ascii="Calibri" w:eastAsia="Times New Roman" w:hAnsi="Calibri" w:cs="Times New Roman"/>
                <w:color w:val="000000"/>
                <w:lang w:eastAsia="de-DE"/>
              </w:rPr>
            </w:pPr>
          </w:p>
        </w:tc>
        <w:tc>
          <w:tcPr>
            <w:tcW w:w="1528" w:type="dxa"/>
            <w:tcBorders>
              <w:left w:val="single" w:sz="8" w:space="0" w:color="000000"/>
              <w:bottom w:val="single" w:sz="8" w:space="0" w:color="000000"/>
              <w:right w:val="single" w:sz="8" w:space="0" w:color="000000"/>
            </w:tcBorders>
            <w:shd w:val="clear" w:color="auto" w:fill="auto"/>
            <w:vAlign w:val="bottom"/>
          </w:tcPr>
          <w:p w14:paraId="6D533438" w14:textId="77777777" w:rsidR="00AE4EA7" w:rsidRDefault="00000000">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30.05.1975</w:t>
            </w:r>
          </w:p>
        </w:tc>
      </w:tr>
    </w:tbl>
    <w:p w14:paraId="2EA4F28A" w14:textId="697F9280" w:rsidR="00AE4EA7" w:rsidRDefault="00000000">
      <w:pPr>
        <w:pStyle w:val="Beschriftung"/>
      </w:pPr>
      <w:bookmarkStart w:id="153" w:name="_Toc150540731"/>
      <w:bookmarkStart w:id="154" w:name="_Toc154606724"/>
      <w:r>
        <w:t xml:space="preserve">Tabelle </w:t>
      </w:r>
      <w:r>
        <w:fldChar w:fldCharType="begin"/>
      </w:r>
      <w:r>
        <w:instrText xml:space="preserve"> SEQ Tabelle \* ARABIC </w:instrText>
      </w:r>
      <w:r>
        <w:fldChar w:fldCharType="separate"/>
      </w:r>
      <w:r w:rsidR="00C9149F">
        <w:rPr>
          <w:noProof/>
        </w:rPr>
        <w:t>7</w:t>
      </w:r>
      <w:r>
        <w:rPr>
          <w:noProof/>
        </w:rPr>
        <w:fldChar w:fldCharType="end"/>
      </w:r>
      <w:r>
        <w:t>: Anpassung des Geburtsdatums durch die Varianzmethode</w:t>
      </w:r>
      <w:bookmarkEnd w:id="153"/>
      <w:bookmarkEnd w:id="154"/>
    </w:p>
    <w:p w14:paraId="08F95CEC" w14:textId="77777777" w:rsidR="00AE4EA7" w:rsidRDefault="00000000">
      <w:pPr>
        <w:pStyle w:val="berschrift3"/>
      </w:pPr>
      <w:bookmarkStart w:id="155" w:name="_Toc154652631"/>
      <w:r>
        <w:t>Kryptografische Methoden</w:t>
      </w:r>
      <w:bookmarkEnd w:id="155"/>
    </w:p>
    <w:p w14:paraId="616E7378" w14:textId="274E56FF" w:rsidR="00AE4EA7" w:rsidRDefault="00000000">
      <w:r>
        <w:t>Hierbei kommen Verschlüsselungs- und/oder Hash-Algorithmen zum Einsatz. Dabei ist zu beachten, dass kryptografische Eigenschaften wie Blocklänge, Ausgabealphabet und Kollisionen der jeweils verwendeten Methoden Auswirkungen auf das Ergebnis der Anonymisierung haben. Weiterhin ist zu be</w:t>
      </w:r>
      <w:r w:rsidR="004F4854">
        <w:t>rücksichtigen</w:t>
      </w:r>
      <w:r>
        <w:t>, dass hier kryptografische Methoden im speziellen Kontext der Anonymisierung bzw. Pseudonymisierung betrachtet werden, d. h. einige Betrachtungen im anderen Kontext ggf. zu anderen Ergebnissen führen können.</w:t>
      </w:r>
    </w:p>
    <w:p w14:paraId="6550A319" w14:textId="77777777" w:rsidR="00AE4EA7" w:rsidRDefault="00000000">
      <w:pPr>
        <w:pStyle w:val="berschrift4"/>
      </w:pPr>
      <w:bookmarkStart w:id="156" w:name="_Toc154652632"/>
      <w:r>
        <w:t>Rahmenbedingungen abklären</w:t>
      </w:r>
      <w:bookmarkEnd w:id="156"/>
    </w:p>
    <w:p w14:paraId="618DF47C" w14:textId="487AD1C7" w:rsidR="00AE4EA7" w:rsidRDefault="00000000">
      <w:pPr>
        <w:spacing w:after="0"/>
      </w:pPr>
      <w:r>
        <w:t>Mit de</w:t>
      </w:r>
      <w:r w:rsidR="004F4854">
        <w:t>m</w:t>
      </w:r>
      <w:r w:rsidR="004C1658">
        <w:t xml:space="preserve"> Verantwortlichen</w:t>
      </w:r>
      <w:r>
        <w:t>, welche</w:t>
      </w:r>
      <w:r w:rsidR="00E87699">
        <w:t>r</w:t>
      </w:r>
      <w:r>
        <w:t xml:space="preserve"> die </w:t>
      </w:r>
      <w:r w:rsidRPr="004832F9">
        <w:t>pseudonymisierten</w:t>
      </w:r>
      <w:r>
        <w:t xml:space="preserve"> oder anonymisierten Daten verarbeiten will, müssen die </w:t>
      </w:r>
      <w:r w:rsidR="004F4854">
        <w:t xml:space="preserve">Rahmenbedingungen </w:t>
      </w:r>
      <w:r>
        <w:t xml:space="preserve">geklärt werden. So muss z. B. </w:t>
      </w:r>
      <w:r w:rsidR="004F4854">
        <w:t>abgesprochen</w:t>
      </w:r>
      <w:r>
        <w:t xml:space="preserve"> werden, </w:t>
      </w:r>
      <w:r w:rsidRPr="004832F9">
        <w:t>ob</w:t>
      </w:r>
    </w:p>
    <w:p w14:paraId="1DE9234C" w14:textId="77777777" w:rsidR="00AE4EA7" w:rsidRDefault="00000000">
      <w:pPr>
        <w:pStyle w:val="Listenabsatz"/>
        <w:numPr>
          <w:ilvl w:val="0"/>
          <w:numId w:val="7"/>
        </w:numPr>
      </w:pPr>
      <w:r w:rsidRPr="004832F9">
        <w:t>der</w:t>
      </w:r>
      <w:r>
        <w:t xml:space="preserve"> Zeichensatz (arabisch, deutsch</w:t>
      </w:r>
      <w:r w:rsidRPr="004832F9">
        <w:t>, …),</w:t>
      </w:r>
    </w:p>
    <w:p w14:paraId="13FBE3D1" w14:textId="77777777" w:rsidR="00AE4EA7" w:rsidRDefault="00000000">
      <w:pPr>
        <w:pStyle w:val="Listenabsatz"/>
        <w:numPr>
          <w:ilvl w:val="0"/>
          <w:numId w:val="7"/>
        </w:numPr>
      </w:pPr>
      <w:r w:rsidRPr="004832F9">
        <w:t>die</w:t>
      </w:r>
      <w:r>
        <w:t xml:space="preserve"> Zeichenart (numerisch, Buchstabenerhalt, Sonderzeichen bleibt Sonderzeichen),</w:t>
      </w:r>
    </w:p>
    <w:p w14:paraId="415F8E29" w14:textId="77777777" w:rsidR="00AE4EA7" w:rsidRDefault="00000000">
      <w:pPr>
        <w:pStyle w:val="Listenabsatz"/>
        <w:numPr>
          <w:ilvl w:val="0"/>
          <w:numId w:val="7"/>
        </w:numPr>
        <w:spacing w:after="0"/>
        <w:ind w:left="771" w:hanging="357"/>
      </w:pPr>
      <w:r>
        <w:t>Zeichenlänge</w:t>
      </w:r>
    </w:p>
    <w:p w14:paraId="09DD8E71" w14:textId="77777777" w:rsidR="00AE4EA7" w:rsidRDefault="00000000">
      <w:pPr>
        <w:spacing w:after="0"/>
      </w:pPr>
      <w:r w:rsidRPr="004832F9">
        <w:t>bei</w:t>
      </w:r>
      <w:r>
        <w:t xml:space="preserve"> der Pseudonymisierung/Anonymisierung erhalten bleiben sollen?</w:t>
      </w:r>
    </w:p>
    <w:p w14:paraId="13AE4CD6" w14:textId="77777777" w:rsidR="00AE4EA7" w:rsidRDefault="00000000">
      <w:pPr>
        <w:spacing w:after="0"/>
      </w:pPr>
      <w:r>
        <w:t>Weiterhin können funktionelle Anforderungen wie z. B.</w:t>
      </w:r>
    </w:p>
    <w:p w14:paraId="20C661AB" w14:textId="77777777" w:rsidR="00AE4EA7" w:rsidRDefault="00000000">
      <w:pPr>
        <w:pStyle w:val="Listenabsatz"/>
        <w:numPr>
          <w:ilvl w:val="0"/>
          <w:numId w:val="5"/>
        </w:numPr>
      </w:pPr>
      <w:r>
        <w:t xml:space="preserve">Kollisionsfreiheit; d. h. unterschiedliche Eingaben führen immer zu unterschiedlichen Ergebnissen, </w:t>
      </w:r>
      <w:r w:rsidRPr="004832F9">
        <w:t>so dass</w:t>
      </w:r>
      <w:r>
        <w:t xml:space="preserve"> die Unterschiede erhalten bleiben und ggf. Datensätze trotz Pseudonymisierung/Anonymisierung zusammengeführt werden können,</w:t>
      </w:r>
    </w:p>
    <w:p w14:paraId="759DB23D" w14:textId="77777777" w:rsidR="00AE4EA7" w:rsidRDefault="00000000">
      <w:pPr>
        <w:pStyle w:val="Listenabsatz"/>
        <w:numPr>
          <w:ilvl w:val="0"/>
          <w:numId w:val="5"/>
        </w:numPr>
        <w:spacing w:after="0"/>
        <w:ind w:left="714" w:hanging="357"/>
      </w:pPr>
      <w:r>
        <w:t>Eindeutigkeit; gleiche Eingaben führen immer zu gleichen Abbildungen,</w:t>
      </w:r>
    </w:p>
    <w:p w14:paraId="3DCBB530" w14:textId="77777777" w:rsidR="00AE4EA7" w:rsidRDefault="00000000">
      <w:pPr>
        <w:pStyle w:val="Listenabsatz"/>
        <w:numPr>
          <w:ilvl w:val="0"/>
          <w:numId w:val="5"/>
        </w:numPr>
        <w:spacing w:after="0"/>
        <w:ind w:left="714" w:hanging="357"/>
      </w:pPr>
      <w:r>
        <w:t>Erhalt der statistischen Verteilung</w:t>
      </w:r>
    </w:p>
    <w:p w14:paraId="4AF2C2FC" w14:textId="77777777" w:rsidR="00AE4EA7" w:rsidRDefault="00000000">
      <w:r w:rsidRPr="004832F9">
        <w:t>hinzukommen</w:t>
      </w:r>
      <w:r>
        <w:t>.</w:t>
      </w:r>
    </w:p>
    <w:p w14:paraId="5E2F2180" w14:textId="54256189" w:rsidR="00AE4EA7" w:rsidRDefault="00000000">
      <w:r>
        <w:t xml:space="preserve">Grundsätzlich gilt: Je mehr </w:t>
      </w:r>
      <w:r w:rsidR="004F4854" w:rsidRPr="004F4854">
        <w:t>Rahmenbedingungen</w:t>
      </w:r>
      <w:r>
        <w:t xml:space="preserve"> an die Pseudonymisierung bzw. Anonymisierung seitens der </w:t>
      </w:r>
      <w:r w:rsidR="004C1658">
        <w:t xml:space="preserve">für die Weiterverarbeitung </w:t>
      </w:r>
      <w:r w:rsidR="004C1658" w:rsidRPr="004C1658">
        <w:t>verantwortlichen Personen</w:t>
      </w:r>
      <w:r>
        <w:t xml:space="preserve"> gestellt werden, umso größer wird das Risiko der Re-Identifizierbarkeit durch statistische Analysen.</w:t>
      </w:r>
    </w:p>
    <w:p w14:paraId="5125112D" w14:textId="77777777" w:rsidR="00AE4EA7" w:rsidRDefault="00000000">
      <w:pPr>
        <w:pStyle w:val="berschrift4"/>
      </w:pPr>
      <w:bookmarkStart w:id="157" w:name="_Toc154652633"/>
      <w:r>
        <w:t>Verschlüsselungsverfahren</w:t>
      </w:r>
      <w:bookmarkEnd w:id="157"/>
    </w:p>
    <w:p w14:paraId="1610D7D9" w14:textId="4BB8E668" w:rsidR="00AE4EA7" w:rsidRDefault="00000000">
      <w:pPr>
        <w:spacing w:after="0"/>
      </w:pPr>
      <w:r>
        <w:t xml:space="preserve">Moderne kryptografische Methoden sind nahezu ausschließlich </w:t>
      </w:r>
      <w:r w:rsidR="00E46DC2">
        <w:t>Binärchiffren</w:t>
      </w:r>
      <w:r w:rsidR="00047FFE">
        <w:rPr>
          <w:rStyle w:val="Funotenzeichen"/>
        </w:rPr>
        <w:footnoteReference w:id="81"/>
      </w:r>
      <w:r>
        <w:t>, die sich in Block- und Stromchiffren sowie in symmetrische und asymmetrische Verfahren unterteilen lassen. Hierbei ist Folgendes zu beachten:</w:t>
      </w:r>
    </w:p>
    <w:p w14:paraId="1F3553E9" w14:textId="6A299253" w:rsidR="00AE4EA7" w:rsidRDefault="00000000">
      <w:pPr>
        <w:pStyle w:val="Listenabsatz"/>
        <w:numPr>
          <w:ilvl w:val="0"/>
          <w:numId w:val="8"/>
        </w:numPr>
      </w:pPr>
      <w:r>
        <w:t xml:space="preserve">Stromchiffren müssen zum Erhalt von Eigenschaften mehrfach denselben Schlüsselstrom verwenden, was die kryptografische Stärke der Verfahren abschwächt. Daher sind Stromchiffren für die Pseudonymisierung/Anonymisierung </w:t>
      </w:r>
      <w:r w:rsidRPr="004C1658">
        <w:t>i.</w:t>
      </w:r>
      <w:r w:rsidR="004C1658" w:rsidRPr="004C1658">
        <w:t> </w:t>
      </w:r>
      <w:r w:rsidRPr="004C1658">
        <w:t>d.</w:t>
      </w:r>
      <w:r w:rsidR="004C1658" w:rsidRPr="004C1658">
        <w:t> </w:t>
      </w:r>
      <w:r w:rsidRPr="004C1658">
        <w:t>R.</w:t>
      </w:r>
      <w:r>
        <w:t xml:space="preserve"> eher ungeeignet.</w:t>
      </w:r>
    </w:p>
    <w:p w14:paraId="5BE0CE56" w14:textId="77777777" w:rsidR="00AE4EA7" w:rsidRDefault="00000000">
      <w:pPr>
        <w:pStyle w:val="Listenabsatz"/>
        <w:numPr>
          <w:ilvl w:val="0"/>
          <w:numId w:val="8"/>
        </w:numPr>
      </w:pPr>
      <w:r>
        <w:t xml:space="preserve">Den Vorteilen im Umgang mit dem Schlüsselmaterial stehen bei asymmetrischen Verfahren sehr hohe Performance-Einbußen und relativ große </w:t>
      </w:r>
      <w:r w:rsidRPr="004832F9">
        <w:t>Chiffrat-Blöcke</w:t>
      </w:r>
      <w:r>
        <w:t xml:space="preserve"> entgegen.</w:t>
      </w:r>
    </w:p>
    <w:p w14:paraId="5A589806" w14:textId="0935EF26" w:rsidR="00AE4EA7" w:rsidRDefault="00000000">
      <w:r>
        <w:t xml:space="preserve">Binärchiffren </w:t>
      </w:r>
      <w:r w:rsidR="005B1D56">
        <w:t xml:space="preserve">erhalten </w:t>
      </w:r>
      <w:r>
        <w:t>weder den Zeichensatz noch die Zeichenart oder die Zeichenlänge</w:t>
      </w:r>
      <w:r w:rsidR="005B1D56">
        <w:t>,</w:t>
      </w:r>
      <w:r>
        <w:t xml:space="preserve"> sind </w:t>
      </w:r>
      <w:r w:rsidR="005B1D56">
        <w:t>jedoch</w:t>
      </w:r>
      <w:r>
        <w:t xml:space="preserve"> sowohl kollisionsfrei als auch eindeutig.</w:t>
      </w:r>
    </w:p>
    <w:p w14:paraId="13CD15C5" w14:textId="77777777" w:rsidR="00AE4EA7" w:rsidRDefault="00000000">
      <w:r>
        <w:t>Andere Verschlüsselungsverfahren können Anforderungen bzgl. Zeichenart, Zeichensatz und Zeichenlänge ggf. erhalten. Dieses ist z. B. bei entsprechender Implementierung beim symmetrischen Verfahren „</w:t>
      </w:r>
      <w:r w:rsidRPr="004832F9">
        <w:t>One-Time-Pad</w:t>
      </w:r>
      <w:r>
        <w:t>“ der Fall. Hier wiederum kann ggf. die Anforderung der Eindeutigkeit nicht mehr gegeben sein.</w:t>
      </w:r>
    </w:p>
    <w:p w14:paraId="3DC8D625" w14:textId="77777777" w:rsidR="00AE4EA7" w:rsidRDefault="00000000">
      <w:r>
        <w:t>D. h., ob eine Verschlüsselung zur Anonymisierung/Pseudonymisierung genutzt werden kann, ist abhängig von den Anforderungen der Fachabteilung.</w:t>
      </w:r>
    </w:p>
    <w:p w14:paraId="5CCC3064" w14:textId="77777777" w:rsidR="00AE4EA7" w:rsidRDefault="00000000">
      <w:pPr>
        <w:pStyle w:val="berschrift4"/>
      </w:pPr>
      <w:bookmarkStart w:id="158" w:name="_Toc154652634"/>
      <w:r>
        <w:t>Hash-Funktionen</w:t>
      </w:r>
      <w:bookmarkEnd w:id="158"/>
    </w:p>
    <w:p w14:paraId="20695C33" w14:textId="77777777" w:rsidR="00AE4EA7" w:rsidRDefault="00000000">
      <w:r>
        <w:t xml:space="preserve">Hash-Funktionen (auch: </w:t>
      </w:r>
      <w:r w:rsidRPr="004832F9">
        <w:t>kryptografische</w:t>
      </w:r>
      <w:r>
        <w:t xml:space="preserve"> Checksumme oder Einwegfunktion genannt) bilden eine beliebig lange Eingabedatenmenge auf einen binären String fester Länge ab. Somit können auch Hash-Funktionen weder den Zeichensatz noch die Zeichenart oder die Zeichenlänge erhalten. Die Möglichkeit der Kollisionsfreiheit ist abhängig von der Ausgabelänge und dem Algorithmus. Bei </w:t>
      </w:r>
      <w:r w:rsidRPr="004832F9">
        <w:t>MD5</w:t>
      </w:r>
      <w:r>
        <w:t xml:space="preserve"> beispielsweise ist nachgewiesen, dass Kollisionsfreiheit nicht gegeben ist. Die Anforderung der Eindeutigkeit wird von Hash-Funktionen gewährleistet.</w:t>
      </w:r>
    </w:p>
    <w:p w14:paraId="0502CB46" w14:textId="77777777" w:rsidR="00AE4EA7" w:rsidRDefault="00000000">
      <w:pPr>
        <w:pStyle w:val="berschrift4"/>
      </w:pPr>
      <w:bookmarkStart w:id="159" w:name="_Toc154652635"/>
      <w:r w:rsidRPr="004832F9">
        <w:t>Salt</w:t>
      </w:r>
      <w:bookmarkEnd w:id="159"/>
    </w:p>
    <w:p w14:paraId="573CFF7D" w14:textId="741E54D2" w:rsidR="00AE4EA7" w:rsidRDefault="00000000">
      <w:r>
        <w:t>„</w:t>
      </w:r>
      <w:r w:rsidRPr="004832F9">
        <w:t>Salt</w:t>
      </w:r>
      <w:r>
        <w:t xml:space="preserve">“ (= „Salz“) bezeichnet in der Kryptografie eine zufällig gewählte Zeichenfolge, die </w:t>
      </w:r>
      <w:r w:rsidR="005B1D56">
        <w:t xml:space="preserve">vor der Verwendung als Eingabe einer Hash-Funktion </w:t>
      </w:r>
      <w:r>
        <w:t xml:space="preserve">an einen gegebenen Klartext angehängt wird, um die Entropie der Eingabe zu erhöhen, was letztlich zu einer höheren Streuung des Ergebnisses führt. Hierdurch kann z. B. verhindert werden, dass Originaldaten </w:t>
      </w:r>
      <w:r w:rsidR="005B1D56">
        <w:t>beispielsweise</w:t>
      </w:r>
      <w:r>
        <w:t xml:space="preserve"> </w:t>
      </w:r>
      <w:r w:rsidRPr="004832F9">
        <w:t>mit</w:t>
      </w:r>
      <w:r w:rsidR="004832F9" w:rsidRPr="004832F9">
        <w:t>h</w:t>
      </w:r>
      <w:r w:rsidRPr="004832F9">
        <w:t>ilfe</w:t>
      </w:r>
      <w:r>
        <w:t xml:space="preserve"> von </w:t>
      </w:r>
      <w:r w:rsidRPr="004832F9">
        <w:t>Rainbow-Tabellen</w:t>
      </w:r>
      <w:r>
        <w:t xml:space="preserve"> identifiziert werden können.</w:t>
      </w:r>
    </w:p>
    <w:p w14:paraId="5A224E0D" w14:textId="1B5596DD" w:rsidR="00AE4EA7" w:rsidRDefault="00000000">
      <w:r>
        <w:t xml:space="preserve">Stand heute wird eine Entropie von 100 Bit als resistent gegen Brute-Force Angriffe mit hohem </w:t>
      </w:r>
      <w:r w:rsidR="004832F9">
        <w:t>Angriffspotenzial</w:t>
      </w:r>
      <w:r>
        <w:t xml:space="preserve"> angesehen. D. h. der Wertebereich muss eine Mindeststreuung von 2</w:t>
      </w:r>
      <w:r>
        <w:rPr>
          <w:vertAlign w:val="superscript"/>
        </w:rPr>
        <w:t>100</w:t>
      </w:r>
      <w:r>
        <w:t xml:space="preserve"> bzw. 10</w:t>
      </w:r>
      <w:r>
        <w:rPr>
          <w:vertAlign w:val="superscript"/>
        </w:rPr>
        <w:t>30</w:t>
      </w:r>
      <w:r>
        <w:t xml:space="preserve"> haben. Zu jedem Datensatz sollte ein eigener </w:t>
      </w:r>
      <w:r w:rsidRPr="004832F9">
        <w:t>Salt</w:t>
      </w:r>
      <w:r>
        <w:t xml:space="preserve"> existieren, um den größtmöglichen Schutz zu erhalten. Werden alle Datensätze mit ein und derselben Zeichenfolge kombiniert, so wird dies als „Pepper“ bezeichnet.</w:t>
      </w:r>
    </w:p>
    <w:p w14:paraId="71193B49" w14:textId="53642E04" w:rsidR="00AE4EA7" w:rsidRDefault="00000000">
      <w:r>
        <w:t xml:space="preserve">Bei der Überprüfung eines Datums wird jedoch nicht jedes Mal ein neuer </w:t>
      </w:r>
      <w:r w:rsidRPr="004832F9">
        <w:t>Salt</w:t>
      </w:r>
      <w:r>
        <w:t xml:space="preserve"> erzeugt, da sich sonst </w:t>
      </w:r>
      <w:r w:rsidRPr="004832F9">
        <w:t>der entstandene Hashwert</w:t>
      </w:r>
      <w:r>
        <w:t xml:space="preserve"> von dem gespeicherten unterscheidet und somit der Wahrheitsgehalt der Information nicht überprüft werden kann. </w:t>
      </w:r>
      <w:r w:rsidRPr="004C1658">
        <w:t>D. h.</w:t>
      </w:r>
      <w:r w:rsidR="004C1658" w:rsidRPr="004C1658">
        <w:t>,</w:t>
      </w:r>
      <w:r>
        <w:t xml:space="preserve"> die Anforderung der Eindeutigkeit wäre nicht mehr gegeben. Deshalb wird – sofern die Eindeutigkeit eine einzuhaltende Anforderung darstellt </w:t>
      </w:r>
      <w:r w:rsidR="005B1D56">
        <w:t>–</w:t>
      </w:r>
      <w:r>
        <w:t xml:space="preserve"> bei der Generierung der zur jeweiligen Information verwendete </w:t>
      </w:r>
      <w:r w:rsidRPr="004832F9">
        <w:t>Salt</w:t>
      </w:r>
      <w:r>
        <w:t xml:space="preserve"> zusammen mit dem entstandenen Hashwert gespeichert. Dabei müssen </w:t>
      </w:r>
      <w:r w:rsidRPr="004832F9">
        <w:t>Salt</w:t>
      </w:r>
      <w:r>
        <w:t xml:space="preserve"> und Hashwert natürlich voneinander getrennt aufbewahrt werden, der </w:t>
      </w:r>
      <w:r w:rsidRPr="004832F9">
        <w:t>Salt</w:t>
      </w:r>
      <w:r>
        <w:t xml:space="preserve"> unbedingt geheim gehalten werden, da ansonsten der Schutz abgeschwächt wird.</w:t>
      </w:r>
    </w:p>
    <w:p w14:paraId="7DC39CC9" w14:textId="77777777" w:rsidR="004F4854" w:rsidRDefault="004F4854" w:rsidP="004F4854">
      <w:pPr>
        <w:pStyle w:val="berschrift3"/>
      </w:pPr>
      <w:bookmarkStart w:id="160" w:name="_Toc154652636"/>
      <w:r>
        <w:t>Was wird wann mit welcher Methode erreicht?</w:t>
      </w:r>
      <w:bookmarkEnd w:id="160"/>
    </w:p>
    <w:tbl>
      <w:tblPr>
        <w:tblStyle w:val="Tabellenraster"/>
        <w:tblW w:w="9212" w:type="dxa"/>
        <w:tblLayout w:type="fixed"/>
        <w:tblLook w:val="04A0" w:firstRow="1" w:lastRow="0" w:firstColumn="1" w:lastColumn="0" w:noHBand="0" w:noVBand="1"/>
      </w:tblPr>
      <w:tblGrid>
        <w:gridCol w:w="3070"/>
        <w:gridCol w:w="3071"/>
        <w:gridCol w:w="3071"/>
      </w:tblGrid>
      <w:tr w:rsidR="004F4854" w14:paraId="5FAEDFE3" w14:textId="77777777" w:rsidTr="003D79DD">
        <w:trPr>
          <w:tblHeader/>
        </w:trPr>
        <w:tc>
          <w:tcPr>
            <w:tcW w:w="3070" w:type="dxa"/>
          </w:tcPr>
          <w:p w14:paraId="5462BD49" w14:textId="77777777" w:rsidR="004F4854" w:rsidRDefault="004F4854" w:rsidP="003D79DD">
            <w:pPr>
              <w:widowControl w:val="0"/>
              <w:spacing w:after="0" w:line="240" w:lineRule="auto"/>
              <w:jc w:val="center"/>
              <w:rPr>
                <w:b/>
              </w:rPr>
            </w:pPr>
            <w:r>
              <w:rPr>
                <w:rFonts w:eastAsia="Calibri"/>
                <w:b/>
              </w:rPr>
              <w:t>Methode</w:t>
            </w:r>
          </w:p>
        </w:tc>
        <w:tc>
          <w:tcPr>
            <w:tcW w:w="3071" w:type="dxa"/>
          </w:tcPr>
          <w:p w14:paraId="6B047382" w14:textId="77777777" w:rsidR="004F4854" w:rsidRDefault="004F4854" w:rsidP="003D79DD">
            <w:pPr>
              <w:widowControl w:val="0"/>
              <w:spacing w:after="0" w:line="240" w:lineRule="auto"/>
              <w:jc w:val="center"/>
              <w:rPr>
                <w:b/>
              </w:rPr>
            </w:pPr>
            <w:r>
              <w:rPr>
                <w:rFonts w:eastAsia="Calibri"/>
                <w:b/>
              </w:rPr>
              <w:t>Anonymisierung</w:t>
            </w:r>
          </w:p>
        </w:tc>
        <w:tc>
          <w:tcPr>
            <w:tcW w:w="3071" w:type="dxa"/>
          </w:tcPr>
          <w:p w14:paraId="24D021D6" w14:textId="77777777" w:rsidR="004F4854" w:rsidRDefault="004F4854" w:rsidP="003D79DD">
            <w:pPr>
              <w:widowControl w:val="0"/>
              <w:spacing w:after="0" w:line="240" w:lineRule="auto"/>
              <w:jc w:val="center"/>
              <w:rPr>
                <w:b/>
              </w:rPr>
            </w:pPr>
            <w:r>
              <w:rPr>
                <w:rFonts w:eastAsia="Calibri"/>
                <w:b/>
              </w:rPr>
              <w:t>Pseudonymisierung</w:t>
            </w:r>
          </w:p>
        </w:tc>
      </w:tr>
      <w:tr w:rsidR="004F4854" w14:paraId="71F28C89" w14:textId="77777777" w:rsidTr="003D79DD">
        <w:tc>
          <w:tcPr>
            <w:tcW w:w="3070" w:type="dxa"/>
          </w:tcPr>
          <w:p w14:paraId="52CFFCCD" w14:textId="77777777" w:rsidR="004F4854" w:rsidRDefault="004F4854" w:rsidP="003D79DD">
            <w:pPr>
              <w:widowControl w:val="0"/>
              <w:spacing w:after="0" w:line="240" w:lineRule="auto"/>
              <w:rPr>
                <w:rFonts w:ascii="Calibri" w:eastAsia="Calibri" w:hAnsi="Calibri"/>
              </w:rPr>
            </w:pPr>
            <w:r>
              <w:rPr>
                <w:rFonts w:eastAsia="Calibri"/>
              </w:rPr>
              <w:t>Nichtangabe</w:t>
            </w:r>
          </w:p>
        </w:tc>
        <w:tc>
          <w:tcPr>
            <w:tcW w:w="3071" w:type="dxa"/>
          </w:tcPr>
          <w:p w14:paraId="10222F8C" w14:textId="77777777" w:rsidR="004F4854" w:rsidRDefault="004F4854" w:rsidP="003D79DD">
            <w:pPr>
              <w:widowControl w:val="0"/>
              <w:spacing w:after="0" w:line="240" w:lineRule="auto"/>
              <w:jc w:val="left"/>
              <w:rPr>
                <w:rFonts w:ascii="Calibri" w:eastAsia="Calibri" w:hAnsi="Calibri"/>
              </w:rPr>
            </w:pPr>
            <w:r>
              <w:rPr>
                <w:rFonts w:eastAsia="Calibri"/>
              </w:rPr>
              <w:t xml:space="preserve">Nichtangabe sorgt immer für Anonymität bzgl. des betreffenden </w:t>
            </w:r>
            <w:r w:rsidRPr="004832F9">
              <w:rPr>
                <w:rFonts w:eastAsia="Calibri"/>
              </w:rPr>
              <w:t>Datums</w:t>
            </w:r>
          </w:p>
        </w:tc>
        <w:tc>
          <w:tcPr>
            <w:tcW w:w="3071" w:type="dxa"/>
          </w:tcPr>
          <w:p w14:paraId="0A86D6FE" w14:textId="77777777" w:rsidR="004F4854" w:rsidRDefault="004F4854" w:rsidP="003D79DD">
            <w:pPr>
              <w:widowControl w:val="0"/>
              <w:spacing w:after="0" w:line="240" w:lineRule="auto"/>
              <w:jc w:val="left"/>
              <w:rPr>
                <w:rFonts w:ascii="Calibri" w:eastAsia="Calibri" w:hAnsi="Calibri"/>
              </w:rPr>
            </w:pPr>
            <w:r>
              <w:rPr>
                <w:rFonts w:eastAsia="Calibri"/>
              </w:rPr>
              <w:t>Keine Pseudonymisierung möglich</w:t>
            </w:r>
          </w:p>
        </w:tc>
      </w:tr>
      <w:tr w:rsidR="004F4854" w14:paraId="41184D66" w14:textId="77777777" w:rsidTr="003D79DD">
        <w:tc>
          <w:tcPr>
            <w:tcW w:w="3070" w:type="dxa"/>
          </w:tcPr>
          <w:p w14:paraId="010661CE" w14:textId="77777777" w:rsidR="004F4854" w:rsidRDefault="004F4854" w:rsidP="003D79DD">
            <w:pPr>
              <w:widowControl w:val="0"/>
              <w:spacing w:after="0" w:line="240" w:lineRule="auto"/>
              <w:rPr>
                <w:rFonts w:ascii="Calibri" w:eastAsia="Calibri" w:hAnsi="Calibri"/>
              </w:rPr>
            </w:pPr>
            <w:r>
              <w:rPr>
                <w:rFonts w:eastAsia="Calibri"/>
              </w:rPr>
              <w:t>Maskierung/Ersetzung</w:t>
            </w:r>
          </w:p>
        </w:tc>
        <w:tc>
          <w:tcPr>
            <w:tcW w:w="3071" w:type="dxa"/>
          </w:tcPr>
          <w:p w14:paraId="6CE2BD07" w14:textId="77777777" w:rsidR="004F4854" w:rsidRDefault="004F4854" w:rsidP="003D79DD">
            <w:pPr>
              <w:widowControl w:val="0"/>
              <w:spacing w:after="0" w:line="240" w:lineRule="auto"/>
              <w:jc w:val="left"/>
              <w:rPr>
                <w:rFonts w:ascii="Calibri" w:eastAsia="Calibri" w:hAnsi="Calibri"/>
              </w:rPr>
            </w:pPr>
            <w:r>
              <w:rPr>
                <w:rFonts w:eastAsia="Calibri"/>
              </w:rPr>
              <w:t>Bei Vorgehen</w:t>
            </w:r>
          </w:p>
          <w:p w14:paraId="517AA14A"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Pr>
                <w:rFonts w:eastAsia="Calibri"/>
              </w:rPr>
              <w:t xml:space="preserve">Ersetzen mit gleichbleibendem </w:t>
            </w:r>
            <w:r w:rsidRPr="004832F9">
              <w:rPr>
                <w:rFonts w:eastAsia="Calibri"/>
              </w:rPr>
              <w:t>Wert</w:t>
            </w:r>
          </w:p>
          <w:p w14:paraId="688A80E7"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Pr>
                <w:rFonts w:eastAsia="Calibri"/>
              </w:rPr>
              <w:t xml:space="preserve">Ersetzen mit sich erhöhendem </w:t>
            </w:r>
            <w:r w:rsidRPr="004832F9">
              <w:rPr>
                <w:rFonts w:eastAsia="Calibri"/>
              </w:rPr>
              <w:t>Wert</w:t>
            </w:r>
          </w:p>
          <w:p w14:paraId="248002C6"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Pr>
                <w:rFonts w:eastAsia="Calibri"/>
              </w:rPr>
              <w:t>Zufällige Mischung (Initialisierungsschlüssel vernichtet</w:t>
            </w:r>
            <w:r w:rsidRPr="004832F9">
              <w:rPr>
                <w:rFonts w:eastAsia="Calibri"/>
              </w:rPr>
              <w:t>)</w:t>
            </w:r>
          </w:p>
        </w:tc>
        <w:tc>
          <w:tcPr>
            <w:tcW w:w="3071" w:type="dxa"/>
          </w:tcPr>
          <w:p w14:paraId="5DF72C23" w14:textId="77777777" w:rsidR="004F4854" w:rsidRDefault="004F4854" w:rsidP="003D79DD">
            <w:pPr>
              <w:widowControl w:val="0"/>
              <w:spacing w:after="0" w:line="240" w:lineRule="auto"/>
              <w:jc w:val="left"/>
              <w:rPr>
                <w:rFonts w:ascii="Calibri" w:eastAsia="Calibri" w:hAnsi="Calibri"/>
              </w:rPr>
            </w:pPr>
            <w:r>
              <w:rPr>
                <w:rFonts w:eastAsia="Calibri"/>
              </w:rPr>
              <w:t>Verwendung</w:t>
            </w:r>
          </w:p>
          <w:p w14:paraId="6E651C1E"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sidRPr="004832F9">
              <w:rPr>
                <w:rFonts w:eastAsia="Calibri"/>
              </w:rPr>
              <w:t>eines</w:t>
            </w:r>
            <w:r>
              <w:rPr>
                <w:rFonts w:eastAsia="Calibri"/>
              </w:rPr>
              <w:t xml:space="preserve"> Schemas</w:t>
            </w:r>
          </w:p>
          <w:p w14:paraId="37F4B032"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sidRPr="004832F9">
              <w:rPr>
                <w:rFonts w:eastAsia="Calibri"/>
              </w:rPr>
              <w:t>von</w:t>
            </w:r>
            <w:r>
              <w:rPr>
                <w:rFonts w:eastAsia="Calibri"/>
              </w:rPr>
              <w:t xml:space="preserve"> pseudozufälliger Ersetzung, z. B. schlüsselabhängige Ersetzung</w:t>
            </w:r>
          </w:p>
        </w:tc>
      </w:tr>
      <w:tr w:rsidR="004F4854" w14:paraId="140DEB9E" w14:textId="77777777" w:rsidTr="003D79DD">
        <w:tc>
          <w:tcPr>
            <w:tcW w:w="3070" w:type="dxa"/>
          </w:tcPr>
          <w:p w14:paraId="5C5E16B9" w14:textId="77777777" w:rsidR="004F4854" w:rsidRDefault="004F4854" w:rsidP="003D79DD">
            <w:pPr>
              <w:widowControl w:val="0"/>
              <w:spacing w:after="0" w:line="240" w:lineRule="auto"/>
              <w:rPr>
                <w:rFonts w:ascii="Calibri" w:eastAsia="Calibri" w:hAnsi="Calibri"/>
              </w:rPr>
            </w:pPr>
            <w:r>
              <w:rPr>
                <w:rFonts w:eastAsia="Calibri"/>
              </w:rPr>
              <w:t>Mischung/</w:t>
            </w:r>
            <w:r w:rsidRPr="004832F9">
              <w:rPr>
                <w:rFonts w:eastAsia="Calibri"/>
              </w:rPr>
              <w:t>Shuffeling</w:t>
            </w:r>
          </w:p>
        </w:tc>
        <w:tc>
          <w:tcPr>
            <w:tcW w:w="3071" w:type="dxa"/>
          </w:tcPr>
          <w:p w14:paraId="209A9ACA" w14:textId="77777777" w:rsidR="004F4854" w:rsidRDefault="004F4854" w:rsidP="003D79DD">
            <w:pPr>
              <w:widowControl w:val="0"/>
              <w:spacing w:after="0" w:line="240" w:lineRule="auto"/>
              <w:jc w:val="left"/>
              <w:rPr>
                <w:rFonts w:ascii="Calibri" w:eastAsia="Calibri" w:hAnsi="Calibri"/>
              </w:rPr>
            </w:pPr>
            <w:r>
              <w:rPr>
                <w:rFonts w:eastAsia="Calibri"/>
              </w:rPr>
              <w:t>Bei Vorgehen</w:t>
            </w:r>
          </w:p>
          <w:p w14:paraId="6630FA38"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Pr>
                <w:rFonts w:eastAsia="Calibri"/>
              </w:rPr>
              <w:t>Zufällige Mischung (Initialisierungsschlüssel vernichtet</w:t>
            </w:r>
            <w:r w:rsidRPr="004832F9">
              <w:rPr>
                <w:rFonts w:eastAsia="Calibri"/>
              </w:rPr>
              <w:t>)</w:t>
            </w:r>
          </w:p>
        </w:tc>
        <w:tc>
          <w:tcPr>
            <w:tcW w:w="3071" w:type="dxa"/>
          </w:tcPr>
          <w:p w14:paraId="7FFC1114" w14:textId="77777777" w:rsidR="004F4854" w:rsidRDefault="004F4854" w:rsidP="003D79DD">
            <w:pPr>
              <w:widowControl w:val="0"/>
              <w:spacing w:after="0" w:line="240" w:lineRule="auto"/>
              <w:jc w:val="left"/>
              <w:rPr>
                <w:rFonts w:ascii="Calibri" w:eastAsia="Calibri" w:hAnsi="Calibri"/>
              </w:rPr>
            </w:pPr>
            <w:r>
              <w:rPr>
                <w:rFonts w:eastAsia="Calibri"/>
              </w:rPr>
              <w:t>Verwendung von</w:t>
            </w:r>
          </w:p>
          <w:p w14:paraId="04282B33"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sidRPr="004832F9">
              <w:rPr>
                <w:rFonts w:eastAsia="Calibri"/>
              </w:rPr>
              <w:t>pseudozufällige</w:t>
            </w:r>
            <w:r>
              <w:rPr>
                <w:rFonts w:eastAsia="Calibri"/>
              </w:rPr>
              <w:t xml:space="preserve"> Ersetzung, z. B. schlüsselabhängige Ersetzung</w:t>
            </w:r>
          </w:p>
        </w:tc>
      </w:tr>
      <w:tr w:rsidR="004F4854" w14:paraId="273F5D4D" w14:textId="77777777" w:rsidTr="003D79DD">
        <w:tc>
          <w:tcPr>
            <w:tcW w:w="3070" w:type="dxa"/>
          </w:tcPr>
          <w:p w14:paraId="7514C6B1" w14:textId="77777777" w:rsidR="004F4854" w:rsidRDefault="004F4854" w:rsidP="003D79DD">
            <w:pPr>
              <w:widowControl w:val="0"/>
              <w:spacing w:after="0" w:line="240" w:lineRule="auto"/>
              <w:rPr>
                <w:rFonts w:ascii="Calibri" w:eastAsia="Calibri" w:hAnsi="Calibri"/>
              </w:rPr>
            </w:pPr>
            <w:r>
              <w:rPr>
                <w:rFonts w:eastAsia="Calibri"/>
              </w:rPr>
              <w:t>Varianzmethode</w:t>
            </w:r>
          </w:p>
        </w:tc>
        <w:tc>
          <w:tcPr>
            <w:tcW w:w="3071" w:type="dxa"/>
          </w:tcPr>
          <w:p w14:paraId="39175A47" w14:textId="77777777" w:rsidR="004F4854" w:rsidRDefault="004F4854" w:rsidP="003D79DD">
            <w:pPr>
              <w:widowControl w:val="0"/>
              <w:spacing w:after="0" w:line="240" w:lineRule="auto"/>
              <w:jc w:val="left"/>
              <w:rPr>
                <w:rFonts w:ascii="Calibri" w:eastAsia="Calibri" w:hAnsi="Calibri"/>
              </w:rPr>
            </w:pPr>
            <w:r>
              <w:rPr>
                <w:rFonts w:eastAsia="Calibri"/>
              </w:rPr>
              <w:t xml:space="preserve">Bei ausreichend großer </w:t>
            </w:r>
            <w:r w:rsidRPr="004832F9">
              <w:rPr>
                <w:rFonts w:eastAsia="Calibri"/>
              </w:rPr>
              <w:t>Varianz</w:t>
            </w:r>
          </w:p>
        </w:tc>
        <w:tc>
          <w:tcPr>
            <w:tcW w:w="3071" w:type="dxa"/>
          </w:tcPr>
          <w:p w14:paraId="4FEF37E0" w14:textId="77777777" w:rsidR="004F4854" w:rsidRDefault="004F4854" w:rsidP="003D79DD">
            <w:pPr>
              <w:widowControl w:val="0"/>
              <w:spacing w:after="0" w:line="240" w:lineRule="auto"/>
              <w:jc w:val="left"/>
              <w:rPr>
                <w:rFonts w:ascii="Calibri" w:eastAsia="Calibri" w:hAnsi="Calibri"/>
              </w:rPr>
            </w:pPr>
            <w:r>
              <w:rPr>
                <w:rFonts w:eastAsia="Calibri"/>
              </w:rPr>
              <w:t xml:space="preserve">Vorgehen mit schlüsselabhängiger Abweichung; Schlüssel wird </w:t>
            </w:r>
            <w:r w:rsidRPr="004832F9">
              <w:rPr>
                <w:rFonts w:eastAsia="Calibri"/>
              </w:rPr>
              <w:t>aufbewahrt</w:t>
            </w:r>
          </w:p>
        </w:tc>
      </w:tr>
      <w:tr w:rsidR="004F4854" w14:paraId="28E52712" w14:textId="77777777" w:rsidTr="003D79DD">
        <w:tc>
          <w:tcPr>
            <w:tcW w:w="3070" w:type="dxa"/>
          </w:tcPr>
          <w:p w14:paraId="44EB0D0B" w14:textId="77777777" w:rsidR="004F4854" w:rsidRDefault="004F4854" w:rsidP="003D79DD">
            <w:pPr>
              <w:widowControl w:val="0"/>
              <w:spacing w:after="0" w:line="240" w:lineRule="auto"/>
              <w:rPr>
                <w:rFonts w:ascii="Calibri" w:eastAsia="Calibri" w:hAnsi="Calibri"/>
              </w:rPr>
            </w:pPr>
            <w:r>
              <w:rPr>
                <w:rFonts w:eastAsia="Calibri"/>
              </w:rPr>
              <w:t>Kryptografische Methoden</w:t>
            </w:r>
          </w:p>
        </w:tc>
        <w:tc>
          <w:tcPr>
            <w:tcW w:w="3071" w:type="dxa"/>
          </w:tcPr>
          <w:p w14:paraId="08603012" w14:textId="77777777" w:rsidR="004F4854" w:rsidRDefault="004F4854" w:rsidP="003D79DD">
            <w:pPr>
              <w:widowControl w:val="0"/>
              <w:spacing w:after="0" w:line="240" w:lineRule="auto"/>
              <w:jc w:val="left"/>
              <w:rPr>
                <w:rFonts w:ascii="Calibri" w:eastAsia="Calibri" w:hAnsi="Calibri"/>
              </w:rPr>
            </w:pPr>
            <w:r>
              <w:rPr>
                <w:rFonts w:eastAsia="Calibri"/>
              </w:rPr>
              <w:t>Bei Vorgehen</w:t>
            </w:r>
          </w:p>
          <w:p w14:paraId="6D20EA8B"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Pr>
                <w:rFonts w:eastAsia="Calibri"/>
              </w:rPr>
              <w:t xml:space="preserve">Schlüssel wird </w:t>
            </w:r>
            <w:r w:rsidRPr="004832F9">
              <w:rPr>
                <w:rFonts w:eastAsia="Calibri"/>
              </w:rPr>
              <w:t>vernichtet</w:t>
            </w:r>
          </w:p>
          <w:p w14:paraId="22D2C5B1"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Pr>
                <w:rFonts w:eastAsia="Calibri"/>
              </w:rPr>
              <w:t xml:space="preserve">Verfahren ist nicht </w:t>
            </w:r>
            <w:r w:rsidRPr="004832F9">
              <w:rPr>
                <w:rFonts w:eastAsia="Calibri"/>
              </w:rPr>
              <w:t>invertierbar</w:t>
            </w:r>
          </w:p>
        </w:tc>
        <w:tc>
          <w:tcPr>
            <w:tcW w:w="3071" w:type="dxa"/>
          </w:tcPr>
          <w:p w14:paraId="0AF6E00F" w14:textId="77777777" w:rsidR="004F4854" w:rsidRDefault="004F4854" w:rsidP="003D79DD">
            <w:pPr>
              <w:widowControl w:val="0"/>
              <w:spacing w:after="0" w:line="240" w:lineRule="auto"/>
              <w:jc w:val="left"/>
              <w:rPr>
                <w:rFonts w:ascii="Calibri" w:eastAsia="Calibri" w:hAnsi="Calibri"/>
              </w:rPr>
            </w:pPr>
            <w:r>
              <w:rPr>
                <w:rFonts w:eastAsia="Calibri"/>
              </w:rPr>
              <w:t>Bei Vorgehen</w:t>
            </w:r>
          </w:p>
          <w:p w14:paraId="3BFE613D" w14:textId="77777777" w:rsidR="004F4854" w:rsidRDefault="004F4854" w:rsidP="003D79DD">
            <w:pPr>
              <w:pStyle w:val="Listenabsatz"/>
              <w:widowControl w:val="0"/>
              <w:numPr>
                <w:ilvl w:val="0"/>
                <w:numId w:val="3"/>
              </w:numPr>
              <w:spacing w:after="0" w:line="240" w:lineRule="auto"/>
              <w:jc w:val="left"/>
              <w:rPr>
                <w:rFonts w:ascii="Calibri" w:eastAsia="Calibri" w:hAnsi="Calibri"/>
              </w:rPr>
            </w:pPr>
            <w:r>
              <w:rPr>
                <w:rFonts w:eastAsia="Calibri"/>
              </w:rPr>
              <w:t xml:space="preserve">Schlüssel wird sicher </w:t>
            </w:r>
            <w:r w:rsidRPr="004832F9">
              <w:rPr>
                <w:rFonts w:eastAsia="Calibri"/>
              </w:rPr>
              <w:t>aufbewahrt</w:t>
            </w:r>
          </w:p>
        </w:tc>
      </w:tr>
    </w:tbl>
    <w:p w14:paraId="049130CC" w14:textId="77777777" w:rsidR="00AE4EA7" w:rsidRDefault="00000000">
      <w:pPr>
        <w:pStyle w:val="berschrift3"/>
      </w:pPr>
      <w:bookmarkStart w:id="161" w:name="_Toc154652637"/>
      <w:r>
        <w:t>k-Anonymität</w:t>
      </w:r>
      <w:bookmarkEnd w:id="161"/>
    </w:p>
    <w:p w14:paraId="5109B4D6" w14:textId="77777777" w:rsidR="00AE4EA7" w:rsidRDefault="00000000">
      <w:r>
        <w:t>Direkte und indirekte Identifikationsmerkmale werden zu Gruppen mit gleichen Inhalten zusammengefasst, d. h. die Identifikationsmerkmale so verändert, dass die Merkmale zu Gruppen zusammengefasst werden können. Damit sind die hinter den Daten stehenden Individuen nicht mehr unterscheidbar, d. h. eine eindeutige Identifikation ist nicht mehr möglich.</w:t>
      </w:r>
    </w:p>
    <w:p w14:paraId="7C6B4E74" w14:textId="2EC6C636" w:rsidR="00AE4EA7" w:rsidRDefault="00000000">
      <w:r>
        <w:t xml:space="preserve">Um k-Anonymität zu erreichen, können alle oben beschriebenen Methoden eingesetzt werden. Dabei gilt: Je größer die Gruppe, </w:t>
      </w:r>
      <w:r w:rsidR="004F4854">
        <w:t>desto</w:t>
      </w:r>
      <w:r>
        <w:t xml:space="preserve"> größer ist das Maß an Anonymität bzw. </w:t>
      </w:r>
      <w:r w:rsidR="004F4854">
        <w:t>umso</w:t>
      </w:r>
      <w:r>
        <w:t xml:space="preserve"> kleiner ist die Wahrscheinlichkeit als Angehöriger einer Gruppe mit bestimmten Merkmalen identifiziert zu werden.</w:t>
      </w:r>
    </w:p>
    <w:p w14:paraId="3BADBABE" w14:textId="77777777" w:rsidR="00AE4EA7" w:rsidRDefault="00000000">
      <w:r>
        <w:t>Der Parameter k definiert bei der k-Anonymität die Mindestgröße der Gruppen. Er ist damit gleichzeitig das Maß der Anonymität. In einer Gruppe von k Individuen liegt die Wahrscheinlichkeit bei 1/k ein einzelnes Individuum korrekt zu identifizieren: Ein Datensatz erfüllt formal k-Anonymität, wenn die identifizierenden Merkmale jedes Datums von mindestens k Einträgen im Datensatz erfüllt werden</w:t>
      </w:r>
      <w:r>
        <w:rPr>
          <w:rStyle w:val="Funotenanker"/>
        </w:rPr>
        <w:footnoteReference w:id="82"/>
      </w:r>
      <w:r>
        <w:t>.</w:t>
      </w:r>
    </w:p>
    <w:p w14:paraId="0AB1F0F8" w14:textId="07A69171" w:rsidR="00C738BE" w:rsidRDefault="00000000" w:rsidP="00F86119">
      <w:r>
        <w:t>In der Literatur wird ein Schwellwert von mindestens 5 angegeben</w:t>
      </w:r>
      <w:r w:rsidR="006330C9">
        <w:rPr>
          <w:rStyle w:val="Funotenzeichen"/>
        </w:rPr>
        <w:footnoteReference w:id="83"/>
      </w:r>
      <w:r>
        <w:t xml:space="preserve">, d. h.: Bei jeder Auswertung umfasst das Ergebnis zu jedem Zeitpunkt des Auswertungszeitraumes mindestens 5 Betroffene, sodass kein Rückschluss auf Einzelpersonen gegeben </w:t>
      </w:r>
      <w:r w:rsidR="00F86119">
        <w:t>sein sollte</w:t>
      </w:r>
      <w:r>
        <w:t>. Kann eine Rückführbarkeit auf eine Personengruppe unter 5 Personen nicht ausgeschlossen werden, sind sowohl der Schwellwert a</w:t>
      </w:r>
      <w:r w:rsidR="004F4854">
        <w:t>l</w:t>
      </w:r>
      <w:r>
        <w:t>s auch die Merkmale/Items für die jeweilige Auswertung so zu definieren, dass trotzdem der Identifikationsschutz gewährleistet ist.</w:t>
      </w:r>
    </w:p>
    <w:p w14:paraId="5EB3B5D4" w14:textId="43DF5B53" w:rsidR="00027701" w:rsidRDefault="00F86119" w:rsidP="00383094">
      <w:pPr>
        <w:spacing w:after="0"/>
      </w:pPr>
      <w:r>
        <w:t>Mit festen Werten von k muss jedoch grundsätzlich vorsichtig umgegangen werden. Z. B. muss bedacht werden, dass verschiedene Attribute miteinander in Zusammenhang stehen können und so durch deren Interaktion u. </w:t>
      </w:r>
      <w:r w:rsidR="00497C33">
        <w:t>U</w:t>
      </w:r>
      <w:r>
        <w:t xml:space="preserve">. Aussagen über eine Einzelperson ermöglicht werden. Eine </w:t>
      </w:r>
      <w:r w:rsidRPr="00F86119">
        <w:t xml:space="preserve">optimale k- Anonymität </w:t>
      </w:r>
      <w:r>
        <w:t xml:space="preserve">stellt </w:t>
      </w:r>
      <w:r w:rsidRPr="00F86119">
        <w:t xml:space="preserve">ein </w:t>
      </w:r>
      <w:r w:rsidRPr="004832F9">
        <w:t>NP-schweres</w:t>
      </w:r>
      <w:r w:rsidRPr="00F86119">
        <w:t xml:space="preserve"> Problem</w:t>
      </w:r>
      <w:r>
        <w:rPr>
          <w:rStyle w:val="Funotenzeichen"/>
        </w:rPr>
        <w:footnoteReference w:id="84"/>
      </w:r>
      <w:r>
        <w:t xml:space="preserve"> dar</w:t>
      </w:r>
      <w:r w:rsidR="006330C9">
        <w:rPr>
          <w:rStyle w:val="Funotenzeichen"/>
        </w:rPr>
        <w:footnoteReference w:id="85"/>
      </w:r>
      <w:r>
        <w:t>, weswegen zur Ermittlung des k-Wertes heuristische Methoden</w:t>
      </w:r>
      <w:r>
        <w:rPr>
          <w:rStyle w:val="Funotenzeichen"/>
        </w:rPr>
        <w:footnoteReference w:id="86"/>
      </w:r>
      <w:r>
        <w:t xml:space="preserve"> empfohlen werden.</w:t>
      </w:r>
      <w:r w:rsidR="00383094">
        <w:t xml:space="preserve"> In der Literatur</w:t>
      </w:r>
      <w:r w:rsidR="00383094">
        <w:rPr>
          <w:rStyle w:val="Funotenzeichen"/>
        </w:rPr>
        <w:footnoteReference w:id="87"/>
      </w:r>
      <w:r w:rsidR="00383094">
        <w:t xml:space="preserve"> wurde die Komplexität der Bestimmung von k durch folgende Funktion dargestellt:</w:t>
      </w:r>
    </w:p>
    <w:p w14:paraId="7F77A6C3" w14:textId="499DB2B4" w:rsidR="00383094" w:rsidRDefault="00383094" w:rsidP="00383094">
      <w:pPr>
        <w:spacing w:after="0"/>
        <w:jc w:val="center"/>
      </w:pPr>
      <m:oMathPara>
        <m:oMath>
          <m:r>
            <w:rPr>
              <w:rFonts w:ascii="Cambria Math" w:hAnsi="Cambria Math"/>
            </w:rPr>
            <m:t>k=f(</m:t>
          </m:r>
          <m:sSub>
            <m:sSubPr>
              <m:ctrlPr>
                <w:rPr>
                  <w:rFonts w:ascii="Cambria Math" w:hAnsi="Cambria Math"/>
                </w:rPr>
              </m:ctrlPr>
            </m:sSubPr>
            <m:e>
              <m:r>
                <w:rPr>
                  <w:rFonts w:ascii="Cambria Math" w:hAnsi="Cambria Math"/>
                </w:rPr>
                <m:t>D</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B</m:t>
              </m:r>
            </m:sub>
          </m:sSub>
          <m:r>
            <w:rPr>
              <w:rFonts w:ascii="Cambria Math" w:hAnsi="Cambria Math"/>
            </w:rPr>
            <m:t xml:space="preserve">) </m:t>
          </m:r>
        </m:oMath>
      </m:oMathPara>
    </w:p>
    <w:p w14:paraId="138169E9" w14:textId="31E657AE" w:rsidR="00383094" w:rsidRDefault="00383094" w:rsidP="00383094">
      <w:pPr>
        <w:spacing w:after="0"/>
      </w:pPr>
      <w:r w:rsidRPr="004832F9">
        <w:t>mit</w:t>
      </w:r>
    </w:p>
    <w:p w14:paraId="0E509163" w14:textId="2FBD2D04" w:rsidR="00383094" w:rsidRDefault="00383094" w:rsidP="00383094">
      <w:pPr>
        <w:spacing w:after="0"/>
        <w:ind w:left="708"/>
      </w:pPr>
      <w:r>
        <w:t>D</w:t>
      </w:r>
      <w:r>
        <w:rPr>
          <w:vertAlign w:val="subscript"/>
        </w:rPr>
        <w:t>A</w:t>
      </w:r>
      <w:r>
        <w:t xml:space="preserve">: </w:t>
      </w:r>
      <w:r w:rsidRPr="004832F9">
        <w:t>Die</w:t>
      </w:r>
      <w:r>
        <w:t xml:space="preserve"> Notwendigkeit des Datenschutzes für den Datenbesitzer (Datenschutz-Anforderung)</w:t>
      </w:r>
    </w:p>
    <w:p w14:paraId="43E63205" w14:textId="003C22EB" w:rsidR="00383094" w:rsidRDefault="00383094" w:rsidP="00383094">
      <w:pPr>
        <w:spacing w:after="0"/>
        <w:ind w:left="708"/>
      </w:pPr>
      <w:r>
        <w:t>A</w:t>
      </w:r>
      <w:r>
        <w:rPr>
          <w:vertAlign w:val="subscript"/>
        </w:rPr>
        <w:t>A</w:t>
      </w:r>
      <w:r>
        <w:t xml:space="preserve">: </w:t>
      </w:r>
      <w:r w:rsidRPr="004832F9">
        <w:t>D</w:t>
      </w:r>
      <w:r w:rsidR="00723031" w:rsidRPr="004832F9">
        <w:t>as</w:t>
      </w:r>
      <w:r>
        <w:t xml:space="preserve"> Erfordernis des Nutzers der anonymisierten Daten (Anwender-Anforderung</w:t>
      </w:r>
      <w:r w:rsidRPr="004832F9">
        <w:t>)</w:t>
      </w:r>
    </w:p>
    <w:p w14:paraId="7119C65A" w14:textId="78729454" w:rsidR="00383094" w:rsidRDefault="00383094" w:rsidP="00383094">
      <w:pPr>
        <w:spacing w:after="0"/>
        <w:ind w:left="708"/>
      </w:pPr>
      <w:r>
        <w:t>C</w:t>
      </w:r>
      <w:r w:rsidRPr="00383094">
        <w:rPr>
          <w:vertAlign w:val="subscript"/>
        </w:rPr>
        <w:t>A</w:t>
      </w:r>
      <w:r>
        <w:t xml:space="preserve">: </w:t>
      </w:r>
      <w:r w:rsidRPr="004832F9">
        <w:t>Die</w:t>
      </w:r>
      <w:r>
        <w:t xml:space="preserve"> Verpflichtung zur Einhaltung der Vertraulichkeit der Daten (Compliance-Anforderung)</w:t>
      </w:r>
    </w:p>
    <w:p w14:paraId="04DB510D" w14:textId="7D435F21" w:rsidR="00383094" w:rsidRDefault="00383094" w:rsidP="00383094">
      <w:pPr>
        <w:spacing w:after="0"/>
        <w:ind w:left="708"/>
      </w:pPr>
      <w:r w:rsidRPr="004832F9">
        <w:t>G</w:t>
      </w:r>
      <w:r w:rsidRPr="004832F9">
        <w:rPr>
          <w:vertAlign w:val="subscript"/>
        </w:rPr>
        <w:t>A</w:t>
      </w:r>
      <w:r>
        <w:t xml:space="preserve">: Der Grad der Abstraktion der Daten </w:t>
      </w:r>
    </w:p>
    <w:p w14:paraId="3805C776" w14:textId="6D5CD08B" w:rsidR="00383094" w:rsidRDefault="00383094" w:rsidP="00383094">
      <w:pPr>
        <w:spacing w:after="0"/>
        <w:ind w:left="709"/>
      </w:pPr>
      <w:r>
        <w:t>G</w:t>
      </w:r>
      <w:r w:rsidRPr="00383094">
        <w:rPr>
          <w:vertAlign w:val="subscript"/>
        </w:rPr>
        <w:t>B</w:t>
      </w:r>
      <w:r w:rsidR="005B1D56">
        <w:t>:</w:t>
      </w:r>
      <w:r>
        <w:t xml:space="preserve"> Der Grad der Beschränkungen, der sich aus der k-Anonymisierung </w:t>
      </w:r>
      <w:r w:rsidRPr="004832F9">
        <w:t>ergibt</w:t>
      </w:r>
    </w:p>
    <w:p w14:paraId="10A006BB" w14:textId="1836F422" w:rsidR="00383094" w:rsidRDefault="00383094" w:rsidP="00F86119">
      <w:r w:rsidRPr="004832F9">
        <w:t>wodurch</w:t>
      </w:r>
      <w:r>
        <w:t xml:space="preserve"> die Komplexität des Findens eines „best k“ anschaulich dargestellt wird.</w:t>
      </w:r>
    </w:p>
    <w:p w14:paraId="1548B5C6" w14:textId="7E0CB66C" w:rsidR="00027701" w:rsidRDefault="00027701" w:rsidP="00F86119">
      <w:r>
        <w:t xml:space="preserve">Weiterhin ist zu beachten, dass k-Anonymität auch bei </w:t>
      </w:r>
      <w:r w:rsidR="00B921FF">
        <w:t xml:space="preserve">sehr </w:t>
      </w:r>
      <w:r>
        <w:t xml:space="preserve">guter Wahl von „k“ alleine noch keine Anonymität gewährleisten muss. Die Möglichkeit, über verknüpfte Aussagen korrespondierender Attribute ggf. Aussagen über Einzelpersonen </w:t>
      </w:r>
      <w:r w:rsidR="00B921FF">
        <w:t>geben zu können</w:t>
      </w:r>
      <w:r>
        <w:t>, wurde schon erwähnt</w:t>
      </w:r>
      <w:r w:rsidR="00B921FF">
        <w:t>. D</w:t>
      </w:r>
      <w:r>
        <w:t>aneben gibt es noch andere Angriffsmethoden</w:t>
      </w:r>
      <w:r w:rsidR="00B921FF">
        <w:t xml:space="preserve">, einige werden in Kapitel </w:t>
      </w:r>
      <w:r w:rsidR="00B921FF">
        <w:fldChar w:fldCharType="begin"/>
      </w:r>
      <w:r w:rsidR="00B921FF">
        <w:instrText xml:space="preserve"> REF _Ref151537241 \r \h </w:instrText>
      </w:r>
      <w:r w:rsidR="00B921FF">
        <w:fldChar w:fldCharType="separate"/>
      </w:r>
      <w:r w:rsidR="00C9149F">
        <w:t>8.5.2</w:t>
      </w:r>
      <w:r w:rsidR="00B921FF">
        <w:fldChar w:fldCharType="end"/>
      </w:r>
      <w:r w:rsidR="00B921FF">
        <w:t xml:space="preserve"> vorgestellt</w:t>
      </w:r>
      <w:r>
        <w:t xml:space="preserve">. Daher sollte k-Anonymität immer von flankierenden Maßnahmen wie l-Diversität und </w:t>
      </w:r>
      <w:r w:rsidRPr="004832F9">
        <w:t>t-Closeness</w:t>
      </w:r>
      <w:r>
        <w:t xml:space="preserve"> (siehe Kapitel </w:t>
      </w:r>
      <w:r>
        <w:fldChar w:fldCharType="begin"/>
      </w:r>
      <w:r>
        <w:instrText xml:space="preserve"> REF _Ref151537095 \r \h </w:instrText>
      </w:r>
      <w:r>
        <w:fldChar w:fldCharType="separate"/>
      </w:r>
      <w:r w:rsidR="00C9149F">
        <w:t>8.5.6</w:t>
      </w:r>
      <w:r>
        <w:fldChar w:fldCharType="end"/>
      </w:r>
      <w:r>
        <w:t>) begleitet werden.</w:t>
      </w:r>
    </w:p>
    <w:p w14:paraId="0AB85F0D" w14:textId="41100456" w:rsidR="00844DC3" w:rsidRDefault="00844DC3" w:rsidP="00844DC3">
      <w:pPr>
        <w:pStyle w:val="berschrift3"/>
      </w:pPr>
      <w:bookmarkStart w:id="162" w:name="_Ref150569690"/>
      <w:bookmarkStart w:id="163" w:name="_Toc154652638"/>
      <w:r w:rsidRPr="004832F9">
        <w:t>Differential</w:t>
      </w:r>
      <w:r w:rsidRPr="00844DC3">
        <w:t xml:space="preserve"> </w:t>
      </w:r>
      <w:r w:rsidRPr="004832F9">
        <w:t>Privacy</w:t>
      </w:r>
      <w:bookmarkEnd w:id="162"/>
      <w:bookmarkEnd w:id="163"/>
    </w:p>
    <w:p w14:paraId="4C9D37E9" w14:textId="6D97989B" w:rsidR="00844DC3" w:rsidRDefault="00844DC3" w:rsidP="00844DC3">
      <w:r w:rsidRPr="004832F9">
        <w:t>Differential</w:t>
      </w:r>
      <w:r w:rsidRPr="00844DC3">
        <w:t xml:space="preserve"> </w:t>
      </w:r>
      <w:r w:rsidRPr="004832F9">
        <w:t>Privacy</w:t>
      </w:r>
      <w:r w:rsidRPr="00844DC3">
        <w:t xml:space="preserve"> </w:t>
      </w:r>
      <w:r>
        <w:t>wurde eingeführt,</w:t>
      </w:r>
      <w:r w:rsidRPr="00844DC3">
        <w:t xml:space="preserve"> um eine </w:t>
      </w:r>
      <w:r w:rsidRPr="004832F9">
        <w:t>De-Anonymisierung</w:t>
      </w:r>
      <w:r w:rsidRPr="00844DC3">
        <w:t xml:space="preserve"> von Daten mit Hilfe von </w:t>
      </w:r>
      <w:r>
        <w:t>„</w:t>
      </w:r>
      <w:r w:rsidRPr="004832F9">
        <w:t>Linkage</w:t>
      </w:r>
      <w:r>
        <w:t xml:space="preserve"> Attacken“ (siehe Abschnitt </w:t>
      </w:r>
      <w:r>
        <w:fldChar w:fldCharType="begin"/>
      </w:r>
      <w:r>
        <w:instrText xml:space="preserve"> REF _Ref149292604 \r \h </w:instrText>
      </w:r>
      <w:r>
        <w:fldChar w:fldCharType="separate"/>
      </w:r>
      <w:r w:rsidR="00C9149F">
        <w:t>8.5.2.5</w:t>
      </w:r>
      <w:r>
        <w:fldChar w:fldCharType="end"/>
      </w:r>
      <w:r>
        <w:t>)</w:t>
      </w:r>
      <w:r w:rsidRPr="00844DC3">
        <w:t xml:space="preserve"> zu verhindern</w:t>
      </w:r>
      <w:r>
        <w:t>.</w:t>
      </w:r>
      <w:r w:rsidR="006D5146">
        <w:rPr>
          <w:rStyle w:val="Funotenzeichen"/>
        </w:rPr>
        <w:footnoteReference w:id="88"/>
      </w:r>
    </w:p>
    <w:p w14:paraId="43D1CF8A" w14:textId="72ACE260" w:rsidR="00844DC3" w:rsidRDefault="00844DC3" w:rsidP="00844DC3">
      <w:r>
        <w:t xml:space="preserve">Bei </w:t>
      </w:r>
      <w:r w:rsidRPr="004832F9">
        <w:t>Differential</w:t>
      </w:r>
      <w:r w:rsidRPr="00844DC3">
        <w:t xml:space="preserve"> </w:t>
      </w:r>
      <w:r w:rsidRPr="004832F9">
        <w:t>Privacy</w:t>
      </w:r>
      <w:r>
        <w:t xml:space="preserve"> wird </w:t>
      </w:r>
      <w:r w:rsidRPr="00844DC3">
        <w:t xml:space="preserve">der Anonymisierungsprozess </w:t>
      </w:r>
      <w:r>
        <w:t xml:space="preserve">in einer Art und Weise </w:t>
      </w:r>
      <w:r w:rsidRPr="00844DC3">
        <w:t>randomisiert</w:t>
      </w:r>
      <w:r>
        <w:t xml:space="preserve">, dass die </w:t>
      </w:r>
      <w:r w:rsidRPr="00844DC3">
        <w:t>Änderung</w:t>
      </w:r>
      <w:r>
        <w:t>en</w:t>
      </w:r>
      <w:r w:rsidRPr="00844DC3">
        <w:t xml:space="preserve"> an </w:t>
      </w:r>
      <w:r>
        <w:t xml:space="preserve">den jeweiligen </w:t>
      </w:r>
      <w:r w:rsidRPr="00844DC3">
        <w:t xml:space="preserve">einzelnen Daten </w:t>
      </w:r>
      <w:r>
        <w:t>k</w:t>
      </w:r>
      <w:r w:rsidRPr="00844DC3">
        <w:t xml:space="preserve">einen wesentlichen Einfluss auf </w:t>
      </w:r>
      <w:r>
        <w:t>statistische Auswertungen haben, d. h. die statistischen Aussagen des ursprünglichen Datensatzes erhalten bleib</w:t>
      </w:r>
      <w:r w:rsidR="004F4854">
        <w:t>en</w:t>
      </w:r>
      <w:r>
        <w:t>.</w:t>
      </w:r>
    </w:p>
    <w:p w14:paraId="425C473E" w14:textId="3EAF8ACB" w:rsidR="00844DC3" w:rsidRDefault="00844DC3" w:rsidP="00844DC3">
      <w:pPr>
        <w:spacing w:after="0"/>
      </w:pPr>
      <w:r w:rsidRPr="00844DC3">
        <w:t xml:space="preserve">Cynthia </w:t>
      </w:r>
      <w:r w:rsidRPr="004832F9">
        <w:t>Dwork</w:t>
      </w:r>
      <w:r>
        <w:t xml:space="preserve"> und </w:t>
      </w:r>
      <w:r w:rsidRPr="00844DC3">
        <w:t>Aaron Roth</w:t>
      </w:r>
      <w:r>
        <w:rPr>
          <w:rStyle w:val="Funotenzeichen"/>
        </w:rPr>
        <w:footnoteReference w:id="89"/>
      </w:r>
      <w:r>
        <w:t xml:space="preserve"> führten ein Beispiel zur Verdeutlichung an:</w:t>
      </w:r>
    </w:p>
    <w:p w14:paraId="7CB15C50" w14:textId="77777777" w:rsidR="00844DC3" w:rsidRDefault="00844DC3" w:rsidP="00844DC3">
      <w:pPr>
        <w:spacing w:after="0"/>
        <w:ind w:left="708"/>
      </w:pPr>
      <w:r>
        <w:t>„Die Studienteilnehmer werden aufgefordert, anzugeben, ob sie die Fähigkeit P wie folgt besitzen oder nicht:</w:t>
      </w:r>
    </w:p>
    <w:p w14:paraId="26C0720A" w14:textId="311533BB" w:rsidR="00844DC3" w:rsidRDefault="00844DC3" w:rsidP="00844DC3">
      <w:pPr>
        <w:tabs>
          <w:tab w:val="left" w:pos="1276"/>
        </w:tabs>
        <w:spacing w:after="0"/>
        <w:ind w:left="1276" w:hanging="283"/>
      </w:pPr>
      <w:r>
        <w:t>1.</w:t>
      </w:r>
      <w:r>
        <w:tab/>
        <w:t>Werfen Sie eine Münze.</w:t>
      </w:r>
    </w:p>
    <w:p w14:paraId="3FE3A739" w14:textId="758EE65F" w:rsidR="00844DC3" w:rsidRDefault="00844DC3" w:rsidP="00844DC3">
      <w:pPr>
        <w:tabs>
          <w:tab w:val="left" w:pos="1276"/>
        </w:tabs>
        <w:spacing w:after="0"/>
        <w:ind w:left="1276" w:hanging="283"/>
      </w:pPr>
      <w:r>
        <w:t>2.</w:t>
      </w:r>
      <w:r>
        <w:tab/>
        <w:t>Wenn Zahl, dann wahrheitsgemäß antworten.</w:t>
      </w:r>
    </w:p>
    <w:p w14:paraId="1B931B63" w14:textId="0B3F6696" w:rsidR="00844DC3" w:rsidRDefault="00844DC3" w:rsidP="00844DC3">
      <w:pPr>
        <w:tabs>
          <w:tab w:val="left" w:pos="1276"/>
        </w:tabs>
        <w:spacing w:after="0"/>
        <w:ind w:left="1276" w:hanging="283"/>
      </w:pPr>
      <w:r>
        <w:t>3.</w:t>
      </w:r>
      <w:r>
        <w:tab/>
        <w:t>Bei Kopf wird eine zweite Münze geworfen und bei Kopf mit "Ja" und bei Zahl mit "Nein" beantwortet.</w:t>
      </w:r>
    </w:p>
    <w:p w14:paraId="73AF7885" w14:textId="37487258" w:rsidR="00844DC3" w:rsidRDefault="00844DC3" w:rsidP="00844DC3">
      <w:pPr>
        <w:ind w:left="708"/>
      </w:pPr>
      <w:r>
        <w:t>Die „Privatheit“ ergibt sich aus der plausiblen Bestreitbarkeit eines jeden Ergebnisses; selbst wenn der Besitz der Fähigkeit P einem rechtswidrigen Verhalten entspricht, ist auch eine Antwort mit „Ja“ nicht belastend, da diese Antwort mit einer Wahrscheinlichkeit von mindestens 1/4 eintritt, unabhängig davon, ob der Befragte tatsächlich die Fähigkeit P besitzt oder nicht: Die erwartete Anzahl der „Ja“-Antworten ist das 1/4-fache der Anzahl der Teilnehmer, die die Eigenschaft P nicht haben, plus 3/4 der Anzahl, die die Eigenschaft P haben.“</w:t>
      </w:r>
    </w:p>
    <w:p w14:paraId="0276396A" w14:textId="79A2D3B1" w:rsidR="00844DC3" w:rsidRDefault="00844DC3" w:rsidP="00BF7B1B">
      <w:r w:rsidRPr="004832F9">
        <w:t>Differential</w:t>
      </w:r>
      <w:r w:rsidRPr="00844DC3">
        <w:t xml:space="preserve"> </w:t>
      </w:r>
      <w:r w:rsidRPr="004832F9">
        <w:t>Privacy</w:t>
      </w:r>
      <w:r>
        <w:t xml:space="preserve"> setzt voraus, dass einerseits eine genügende Datenmenge vorhanden ist, </w:t>
      </w:r>
      <w:r w:rsidR="005B1D56">
        <w:t>so</w:t>
      </w:r>
      <w:r>
        <w:t xml:space="preserve">dass </w:t>
      </w:r>
      <w:r w:rsidR="005B1D56">
        <w:t xml:space="preserve">sich </w:t>
      </w:r>
      <w:r>
        <w:t>auch bei Änderungen</w:t>
      </w:r>
      <w:r w:rsidR="005B1D56">
        <w:t xml:space="preserve"> einzelner Daten</w:t>
      </w:r>
      <w:r>
        <w:t xml:space="preserve"> die statistische Aussage nicht ändert, </w:t>
      </w:r>
      <w:r w:rsidRPr="00AF2176">
        <w:t>andererseits</w:t>
      </w:r>
      <w:r w:rsidR="004F4854">
        <w:t>,</w:t>
      </w:r>
      <w:r>
        <w:t xml:space="preserve"> dass die Verteilung der Daten selbst entsprechende Annahmen bzgl. der </w:t>
      </w:r>
      <w:r w:rsidRPr="004832F9">
        <w:t>Unverändertheit</w:t>
      </w:r>
      <w:r>
        <w:t xml:space="preserve"> der</w:t>
      </w:r>
      <w:r w:rsidR="004C1658">
        <w:t xml:space="preserve"> statistischen</w:t>
      </w:r>
      <w:r>
        <w:t xml:space="preserve"> Aussage bei Veränderung einzelner </w:t>
      </w:r>
      <w:r w:rsidR="004C1658" w:rsidRPr="004C1658">
        <w:t>D</w:t>
      </w:r>
      <w:r w:rsidRPr="004C1658">
        <w:t>aten</w:t>
      </w:r>
      <w:r>
        <w:t xml:space="preserve"> erlaubt.</w:t>
      </w:r>
      <w:r w:rsidR="00BF7B1B">
        <w:t xml:space="preserve"> Die Höhe des Schutzes von </w:t>
      </w:r>
      <w:r w:rsidR="00BF7B1B" w:rsidRPr="004832F9">
        <w:t>Differential</w:t>
      </w:r>
      <w:r w:rsidR="00BF7B1B">
        <w:t xml:space="preserve"> </w:t>
      </w:r>
      <w:r w:rsidR="00BF7B1B" w:rsidRPr="004832F9">
        <w:t>Privacy</w:t>
      </w:r>
      <w:r w:rsidR="00BF7B1B">
        <w:t xml:space="preserve"> wird durch den Parameter </w:t>
      </w:r>
      <w:r w:rsidR="00BF7B1B">
        <w:rPr>
          <w:rFonts w:cstheme="minorHAnsi"/>
        </w:rPr>
        <w:t xml:space="preserve">ε bestimmt: </w:t>
      </w:r>
      <w:r w:rsidR="00BF7B1B" w:rsidRPr="00BF7B1B">
        <w:rPr>
          <w:rFonts w:cstheme="minorHAnsi"/>
        </w:rPr>
        <w:t>Je kleiner ε gewählt wird, desto weniger Informationen</w:t>
      </w:r>
      <w:r w:rsidR="00BF7B1B">
        <w:rPr>
          <w:rFonts w:cstheme="minorHAnsi"/>
        </w:rPr>
        <w:t xml:space="preserve"> </w:t>
      </w:r>
      <w:r w:rsidR="00BF7B1B" w:rsidRPr="00BF7B1B">
        <w:rPr>
          <w:rFonts w:cstheme="minorHAnsi"/>
        </w:rPr>
        <w:t xml:space="preserve">werden </w:t>
      </w:r>
      <w:r w:rsidR="005B1D56">
        <w:rPr>
          <w:rFonts w:cstheme="minorHAnsi"/>
        </w:rPr>
        <w:t>über</w:t>
      </w:r>
      <w:r w:rsidR="00BF7B1B">
        <w:rPr>
          <w:rFonts w:cstheme="minorHAnsi"/>
        </w:rPr>
        <w:t xml:space="preserve"> bestimmbare Personen </w:t>
      </w:r>
      <w:r w:rsidR="005B1D56">
        <w:rPr>
          <w:rFonts w:cstheme="minorHAnsi"/>
        </w:rPr>
        <w:t>preisgegeben</w:t>
      </w:r>
      <w:r w:rsidR="00BF7B1B" w:rsidRPr="00BF7B1B">
        <w:rPr>
          <w:rFonts w:cstheme="minorHAnsi"/>
        </w:rPr>
        <w:t xml:space="preserve">, </w:t>
      </w:r>
      <w:r w:rsidR="00BF7B1B">
        <w:rPr>
          <w:rFonts w:cstheme="minorHAnsi"/>
        </w:rPr>
        <w:t xml:space="preserve">d. h., desto </w:t>
      </w:r>
      <w:r w:rsidR="005B1D56">
        <w:rPr>
          <w:rFonts w:cstheme="minorHAnsi"/>
        </w:rPr>
        <w:t>höher</w:t>
      </w:r>
      <w:r w:rsidR="00BF7B1B">
        <w:rPr>
          <w:rFonts w:cstheme="minorHAnsi"/>
        </w:rPr>
        <w:t xml:space="preserve"> </w:t>
      </w:r>
      <w:r w:rsidR="005B1D56">
        <w:rPr>
          <w:rFonts w:cstheme="minorHAnsi"/>
        </w:rPr>
        <w:t xml:space="preserve">ist </w:t>
      </w:r>
      <w:r w:rsidR="00BF7B1B">
        <w:rPr>
          <w:rFonts w:cstheme="minorHAnsi"/>
        </w:rPr>
        <w:t xml:space="preserve">der Grad an Anonymität – </w:t>
      </w:r>
      <w:r w:rsidR="00BF7B1B" w:rsidRPr="00BF7B1B">
        <w:rPr>
          <w:rFonts w:cstheme="minorHAnsi"/>
        </w:rPr>
        <w:t xml:space="preserve">aber </w:t>
      </w:r>
      <w:r w:rsidR="00BF7B1B">
        <w:rPr>
          <w:rFonts w:cstheme="minorHAnsi"/>
        </w:rPr>
        <w:t xml:space="preserve">zugleich wird es </w:t>
      </w:r>
      <w:r w:rsidR="00BF7B1B" w:rsidRPr="00BF7B1B">
        <w:rPr>
          <w:rFonts w:cstheme="minorHAnsi"/>
        </w:rPr>
        <w:t xml:space="preserve">schwieriger, die Daten sinnvoll </w:t>
      </w:r>
      <w:r w:rsidR="00BF7B1B">
        <w:rPr>
          <w:rFonts w:cstheme="minorHAnsi"/>
        </w:rPr>
        <w:t>auszuwerten</w:t>
      </w:r>
      <w:r w:rsidR="00BF7B1B" w:rsidRPr="00BF7B1B">
        <w:rPr>
          <w:rFonts w:cstheme="minorHAnsi"/>
        </w:rPr>
        <w:t xml:space="preserve">. Der </w:t>
      </w:r>
      <w:r w:rsidR="00BF7B1B">
        <w:rPr>
          <w:rFonts w:cstheme="minorHAnsi"/>
        </w:rPr>
        <w:t xml:space="preserve">Idealfall bzgl. Anonymität </w:t>
      </w:r>
      <w:r w:rsidR="00BF7B1B" w:rsidRPr="004832F9">
        <w:rPr>
          <w:rFonts w:cstheme="minorHAnsi"/>
        </w:rPr>
        <w:t>ist dementsprechend bei ε =</w:t>
      </w:r>
      <w:r w:rsidR="00BF7B1B" w:rsidRPr="00BF7B1B">
        <w:rPr>
          <w:rFonts w:cstheme="minorHAnsi"/>
        </w:rPr>
        <w:t xml:space="preserve"> 0 </w:t>
      </w:r>
      <w:r w:rsidR="00BF7B1B">
        <w:rPr>
          <w:rFonts w:cstheme="minorHAnsi"/>
        </w:rPr>
        <w:t xml:space="preserve">gegeben, </w:t>
      </w:r>
      <w:r w:rsidR="00BF7B1B" w:rsidRPr="00BF7B1B">
        <w:rPr>
          <w:rFonts w:cstheme="minorHAnsi"/>
        </w:rPr>
        <w:t>jedoch müssen die Daten dazu so</w:t>
      </w:r>
      <w:r w:rsidR="00BF7B1B">
        <w:rPr>
          <w:rFonts w:cstheme="minorHAnsi"/>
        </w:rPr>
        <w:t xml:space="preserve"> stark </w:t>
      </w:r>
      <w:r w:rsidR="00BF7B1B" w:rsidRPr="00BF7B1B">
        <w:rPr>
          <w:rFonts w:cstheme="minorHAnsi"/>
        </w:rPr>
        <w:t xml:space="preserve">verrauscht werden, dass </w:t>
      </w:r>
      <w:r w:rsidR="00BF7B1B">
        <w:rPr>
          <w:rFonts w:cstheme="minorHAnsi"/>
        </w:rPr>
        <w:t>die Aussagekraft der Ergebnisse einer Auswertung nur</w:t>
      </w:r>
      <w:r w:rsidR="005B1D56">
        <w:rPr>
          <w:rFonts w:cstheme="minorHAnsi"/>
        </w:rPr>
        <w:t xml:space="preserve"> noch</w:t>
      </w:r>
      <w:r w:rsidR="00BF7B1B">
        <w:rPr>
          <w:rFonts w:cstheme="minorHAnsi"/>
        </w:rPr>
        <w:t xml:space="preserve"> sehr </w:t>
      </w:r>
      <w:r w:rsidR="005B1D56">
        <w:rPr>
          <w:rFonts w:cstheme="minorHAnsi"/>
        </w:rPr>
        <w:t>eingeschränkt</w:t>
      </w:r>
      <w:r w:rsidR="00BF7B1B">
        <w:rPr>
          <w:rFonts w:cstheme="minorHAnsi"/>
        </w:rPr>
        <w:t xml:space="preserve"> möglich oder – im schlimmsten Fall – nicht mehr gegeben ist.</w:t>
      </w:r>
    </w:p>
    <w:p w14:paraId="1D6D477D" w14:textId="7CF90746" w:rsidR="00844DC3" w:rsidRDefault="00844DC3" w:rsidP="00844DC3">
      <w:r>
        <w:t xml:space="preserve">Da </w:t>
      </w:r>
      <w:r w:rsidRPr="004832F9">
        <w:t>Differential</w:t>
      </w:r>
      <w:r w:rsidRPr="00844DC3">
        <w:t xml:space="preserve"> </w:t>
      </w:r>
      <w:r w:rsidRPr="004832F9">
        <w:t>Privacy</w:t>
      </w:r>
      <w:r>
        <w:t xml:space="preserve"> bestenfalls die statistischen Aussagen unverändert lässt, sind Aussagen für Randwerte – z. B. Patienten mit seltenen Erkrankungen in einem größeren Patientenkollektiv mit allen möglichen Erkrankungen – ggf. nicht oder nur sehr eingeschränkt möglich.</w:t>
      </w:r>
    </w:p>
    <w:p w14:paraId="30B7AEF2" w14:textId="171C6DB7" w:rsidR="00BF7B1B" w:rsidRDefault="00BF7B1B" w:rsidP="00BF7B1B">
      <w:pPr>
        <w:spacing w:after="0"/>
      </w:pPr>
      <w:r>
        <w:t xml:space="preserve">Soll </w:t>
      </w:r>
      <w:r w:rsidRPr="004832F9">
        <w:t>Differential</w:t>
      </w:r>
      <w:r w:rsidRPr="00844DC3">
        <w:t xml:space="preserve"> </w:t>
      </w:r>
      <w:r w:rsidRPr="004832F9">
        <w:t>Privacy</w:t>
      </w:r>
      <w:r>
        <w:t xml:space="preserve"> eingesetzt werden, müssen daher vorab folgende Punkte betrachtet werden:</w:t>
      </w:r>
    </w:p>
    <w:p w14:paraId="11DECECD" w14:textId="5EF1ADE8" w:rsidR="00BF7B1B" w:rsidRPr="00BF7B1B" w:rsidRDefault="00BF7B1B">
      <w:pPr>
        <w:pStyle w:val="Listenabsatz"/>
        <w:numPr>
          <w:ilvl w:val="0"/>
          <w:numId w:val="35"/>
        </w:numPr>
      </w:pPr>
      <w:r>
        <w:t xml:space="preserve">Welchen Wert soll </w:t>
      </w:r>
      <w:r>
        <w:rPr>
          <w:rFonts w:cstheme="minorHAnsi"/>
        </w:rPr>
        <w:t>ε</w:t>
      </w:r>
      <w:r>
        <w:t xml:space="preserve"> haben? Wird </w:t>
      </w:r>
      <w:r>
        <w:rPr>
          <w:rFonts w:cstheme="minorHAnsi"/>
        </w:rPr>
        <w:t xml:space="preserve">ε zu hoch gewählt, erfolgt die </w:t>
      </w:r>
      <w:r w:rsidRPr="004832F9">
        <w:rPr>
          <w:rFonts w:cstheme="minorHAnsi"/>
        </w:rPr>
        <w:t>De-Identifikation</w:t>
      </w:r>
      <w:r>
        <w:rPr>
          <w:rFonts w:cstheme="minorHAnsi"/>
        </w:rPr>
        <w:t xml:space="preserve"> ggf. unzureichend. Wird ε zu gering gewählt, sind die Ergebnisse einer Auswertung </w:t>
      </w:r>
      <w:r w:rsidRPr="00AF2176">
        <w:rPr>
          <w:rFonts w:cstheme="minorHAnsi"/>
        </w:rPr>
        <w:t>evtl.</w:t>
      </w:r>
      <w:r w:rsidR="00AF2176" w:rsidRPr="00AF2176">
        <w:rPr>
          <w:rFonts w:cstheme="minorHAnsi"/>
        </w:rPr>
        <w:t xml:space="preserve"> </w:t>
      </w:r>
      <w:r w:rsidRPr="00AF2176">
        <w:rPr>
          <w:rFonts w:cstheme="minorHAnsi"/>
        </w:rPr>
        <w:t>nicht</w:t>
      </w:r>
      <w:r>
        <w:rPr>
          <w:rFonts w:cstheme="minorHAnsi"/>
        </w:rPr>
        <w:t xml:space="preserve"> mehr aussagekräftig.</w:t>
      </w:r>
    </w:p>
    <w:p w14:paraId="3681550B" w14:textId="1AF6E66A" w:rsidR="00BF7B1B" w:rsidRDefault="00BF7B1B">
      <w:pPr>
        <w:pStyle w:val="Listenabsatz"/>
        <w:numPr>
          <w:ilvl w:val="0"/>
          <w:numId w:val="35"/>
        </w:numPr>
      </w:pPr>
      <w:r w:rsidRPr="00BF7B1B">
        <w:t>Alle Einträge in der Datenbank müssen unabhängig voneinander sein.</w:t>
      </w:r>
      <w:r>
        <w:t xml:space="preserve"> Existieren Abhängigkeiten, so werden diese Abhängigkeiten und damit die statistische Aussage dieser Werte beeinflusst, wenn </w:t>
      </w:r>
      <w:r w:rsidR="00A76A77">
        <w:t>ausgewählte Merkmalsträger</w:t>
      </w:r>
      <w:r>
        <w:t xml:space="preserve"> </w:t>
      </w:r>
      <w:r w:rsidR="00751325">
        <w:t xml:space="preserve">zufällig </w:t>
      </w:r>
      <w:r>
        <w:t xml:space="preserve">geändert werden. </w:t>
      </w:r>
      <w:r w:rsidR="005B1D56">
        <w:t>Bestehen daher</w:t>
      </w:r>
      <w:r>
        <w:t xml:space="preserve"> Abhängigkeiten, </w:t>
      </w:r>
      <w:r w:rsidR="005B1D56">
        <w:t xml:space="preserve">so </w:t>
      </w:r>
      <w:r>
        <w:t xml:space="preserve">müssen Änderungen diese Abhängigkeiten </w:t>
      </w:r>
      <w:r w:rsidR="005B1D56">
        <w:t xml:space="preserve">daher </w:t>
      </w:r>
      <w:r>
        <w:t xml:space="preserve">abbilden, </w:t>
      </w:r>
      <w:r w:rsidR="005B1D56">
        <w:t>um</w:t>
      </w:r>
      <w:r>
        <w:t xml:space="preserve"> die statistische Aussage </w:t>
      </w:r>
      <w:r w:rsidR="005B1D56">
        <w:t xml:space="preserve">zu </w:t>
      </w:r>
      <w:r>
        <w:t>erhalten, was aber wiederum Angriffe ermöglicht und das Risiko einer Re-Identifikation erhöht.</w:t>
      </w:r>
    </w:p>
    <w:p w14:paraId="64919614" w14:textId="31365E64" w:rsidR="00BF7B1B" w:rsidRDefault="00BF7B1B" w:rsidP="00C9149F">
      <w:pPr>
        <w:pStyle w:val="Listenabsatz"/>
        <w:numPr>
          <w:ilvl w:val="0"/>
          <w:numId w:val="35"/>
        </w:numPr>
        <w:spacing w:after="0"/>
        <w:ind w:left="714" w:hanging="357"/>
      </w:pPr>
      <w:r w:rsidRPr="00BF7B1B">
        <w:t>Bei der Implementierung dürfen keine Seitenkanalangriffe ermöglicht werden.</w:t>
      </w:r>
      <w:r>
        <w:t xml:space="preserve"> Ein Seitenkanalangriff, auch als </w:t>
      </w:r>
      <w:r w:rsidRPr="00BF7B1B">
        <w:t>Seitenkanalattacke</w:t>
      </w:r>
      <w:r>
        <w:t xml:space="preserve"> bezeichnet, </w:t>
      </w:r>
      <w:r w:rsidRPr="00AF2176">
        <w:t>versucht</w:t>
      </w:r>
      <w:r w:rsidR="00AF2176" w:rsidRPr="00AF2176">
        <w:t>,</w:t>
      </w:r>
      <w:r>
        <w:t xml:space="preserve"> </w:t>
      </w:r>
      <w:r w:rsidRPr="00BF7B1B">
        <w:t>Korrelationen zwischen den Daten und dem verwendeten</w:t>
      </w:r>
      <w:r>
        <w:t xml:space="preserve"> </w:t>
      </w:r>
      <w:r w:rsidRPr="00AF2176">
        <w:t>kryptogra</w:t>
      </w:r>
      <w:r w:rsidR="00AF2176" w:rsidRPr="00AF2176">
        <w:t>f</w:t>
      </w:r>
      <w:r w:rsidRPr="00AF2176">
        <w:t>ischen</w:t>
      </w:r>
      <w:r w:rsidRPr="00BF7B1B">
        <w:t xml:space="preserve"> Schlüssel zu finden</w:t>
      </w:r>
      <w:r>
        <w:t xml:space="preserve">. </w:t>
      </w:r>
      <w:r w:rsidRPr="00AF2176">
        <w:t>Gelingt ein Seitenkanalangriff</w:t>
      </w:r>
      <w:r w:rsidR="00AF2176" w:rsidRPr="00AF2176">
        <w:t>, so</w:t>
      </w:r>
      <w:r w:rsidRPr="00AF2176">
        <w:t xml:space="preserve"> kann</w:t>
      </w:r>
      <w:r>
        <w:t xml:space="preserve"> man Zugriff auf die Ursprungsdaten erhalten</w:t>
      </w:r>
      <w:r w:rsidR="00AF2176">
        <w:t xml:space="preserve"> und</w:t>
      </w:r>
      <w:r>
        <w:t xml:space="preserve"> </w:t>
      </w:r>
      <w:r w:rsidR="00AF2176">
        <w:t xml:space="preserve">somit </w:t>
      </w:r>
      <w:r w:rsidR="00AF2176" w:rsidRPr="00AF2176">
        <w:t xml:space="preserve">ggf. </w:t>
      </w:r>
      <w:r>
        <w:t>auch eine Re-Identifikation durchführen.</w:t>
      </w:r>
    </w:p>
    <w:p w14:paraId="5739FB21" w14:textId="1D5E855D" w:rsidR="00BF7B1B" w:rsidRPr="00844DC3" w:rsidRDefault="00383094" w:rsidP="00BF7B1B">
      <w:r>
        <w:t xml:space="preserve">Eine Übersicht und grobe Bewertung von bei </w:t>
      </w:r>
      <w:r w:rsidRPr="004832F9">
        <w:t>Differential</w:t>
      </w:r>
      <w:r>
        <w:t xml:space="preserve"> </w:t>
      </w:r>
      <w:r w:rsidRPr="004832F9">
        <w:t>Privacy</w:t>
      </w:r>
      <w:r>
        <w:t xml:space="preserve"> eingesetzten Techniken erstellten Huang</w:t>
      </w:r>
      <w:r>
        <w:rPr>
          <w:rStyle w:val="Funotenzeichen"/>
        </w:rPr>
        <w:footnoteReference w:id="90"/>
      </w:r>
      <w:r>
        <w:t xml:space="preserve"> et al. 2022.</w:t>
      </w:r>
    </w:p>
    <w:p w14:paraId="7CCB5E56" w14:textId="77777777" w:rsidR="00AE4EA7" w:rsidRDefault="00000000">
      <w:pPr>
        <w:pStyle w:val="berschrift3"/>
      </w:pPr>
      <w:bookmarkStart w:id="164" w:name="_Toc154652639"/>
      <w:r>
        <w:t>Beispiele bzgl. Vorgehen</w:t>
      </w:r>
      <w:bookmarkEnd w:id="164"/>
    </w:p>
    <w:tbl>
      <w:tblPr>
        <w:tblStyle w:val="Tabellenraster"/>
        <w:tblW w:w="9212" w:type="dxa"/>
        <w:tblLayout w:type="fixed"/>
        <w:tblLook w:val="04A0" w:firstRow="1" w:lastRow="0" w:firstColumn="1" w:lastColumn="0" w:noHBand="0" w:noVBand="1"/>
      </w:tblPr>
      <w:tblGrid>
        <w:gridCol w:w="3085"/>
        <w:gridCol w:w="6127"/>
      </w:tblGrid>
      <w:tr w:rsidR="00AE4EA7" w14:paraId="67CC52B8" w14:textId="77777777">
        <w:trPr>
          <w:tblHeader/>
        </w:trPr>
        <w:tc>
          <w:tcPr>
            <w:tcW w:w="3085" w:type="dxa"/>
          </w:tcPr>
          <w:p w14:paraId="20EF05B3" w14:textId="77777777" w:rsidR="00AE4EA7" w:rsidRDefault="00000000">
            <w:pPr>
              <w:widowControl w:val="0"/>
              <w:spacing w:after="0" w:line="240" w:lineRule="auto"/>
              <w:jc w:val="center"/>
              <w:rPr>
                <w:b/>
              </w:rPr>
            </w:pPr>
            <w:r>
              <w:rPr>
                <w:rFonts w:eastAsia="Calibri"/>
                <w:b/>
              </w:rPr>
              <w:t>Datentyp</w:t>
            </w:r>
          </w:p>
        </w:tc>
        <w:tc>
          <w:tcPr>
            <w:tcW w:w="6126" w:type="dxa"/>
          </w:tcPr>
          <w:p w14:paraId="0CBA72A1" w14:textId="77777777" w:rsidR="00AE4EA7" w:rsidRDefault="00000000">
            <w:pPr>
              <w:widowControl w:val="0"/>
              <w:spacing w:after="0" w:line="240" w:lineRule="auto"/>
              <w:jc w:val="center"/>
              <w:rPr>
                <w:b/>
              </w:rPr>
            </w:pPr>
            <w:r>
              <w:rPr>
                <w:rFonts w:eastAsia="Calibri"/>
                <w:b/>
              </w:rPr>
              <w:t>Methode</w:t>
            </w:r>
          </w:p>
        </w:tc>
      </w:tr>
      <w:tr w:rsidR="00AE4EA7" w14:paraId="622B1A0A" w14:textId="77777777">
        <w:tc>
          <w:tcPr>
            <w:tcW w:w="3085" w:type="dxa"/>
          </w:tcPr>
          <w:p w14:paraId="248E3A95" w14:textId="77777777" w:rsidR="00AE4EA7" w:rsidRDefault="00000000">
            <w:pPr>
              <w:widowControl w:val="0"/>
              <w:spacing w:after="0" w:line="240" w:lineRule="auto"/>
              <w:jc w:val="left"/>
              <w:rPr>
                <w:rFonts w:ascii="Calibri" w:eastAsia="Calibri" w:hAnsi="Calibri"/>
              </w:rPr>
            </w:pPr>
            <w:r>
              <w:rPr>
                <w:rFonts w:eastAsia="Calibri"/>
              </w:rPr>
              <w:t>Zahl</w:t>
            </w:r>
          </w:p>
        </w:tc>
        <w:tc>
          <w:tcPr>
            <w:tcW w:w="6126" w:type="dxa"/>
          </w:tcPr>
          <w:p w14:paraId="7F6A2284"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Neuvergabe der letzten x Stellen (x = abhängig von den Zahlenwerten)</w:t>
            </w:r>
          </w:p>
          <w:p w14:paraId="25BB3198"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 xml:space="preserve">Ersetzen durch </w:t>
            </w:r>
            <w:r w:rsidRPr="004832F9">
              <w:rPr>
                <w:rFonts w:eastAsia="Calibri"/>
              </w:rPr>
              <w:t>Zufallszahlen</w:t>
            </w:r>
          </w:p>
          <w:p w14:paraId="196A4FA4"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Nutzung einer Varianz (z. B. ± x%)</w:t>
            </w:r>
          </w:p>
          <w:p w14:paraId="1E7DFBA1"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Löschung</w:t>
            </w:r>
          </w:p>
        </w:tc>
      </w:tr>
      <w:tr w:rsidR="00AE4EA7" w14:paraId="2B4596DC" w14:textId="77777777">
        <w:tc>
          <w:tcPr>
            <w:tcW w:w="3085" w:type="dxa"/>
          </w:tcPr>
          <w:p w14:paraId="2A92E792" w14:textId="77777777" w:rsidR="00AE4EA7" w:rsidRDefault="00000000">
            <w:pPr>
              <w:widowControl w:val="0"/>
              <w:spacing w:after="0" w:line="240" w:lineRule="auto"/>
              <w:jc w:val="left"/>
              <w:rPr>
                <w:rFonts w:ascii="Calibri" w:eastAsia="Calibri" w:hAnsi="Calibri"/>
              </w:rPr>
            </w:pPr>
            <w:r>
              <w:rPr>
                <w:rFonts w:eastAsia="Calibri"/>
              </w:rPr>
              <w:t>String</w:t>
            </w:r>
          </w:p>
        </w:tc>
        <w:tc>
          <w:tcPr>
            <w:tcW w:w="6126" w:type="dxa"/>
          </w:tcPr>
          <w:p w14:paraId="60CAA221"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Neuvergabe über Tabelle</w:t>
            </w:r>
          </w:p>
          <w:p w14:paraId="58BAC0E0"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Ersetzung durch feste Zeichenkette</w:t>
            </w:r>
          </w:p>
          <w:p w14:paraId="0F863901"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 xml:space="preserve">Ersetzung durch feste Zeichenkette mit laufender Nummer zwecks Beibehaltung der </w:t>
            </w:r>
            <w:r w:rsidRPr="004832F9">
              <w:rPr>
                <w:rFonts w:eastAsia="Calibri"/>
              </w:rPr>
              <w:t>Unterscheidbarkeit</w:t>
            </w:r>
          </w:p>
        </w:tc>
      </w:tr>
      <w:tr w:rsidR="00AE4EA7" w14:paraId="243071B6" w14:textId="77777777">
        <w:tc>
          <w:tcPr>
            <w:tcW w:w="3085" w:type="dxa"/>
          </w:tcPr>
          <w:p w14:paraId="27B931F1" w14:textId="77777777" w:rsidR="00AE4EA7" w:rsidRDefault="00000000">
            <w:pPr>
              <w:widowControl w:val="0"/>
              <w:spacing w:after="0" w:line="240" w:lineRule="auto"/>
              <w:jc w:val="left"/>
              <w:rPr>
                <w:rFonts w:ascii="Calibri" w:eastAsia="Calibri" w:hAnsi="Calibri"/>
              </w:rPr>
            </w:pPr>
            <w:r>
              <w:rPr>
                <w:rFonts w:eastAsia="Calibri"/>
              </w:rPr>
              <w:t>Datum</w:t>
            </w:r>
          </w:p>
        </w:tc>
        <w:tc>
          <w:tcPr>
            <w:tcW w:w="6126" w:type="dxa"/>
          </w:tcPr>
          <w:p w14:paraId="06BDB0FD"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 xml:space="preserve">Setzen von Tag und Monat auf festen </w:t>
            </w:r>
            <w:r w:rsidRPr="004832F9">
              <w:rPr>
                <w:rFonts w:eastAsia="Calibri"/>
              </w:rPr>
              <w:t>Wert</w:t>
            </w:r>
          </w:p>
          <w:p w14:paraId="363B837F"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 xml:space="preserve">Setzen des Datums auf einen festen </w:t>
            </w:r>
            <w:r w:rsidRPr="004832F9">
              <w:rPr>
                <w:rFonts w:eastAsia="Calibri"/>
              </w:rPr>
              <w:t>Wert</w:t>
            </w:r>
          </w:p>
        </w:tc>
      </w:tr>
      <w:tr w:rsidR="00AE4EA7" w14:paraId="3C403287" w14:textId="77777777">
        <w:tc>
          <w:tcPr>
            <w:tcW w:w="3085" w:type="dxa"/>
          </w:tcPr>
          <w:p w14:paraId="71870D09" w14:textId="77777777" w:rsidR="00AE4EA7" w:rsidRDefault="00000000">
            <w:pPr>
              <w:widowControl w:val="0"/>
              <w:spacing w:after="0" w:line="240" w:lineRule="auto"/>
              <w:jc w:val="left"/>
              <w:rPr>
                <w:rFonts w:ascii="Calibri" w:eastAsia="Calibri" w:hAnsi="Calibri"/>
              </w:rPr>
            </w:pPr>
            <w:r>
              <w:rPr>
                <w:rFonts w:eastAsia="Calibri"/>
              </w:rPr>
              <w:t>Postleitzahl</w:t>
            </w:r>
          </w:p>
        </w:tc>
        <w:tc>
          <w:tcPr>
            <w:tcW w:w="6126" w:type="dxa"/>
          </w:tcPr>
          <w:p w14:paraId="650BFBC4"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Neuvergabe von mindestens den letzten 2 Stellen über Umsetzungstabelle</w:t>
            </w:r>
          </w:p>
          <w:p w14:paraId="17C684D1"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 xml:space="preserve">Ersetzen von mindestens den letzten beiden Stellen durch festen </w:t>
            </w:r>
            <w:r w:rsidRPr="004832F9">
              <w:rPr>
                <w:rFonts w:eastAsia="Calibri"/>
              </w:rPr>
              <w:t>Wert</w:t>
            </w:r>
          </w:p>
          <w:p w14:paraId="35E20E02"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 xml:space="preserve">Ersetzen von mindestens den letzten beiden Stellen durch festen </w:t>
            </w:r>
            <w:r w:rsidRPr="004832F9">
              <w:rPr>
                <w:rFonts w:eastAsia="Calibri"/>
              </w:rPr>
              <w:t>Zufallswert</w:t>
            </w:r>
          </w:p>
        </w:tc>
      </w:tr>
      <w:tr w:rsidR="00AE4EA7" w14:paraId="23935CA2" w14:textId="77777777">
        <w:tc>
          <w:tcPr>
            <w:tcW w:w="3085" w:type="dxa"/>
          </w:tcPr>
          <w:p w14:paraId="05DF29AE" w14:textId="77777777" w:rsidR="00AE4EA7" w:rsidRDefault="00000000">
            <w:pPr>
              <w:widowControl w:val="0"/>
              <w:spacing w:after="0" w:line="240" w:lineRule="auto"/>
              <w:jc w:val="left"/>
              <w:rPr>
                <w:rFonts w:ascii="Calibri" w:eastAsia="Calibri" w:hAnsi="Calibri"/>
              </w:rPr>
            </w:pPr>
            <w:r>
              <w:rPr>
                <w:rFonts w:eastAsia="Calibri"/>
              </w:rPr>
              <w:t>E-Mail-Adresse</w:t>
            </w:r>
          </w:p>
        </w:tc>
        <w:tc>
          <w:tcPr>
            <w:tcW w:w="6126" w:type="dxa"/>
          </w:tcPr>
          <w:p w14:paraId="5D4EBA5F"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Löschen</w:t>
            </w:r>
          </w:p>
          <w:p w14:paraId="3050B743"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 xml:space="preserve">Ersetzen durch festen </w:t>
            </w:r>
            <w:r w:rsidRPr="004832F9">
              <w:rPr>
                <w:rFonts w:eastAsia="Calibri"/>
              </w:rPr>
              <w:t>Dummy-Wert</w:t>
            </w:r>
          </w:p>
        </w:tc>
      </w:tr>
      <w:tr w:rsidR="00AE4EA7" w14:paraId="6253EAB4" w14:textId="77777777">
        <w:tc>
          <w:tcPr>
            <w:tcW w:w="3085" w:type="dxa"/>
          </w:tcPr>
          <w:p w14:paraId="67557DC7" w14:textId="77777777" w:rsidR="00AE4EA7" w:rsidRDefault="00000000">
            <w:pPr>
              <w:widowControl w:val="0"/>
              <w:spacing w:after="0" w:line="240" w:lineRule="auto"/>
              <w:jc w:val="left"/>
              <w:rPr>
                <w:rFonts w:ascii="Calibri" w:eastAsia="Calibri" w:hAnsi="Calibri"/>
              </w:rPr>
            </w:pPr>
            <w:r>
              <w:rPr>
                <w:rFonts w:eastAsia="Calibri"/>
              </w:rPr>
              <w:t>Religion</w:t>
            </w:r>
          </w:p>
        </w:tc>
        <w:tc>
          <w:tcPr>
            <w:tcW w:w="6126" w:type="dxa"/>
          </w:tcPr>
          <w:p w14:paraId="55C72DB5"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Löschen</w:t>
            </w:r>
          </w:p>
          <w:p w14:paraId="5531609B"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 xml:space="preserve">Ersetzen durch festen </w:t>
            </w:r>
            <w:r w:rsidRPr="004832F9">
              <w:rPr>
                <w:rFonts w:eastAsia="Calibri"/>
              </w:rPr>
              <w:t>Dummy-Wert</w:t>
            </w:r>
          </w:p>
        </w:tc>
      </w:tr>
      <w:tr w:rsidR="00AE4EA7" w14:paraId="12AFEB3B" w14:textId="77777777">
        <w:tc>
          <w:tcPr>
            <w:tcW w:w="3085" w:type="dxa"/>
          </w:tcPr>
          <w:p w14:paraId="485FF7C5" w14:textId="77777777" w:rsidR="00AE4EA7" w:rsidRDefault="00000000">
            <w:pPr>
              <w:widowControl w:val="0"/>
              <w:spacing w:after="0" w:line="240" w:lineRule="auto"/>
              <w:jc w:val="left"/>
              <w:rPr>
                <w:rFonts w:ascii="Calibri" w:eastAsia="Calibri" w:hAnsi="Calibri"/>
              </w:rPr>
            </w:pPr>
            <w:r>
              <w:rPr>
                <w:rFonts w:eastAsia="Calibri"/>
              </w:rPr>
              <w:t xml:space="preserve">Medizinische Code-Systeme wie ICD, </w:t>
            </w:r>
            <w:r w:rsidRPr="004832F9">
              <w:rPr>
                <w:rFonts w:eastAsia="Calibri"/>
              </w:rPr>
              <w:t>OPS</w:t>
            </w:r>
            <w:r>
              <w:rPr>
                <w:rFonts w:eastAsia="Calibri"/>
              </w:rPr>
              <w:t>, usw.</w:t>
            </w:r>
          </w:p>
        </w:tc>
        <w:tc>
          <w:tcPr>
            <w:tcW w:w="6126" w:type="dxa"/>
          </w:tcPr>
          <w:p w14:paraId="24B12E7D"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 xml:space="preserve">Verkürzen der </w:t>
            </w:r>
            <w:r w:rsidRPr="004832F9">
              <w:rPr>
                <w:rFonts w:eastAsia="Calibri"/>
              </w:rPr>
              <w:t>Kodierung</w:t>
            </w:r>
          </w:p>
          <w:p w14:paraId="3C5136CB" w14:textId="77777777" w:rsidR="00AE4EA7" w:rsidRDefault="00000000">
            <w:pPr>
              <w:pStyle w:val="Listenabsatz"/>
              <w:widowControl w:val="0"/>
              <w:numPr>
                <w:ilvl w:val="0"/>
                <w:numId w:val="3"/>
              </w:numPr>
              <w:spacing w:after="0" w:line="240" w:lineRule="auto"/>
              <w:jc w:val="left"/>
              <w:rPr>
                <w:rFonts w:ascii="Calibri" w:eastAsia="Calibri" w:hAnsi="Calibri"/>
              </w:rPr>
            </w:pPr>
            <w:r>
              <w:rPr>
                <w:rFonts w:eastAsia="Calibri"/>
              </w:rPr>
              <w:t>Löschung</w:t>
            </w:r>
          </w:p>
        </w:tc>
      </w:tr>
    </w:tbl>
    <w:p w14:paraId="01DFF5FA" w14:textId="58AAFC74" w:rsidR="00AE4EA7" w:rsidRDefault="00000000">
      <w:pPr>
        <w:pStyle w:val="Beschriftung"/>
      </w:pPr>
      <w:bookmarkStart w:id="165" w:name="_Toc150540732"/>
      <w:bookmarkStart w:id="166" w:name="_Toc154606725"/>
      <w:r>
        <w:t xml:space="preserve">Tabelle </w:t>
      </w:r>
      <w:r>
        <w:fldChar w:fldCharType="begin"/>
      </w:r>
      <w:r>
        <w:instrText xml:space="preserve"> SEQ Tabelle \* ARABIC </w:instrText>
      </w:r>
      <w:r>
        <w:fldChar w:fldCharType="separate"/>
      </w:r>
      <w:r w:rsidR="00C9149F">
        <w:rPr>
          <w:noProof/>
        </w:rPr>
        <w:t>8</w:t>
      </w:r>
      <w:r>
        <w:rPr>
          <w:noProof/>
        </w:rPr>
        <w:fldChar w:fldCharType="end"/>
      </w:r>
      <w:r>
        <w:t xml:space="preserve">: Beispiel bzgl. Ersetzen von </w:t>
      </w:r>
      <w:r w:rsidRPr="004832F9">
        <w:t>Datentypen</w:t>
      </w:r>
      <w:bookmarkEnd w:id="165"/>
      <w:bookmarkEnd w:id="166"/>
    </w:p>
    <w:p w14:paraId="6F74D36E" w14:textId="499FD961" w:rsidR="00831372" w:rsidRDefault="00831372" w:rsidP="00831372">
      <w:pPr>
        <w:pStyle w:val="berschrift3"/>
      </w:pPr>
      <w:bookmarkStart w:id="167" w:name="_Toc154652640"/>
      <w:r>
        <w:t>Tool-Unterstützung</w:t>
      </w:r>
      <w:bookmarkEnd w:id="167"/>
    </w:p>
    <w:p w14:paraId="7A3AB72F" w14:textId="63C7AD2F" w:rsidR="005A0F8F" w:rsidRDefault="005A0F8F" w:rsidP="005A0F8F">
      <w:pPr>
        <w:pStyle w:val="berschrift4"/>
      </w:pPr>
      <w:bookmarkStart w:id="168" w:name="_Ref150247286"/>
      <w:bookmarkStart w:id="169" w:name="_Toc154652641"/>
      <w:r>
        <w:t>Software</w:t>
      </w:r>
      <w:bookmarkEnd w:id="168"/>
      <w:bookmarkEnd w:id="169"/>
    </w:p>
    <w:p w14:paraId="6587BB22" w14:textId="7A7A38C6" w:rsidR="00831372" w:rsidRDefault="00831372" w:rsidP="00831372">
      <w:pPr>
        <w:spacing w:after="0"/>
      </w:pPr>
      <w:r>
        <w:t xml:space="preserve">Es stehen diverse </w:t>
      </w:r>
      <w:r w:rsidRPr="00831372">
        <w:t>Open Source-Implementierungen von Anonymisierungsalgorithmen</w:t>
      </w:r>
      <w:r>
        <w:t xml:space="preserve"> zur Verfügung, welche Verantwortliche unterstützen können. Die nachfolgende </w:t>
      </w:r>
      <w:r w:rsidRPr="00831372">
        <w:t>Darstellung</w:t>
      </w:r>
      <w:r>
        <w:t xml:space="preserve"> ist nur exemplarisch zu verstehen:</w:t>
      </w:r>
    </w:p>
    <w:p w14:paraId="75C7A6D9" w14:textId="32B13335" w:rsidR="00831372" w:rsidRPr="00831372" w:rsidRDefault="00831372" w:rsidP="00831372">
      <w:pPr>
        <w:pStyle w:val="Listenabsatz"/>
        <w:numPr>
          <w:ilvl w:val="0"/>
          <w:numId w:val="5"/>
        </w:numPr>
        <w:rPr>
          <w:lang w:val="en-US"/>
        </w:rPr>
      </w:pPr>
      <w:r w:rsidRPr="00831372">
        <w:rPr>
          <w:lang w:val="en-US"/>
        </w:rPr>
        <w:t>University of Texas at Dallas: Anonymization ToolBox</w:t>
      </w:r>
      <w:r>
        <w:rPr>
          <w:rStyle w:val="Funotenzeichen"/>
        </w:rPr>
        <w:footnoteReference w:id="91"/>
      </w:r>
    </w:p>
    <w:p w14:paraId="68C34856" w14:textId="55D0050F" w:rsidR="00831372" w:rsidRDefault="00831372" w:rsidP="00831372">
      <w:pPr>
        <w:pStyle w:val="Listenabsatz"/>
      </w:pPr>
      <w:r>
        <w:t>Die „</w:t>
      </w:r>
      <w:r w:rsidRPr="004832F9">
        <w:t>Anonymization ToolBox</w:t>
      </w:r>
      <w:r>
        <w:t>“ ist eine Java-Implementierung und steht für die Betriebssysteme Microsoft Windows und Linux zum Download zur Verfügung. Die Toolbox unterstützt diverse Methoden, darunter k-Anonymität (</w:t>
      </w:r>
      <w:r w:rsidRPr="004832F9">
        <w:t>Mondrian Multidimensional k-Anonymity</w:t>
      </w:r>
      <w:r w:rsidR="004E74C6">
        <w:rPr>
          <w:rStyle w:val="Funotenzeichen"/>
        </w:rPr>
        <w:footnoteReference w:id="92"/>
      </w:r>
      <w:r>
        <w:t>), l-Diversität (</w:t>
      </w:r>
      <w:r w:rsidRPr="004832F9">
        <w:t>Incognito</w:t>
      </w:r>
      <w:r w:rsidR="004E74C6">
        <w:rPr>
          <w:rStyle w:val="Funotenzeichen"/>
        </w:rPr>
        <w:footnoteReference w:id="93"/>
      </w:r>
      <w:r>
        <w:t xml:space="preserve">) und </w:t>
      </w:r>
      <w:r w:rsidRPr="004832F9">
        <w:t>t-closeness</w:t>
      </w:r>
      <w:r>
        <w:t xml:space="preserve"> (</w:t>
      </w:r>
      <w:r w:rsidRPr="004832F9">
        <w:t>Incognito</w:t>
      </w:r>
      <w:r>
        <w:t>).</w:t>
      </w:r>
    </w:p>
    <w:p w14:paraId="036261B4" w14:textId="5A3AD249" w:rsidR="00831372" w:rsidRDefault="00831372" w:rsidP="00831372">
      <w:pPr>
        <w:pStyle w:val="Listenabsatz"/>
      </w:pPr>
      <w:r>
        <w:t xml:space="preserve">Als </w:t>
      </w:r>
      <w:r w:rsidRPr="00831372">
        <w:t>Eingangs- und Ausgabedaten werden ausschließlich von CSV</w:t>
      </w:r>
      <w:r>
        <w:t xml:space="preserve">-Dateien unterstützt, die Verarbeitung der Daten erfolgt </w:t>
      </w:r>
      <w:r w:rsidRPr="00831372">
        <w:t>sequenziell</w:t>
      </w:r>
      <w:r>
        <w:t>, was die Anwendbarkeit der Software für bestimmte Projekte ggf. einschränkt.</w:t>
      </w:r>
    </w:p>
    <w:p w14:paraId="25144E04" w14:textId="003A13AD" w:rsidR="00831372" w:rsidRPr="00831372" w:rsidRDefault="00831372" w:rsidP="00831372">
      <w:pPr>
        <w:pStyle w:val="Listenabsatz"/>
        <w:numPr>
          <w:ilvl w:val="0"/>
          <w:numId w:val="5"/>
        </w:numPr>
        <w:rPr>
          <w:lang w:val="en-US"/>
        </w:rPr>
      </w:pPr>
      <w:r w:rsidRPr="00831372">
        <w:rPr>
          <w:lang w:val="en-US"/>
        </w:rPr>
        <w:t>Cornell University: Cornell Anonymization Toolkit</w:t>
      </w:r>
    </w:p>
    <w:p w14:paraId="39163DB4" w14:textId="6A3FA1B3" w:rsidR="00831372" w:rsidRDefault="00831372" w:rsidP="00831372">
      <w:pPr>
        <w:pStyle w:val="Listenabsatz"/>
      </w:pPr>
      <w:r>
        <w:t xml:space="preserve">Ursprünglich auf </w:t>
      </w:r>
      <w:r w:rsidRPr="004832F9">
        <w:t>SourceForge</w:t>
      </w:r>
      <w:r>
        <w:t xml:space="preserve"> gehostet (</w:t>
      </w:r>
      <w:hyperlink r:id="rId35" w:history="1">
        <w:r w:rsidRPr="00112B02">
          <w:rPr>
            <w:rStyle w:val="Hyperlink"/>
          </w:rPr>
          <w:t>https://sourceforge.net/projects/anony-toolkit/</w:t>
        </w:r>
      </w:hyperlink>
      <w:r>
        <w:t xml:space="preserve">), inzwischen wie viele andere Projekte auch bei </w:t>
      </w:r>
      <w:r w:rsidRPr="004832F9">
        <w:t>github</w:t>
      </w:r>
      <w:r>
        <w:t xml:space="preserve"> zu finden (</w:t>
      </w:r>
      <w:hyperlink r:id="rId36" w:history="1">
        <w:r w:rsidRPr="00112B02">
          <w:rPr>
            <w:rStyle w:val="Hyperlink"/>
          </w:rPr>
          <w:t>https://github.com/wanghaisheng/Cornell-</w:t>
        </w:r>
        <w:r w:rsidRPr="004832F9">
          <w:rPr>
            <w:rStyle w:val="Hyperlink"/>
          </w:rPr>
          <w:t>Anonymization-Toolkit</w:t>
        </w:r>
      </w:hyperlink>
      <w:r w:rsidRPr="004832F9">
        <w:t>)</w:t>
      </w:r>
    </w:p>
    <w:p w14:paraId="29889244" w14:textId="6B9491C4" w:rsidR="00831372" w:rsidRDefault="00831372" w:rsidP="00831372">
      <w:pPr>
        <w:pStyle w:val="Listenabsatz"/>
      </w:pPr>
      <w:r>
        <w:t>Die Software stammt aus dem Jahr 2009</w:t>
      </w:r>
      <w:r w:rsidR="005B1D56">
        <w:t xml:space="preserve"> und wurde</w:t>
      </w:r>
      <w:r>
        <w:t xml:space="preserve"> seitdem </w:t>
      </w:r>
      <w:r w:rsidR="005B1D56">
        <w:t>nicht aktualisiert</w:t>
      </w:r>
      <w:r>
        <w:t xml:space="preserve">. Das Tool </w:t>
      </w:r>
      <w:r w:rsidRPr="00831372">
        <w:t>bietet eine grafische Benutzeroberfläche</w:t>
      </w:r>
      <w:r>
        <w:t>,</w:t>
      </w:r>
      <w:r w:rsidRPr="00831372">
        <w:t xml:space="preserve"> mit welcher die Daten interaktiv analysiert</w:t>
      </w:r>
      <w:r>
        <w:t xml:space="preserve"> und anonymisiert werden können.</w:t>
      </w:r>
    </w:p>
    <w:p w14:paraId="7EC54627" w14:textId="4B36D137" w:rsidR="00831372" w:rsidRDefault="00831372" w:rsidP="00831372">
      <w:pPr>
        <w:pStyle w:val="Listenabsatz"/>
        <w:spacing w:after="0"/>
      </w:pPr>
      <w:r w:rsidRPr="00831372">
        <w:rPr>
          <w:noProof/>
        </w:rPr>
        <w:drawing>
          <wp:inline distT="0" distB="0" distL="0" distR="0" wp14:anchorId="11050D70" wp14:editId="3C4EB4E3">
            <wp:extent cx="5760720" cy="4045585"/>
            <wp:effectExtent l="0" t="0" r="0" b="0"/>
            <wp:docPr id="18782494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49425" name=""/>
                    <pic:cNvPicPr/>
                  </pic:nvPicPr>
                  <pic:blipFill>
                    <a:blip r:embed="rId37"/>
                    <a:stretch>
                      <a:fillRect/>
                    </a:stretch>
                  </pic:blipFill>
                  <pic:spPr>
                    <a:xfrm>
                      <a:off x="0" y="0"/>
                      <a:ext cx="5760720" cy="4045585"/>
                    </a:xfrm>
                    <a:prstGeom prst="rect">
                      <a:avLst/>
                    </a:prstGeom>
                  </pic:spPr>
                </pic:pic>
              </a:graphicData>
            </a:graphic>
          </wp:inline>
        </w:drawing>
      </w:r>
    </w:p>
    <w:p w14:paraId="2DAA36FE" w14:textId="683686BE" w:rsidR="00831372" w:rsidRDefault="00831372" w:rsidP="00831372">
      <w:pPr>
        <w:pStyle w:val="Beschriftung"/>
        <w:ind w:left="576"/>
      </w:pPr>
      <w:r>
        <w:t xml:space="preserve">Abbildung </w:t>
      </w:r>
      <w:r w:rsidR="00000000">
        <w:fldChar w:fldCharType="begin"/>
      </w:r>
      <w:r w:rsidR="00000000">
        <w:instrText xml:space="preserve"> SEQ Abbildung \* ARABIC </w:instrText>
      </w:r>
      <w:r w:rsidR="00000000">
        <w:fldChar w:fldCharType="separate"/>
      </w:r>
      <w:r w:rsidR="00C9149F">
        <w:rPr>
          <w:noProof/>
        </w:rPr>
        <w:t>2</w:t>
      </w:r>
      <w:r w:rsidR="00000000">
        <w:rPr>
          <w:noProof/>
        </w:rPr>
        <w:fldChar w:fldCharType="end"/>
      </w:r>
      <w:r w:rsidRPr="004832F9">
        <w:t xml:space="preserve">: </w:t>
      </w:r>
      <w:r>
        <w:rPr>
          <w:noProof/>
        </w:rPr>
        <w:t xml:space="preserve"> </w:t>
      </w:r>
      <w:r w:rsidRPr="0098651A">
        <w:rPr>
          <w:noProof/>
        </w:rPr>
        <w:t xml:space="preserve">Cornell </w:t>
      </w:r>
      <w:r w:rsidRPr="004832F9">
        <w:rPr>
          <w:noProof/>
        </w:rPr>
        <w:t>Anonymization</w:t>
      </w:r>
      <w:r w:rsidRPr="0098651A">
        <w:rPr>
          <w:noProof/>
        </w:rPr>
        <w:t xml:space="preserve"> Toolkit</w:t>
      </w:r>
      <w:r>
        <w:rPr>
          <w:noProof/>
        </w:rPr>
        <w:t xml:space="preserve"> aus dem Jahr 2009 zur Risiko-Evaluation</w:t>
      </w:r>
    </w:p>
    <w:p w14:paraId="7AFE8B5D" w14:textId="167B69B1" w:rsidR="00831372" w:rsidRDefault="00831372" w:rsidP="00831372">
      <w:pPr>
        <w:pStyle w:val="Listenabsatz"/>
        <w:numPr>
          <w:ilvl w:val="0"/>
          <w:numId w:val="5"/>
        </w:numPr>
      </w:pPr>
      <w:r w:rsidRPr="00831372">
        <w:t>μ-ARGUS</w:t>
      </w:r>
      <w:r>
        <w:rPr>
          <w:rStyle w:val="Funotenzeichen"/>
        </w:rPr>
        <w:footnoteReference w:id="94"/>
      </w:r>
      <w:r w:rsidRPr="00831372">
        <w:t xml:space="preserve"> </w:t>
      </w:r>
      <w:r>
        <w:t xml:space="preserve">wurde für statistische Daten entwickelt und bietet u. a. Perturbation (Randomisierung) sowie Möglichkeiten zur Erzeugung künstlicher Werte (Datensynthese). Die aktuelle Version </w:t>
      </w:r>
      <w:r w:rsidRPr="00831372">
        <w:t>5.1.6</w:t>
      </w:r>
      <w:r>
        <w:t xml:space="preserve"> aus dem Jahr unterstützt die Betriebssysteme Microsoft Windows und Linux und benötigt das Java Runtime Environment (</w:t>
      </w:r>
      <w:r w:rsidRPr="004832F9">
        <w:t>JRE</w:t>
      </w:r>
      <w:r>
        <w:t>) 8.</w:t>
      </w:r>
    </w:p>
    <w:p w14:paraId="3530DEA9" w14:textId="2A5BE179" w:rsidR="005A0F8F" w:rsidRDefault="005A0F8F" w:rsidP="00831372">
      <w:pPr>
        <w:pStyle w:val="Listenabsatz"/>
        <w:numPr>
          <w:ilvl w:val="0"/>
          <w:numId w:val="5"/>
        </w:numPr>
      </w:pPr>
      <w:r w:rsidRPr="004832F9">
        <w:t>medGAN</w:t>
      </w:r>
      <w:r>
        <w:t xml:space="preserve">: </w:t>
      </w:r>
      <w:r w:rsidR="00174C5E" w:rsidRPr="00174C5E">
        <w:t>Dieses Tool</w:t>
      </w:r>
      <w:r w:rsidRPr="005A0F8F">
        <w:t xml:space="preserve"> </w:t>
      </w:r>
      <w:r>
        <w:t xml:space="preserve">generiert </w:t>
      </w:r>
      <w:r w:rsidRPr="00174C5E">
        <w:t>synthetische Patientendatensätze</w:t>
      </w:r>
      <w:r>
        <w:t xml:space="preserve"> auf Basis realer Patientendatensätze, sowohl künstliche Texte wie auch künstliche Bilddaten</w:t>
      </w:r>
      <w:r>
        <w:rPr>
          <w:rStyle w:val="Funotenzeichen"/>
        </w:rPr>
        <w:footnoteReference w:id="95"/>
      </w:r>
      <w:r>
        <w:t xml:space="preserve"> können damit erzeugt werden. Der Code wurde vor 2020 bei </w:t>
      </w:r>
      <w:r w:rsidRPr="004832F9">
        <w:t>github</w:t>
      </w:r>
      <w:r>
        <w:t xml:space="preserve"> (</w:t>
      </w:r>
      <w:hyperlink r:id="rId38" w:history="1">
        <w:r w:rsidRPr="00B82BEB">
          <w:rPr>
            <w:rStyle w:val="Hyperlink"/>
          </w:rPr>
          <w:t>https://github.com/mp2893/medgan</w:t>
        </w:r>
      </w:hyperlink>
      <w:r>
        <w:t>) eingestellt und seitdem nicht mehr aktualisiert.</w:t>
      </w:r>
    </w:p>
    <w:p w14:paraId="302A1595" w14:textId="2612AAD8" w:rsidR="00831372" w:rsidRDefault="00831372" w:rsidP="00831372">
      <w:pPr>
        <w:pStyle w:val="Listenabsatz"/>
        <w:numPr>
          <w:ilvl w:val="0"/>
          <w:numId w:val="5"/>
        </w:numPr>
      </w:pPr>
      <w:r w:rsidRPr="004832F9">
        <w:t>ARX</w:t>
      </w:r>
      <w:r w:rsidRPr="00831372">
        <w:t xml:space="preserve"> – Data </w:t>
      </w:r>
      <w:r w:rsidRPr="004832F9">
        <w:t>Anonymization</w:t>
      </w:r>
      <w:r w:rsidRPr="00831372">
        <w:t xml:space="preserve"> Tool</w:t>
      </w:r>
      <w:r>
        <w:t>:</w:t>
      </w:r>
      <w:r>
        <w:rPr>
          <w:rStyle w:val="Funotenzeichen"/>
        </w:rPr>
        <w:footnoteReference w:id="96"/>
      </w:r>
      <w:r>
        <w:t xml:space="preserve"> </w:t>
      </w:r>
      <w:r w:rsidRPr="004832F9">
        <w:t>das</w:t>
      </w:r>
      <w:r>
        <w:t xml:space="preserve"> Tool wurde ursprünglich von der T</w:t>
      </w:r>
      <w:r w:rsidRPr="00831372">
        <w:t>echnischen Universität München (</w:t>
      </w:r>
      <w:r w:rsidRPr="004832F9">
        <w:t>TUM</w:t>
      </w:r>
      <w:r w:rsidRPr="00831372">
        <w:t>) entwickelt</w:t>
      </w:r>
      <w:r>
        <w:t xml:space="preserve">, an der Fort- und Weiterentwicklung ist neben der </w:t>
      </w:r>
      <w:r w:rsidRPr="004832F9">
        <w:t>TUM</w:t>
      </w:r>
      <w:r>
        <w:t xml:space="preserve"> auch die </w:t>
      </w:r>
      <w:r w:rsidRPr="00831372">
        <w:t xml:space="preserve">Arbeitsgruppe </w:t>
      </w:r>
      <w:r w:rsidRPr="004832F9">
        <w:t>Medizinische</w:t>
      </w:r>
      <w:r w:rsidRPr="00831372">
        <w:t xml:space="preserve"> Informatik </w:t>
      </w:r>
      <w:r>
        <w:t xml:space="preserve">des </w:t>
      </w:r>
      <w:r w:rsidRPr="00831372">
        <w:t>Berliner Institut</w:t>
      </w:r>
      <w:r>
        <w:t>s</w:t>
      </w:r>
      <w:r w:rsidRPr="00831372">
        <w:t xml:space="preserve"> für Gesundheitsforschung in der Charité</w:t>
      </w:r>
      <w:r>
        <w:t xml:space="preserve"> beteiligt, die letzte Version stammt von November 2022.</w:t>
      </w:r>
    </w:p>
    <w:p w14:paraId="336C37C0" w14:textId="0DDFD06A" w:rsidR="00831372" w:rsidRDefault="00831372" w:rsidP="00831372">
      <w:pPr>
        <w:pStyle w:val="Listenabsatz"/>
      </w:pPr>
      <w:r>
        <w:t xml:space="preserve">ARX verfügt über eine einfach zu bedienende Oberfläche, aber die von der Software implementierten Methoden sind komplex. ARX unterstützt u. a. Methoden wie beispielsweise </w:t>
      </w:r>
      <w:r w:rsidRPr="008444FB">
        <w:t xml:space="preserve">k-anonymity, l-diversity, t-closeness, </w:t>
      </w:r>
      <w:r w:rsidRPr="00831372">
        <w:rPr>
          <w:lang w:val="en-US"/>
        </w:rPr>
        <w:t>δ</w:t>
      </w:r>
      <w:r w:rsidRPr="008444FB">
        <w:t xml:space="preserve">-disclosure privacy, </w:t>
      </w:r>
      <w:r w:rsidRPr="00831372">
        <w:rPr>
          <w:lang w:val="en-US"/>
        </w:rPr>
        <w:t>β</w:t>
      </w:r>
      <w:r w:rsidRPr="008444FB">
        <w:t xml:space="preserve">-likeness </w:t>
      </w:r>
      <w:r>
        <w:t>und</w:t>
      </w:r>
      <w:r w:rsidRPr="00831372">
        <w:t xml:space="preserve"> </w:t>
      </w:r>
      <w:r w:rsidRPr="00831372">
        <w:rPr>
          <w:lang w:val="en-US"/>
        </w:rPr>
        <w:t>δ</w:t>
      </w:r>
      <w:r w:rsidRPr="008444FB">
        <w:t>-presence</w:t>
      </w:r>
      <w:r>
        <w:t>, die auch in dieser Praxishilfe erwähnt werden</w:t>
      </w:r>
      <w:r w:rsidRPr="00831372">
        <w:t>.</w:t>
      </w:r>
      <w:r>
        <w:t xml:space="preserve"> Daneben </w:t>
      </w:r>
      <w:r w:rsidR="005B1D56">
        <w:t xml:space="preserve">werden </w:t>
      </w:r>
      <w:r>
        <w:t xml:space="preserve">auch andere Methoden zur Generalisierung </w:t>
      </w:r>
      <w:r w:rsidR="005B1D56">
        <w:t xml:space="preserve">wie </w:t>
      </w:r>
      <w:r>
        <w:t xml:space="preserve">z. B. </w:t>
      </w:r>
      <w:r w:rsidRPr="00831372">
        <w:t>Differential privacy</w:t>
      </w:r>
      <w:r w:rsidR="005B1D56">
        <w:t xml:space="preserve"> angeboten</w:t>
      </w:r>
      <w:r>
        <w:t xml:space="preserve">. Was genutzt werden </w:t>
      </w:r>
      <w:r w:rsidR="005B1D56">
        <w:t>sollte</w:t>
      </w:r>
      <w:r>
        <w:t>, ist natürlich kontextabhängig</w:t>
      </w:r>
      <w:r w:rsidR="005B1D56">
        <w:t xml:space="preserve"> von der jeweils gewünschten späteren Auswertung der anonymisierten bzw. pseudonymisierten Daten</w:t>
      </w:r>
      <w:r>
        <w:t>, sodass neben einer entsprechenden Einarbeitungszeit auch entsprechende Kenntnis</w:t>
      </w:r>
      <w:r w:rsidR="005B1D56">
        <w:t>se</w:t>
      </w:r>
      <w:r>
        <w:t xml:space="preserve"> über die dem Tool zugrundeliegenden statistischen Methoden erforderlich </w:t>
      </w:r>
      <w:r w:rsidR="005B1D56">
        <w:t>sind</w:t>
      </w:r>
      <w:r>
        <w:t>.</w:t>
      </w:r>
    </w:p>
    <w:p w14:paraId="6FA702D4" w14:textId="0DC0A9EB" w:rsidR="00111EC1" w:rsidRDefault="00111EC1" w:rsidP="00831372">
      <w:pPr>
        <w:pStyle w:val="Listenabsatz"/>
      </w:pPr>
      <w:r>
        <w:t xml:space="preserve">Das Tool bietet auch diverse Auswertungen an, z. statistische Veränderungen aufgrund der Datenveränderung (siehe </w:t>
      </w:r>
      <w:r>
        <w:fldChar w:fldCharType="begin"/>
      </w:r>
      <w:r>
        <w:instrText xml:space="preserve"> REF _Ref150498747 \h </w:instrText>
      </w:r>
      <w:r>
        <w:fldChar w:fldCharType="separate"/>
      </w:r>
      <w:r w:rsidR="00C9149F">
        <w:t xml:space="preserve">Abbildung </w:t>
      </w:r>
      <w:r w:rsidR="00C9149F">
        <w:rPr>
          <w:noProof/>
        </w:rPr>
        <w:t>3</w:t>
      </w:r>
      <w:r>
        <w:fldChar w:fldCharType="end"/>
      </w:r>
      <w:r>
        <w:t>) oder auch eine Darstellung des Re-Identifikationsrisikos (</w:t>
      </w:r>
      <w:r>
        <w:fldChar w:fldCharType="begin"/>
      </w:r>
      <w:r>
        <w:instrText xml:space="preserve"> REF _Ref150498752 \h </w:instrText>
      </w:r>
      <w:r>
        <w:fldChar w:fldCharType="separate"/>
      </w:r>
      <w:r w:rsidR="00C9149F">
        <w:t xml:space="preserve">Abbildung </w:t>
      </w:r>
      <w:r w:rsidR="00C9149F">
        <w:rPr>
          <w:noProof/>
        </w:rPr>
        <w:t>4</w:t>
      </w:r>
      <w:r>
        <w:fldChar w:fldCharType="end"/>
      </w:r>
      <w:r>
        <w:t>).</w:t>
      </w:r>
    </w:p>
    <w:p w14:paraId="3B757E6F" w14:textId="2472638D" w:rsidR="00111EC1" w:rsidRDefault="00111EC1" w:rsidP="00111EC1">
      <w:pPr>
        <w:pStyle w:val="Listenabsatz"/>
        <w:spacing w:after="0"/>
      </w:pPr>
      <w:r w:rsidRPr="00111EC1">
        <w:rPr>
          <w:noProof/>
        </w:rPr>
        <w:drawing>
          <wp:inline distT="0" distB="0" distL="0" distR="0" wp14:anchorId="5361E326" wp14:editId="29202E5D">
            <wp:extent cx="5760720" cy="2258060"/>
            <wp:effectExtent l="0" t="0" r="0" b="8890"/>
            <wp:docPr id="1199599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99239" name=""/>
                    <pic:cNvPicPr/>
                  </pic:nvPicPr>
                  <pic:blipFill>
                    <a:blip r:embed="rId39"/>
                    <a:stretch>
                      <a:fillRect/>
                    </a:stretch>
                  </pic:blipFill>
                  <pic:spPr>
                    <a:xfrm>
                      <a:off x="0" y="0"/>
                      <a:ext cx="5760720" cy="2258060"/>
                    </a:xfrm>
                    <a:prstGeom prst="rect">
                      <a:avLst/>
                    </a:prstGeom>
                  </pic:spPr>
                </pic:pic>
              </a:graphicData>
            </a:graphic>
          </wp:inline>
        </w:drawing>
      </w:r>
    </w:p>
    <w:p w14:paraId="7605FC84" w14:textId="0F9E5320" w:rsidR="00111EC1" w:rsidRDefault="00111EC1" w:rsidP="00111EC1">
      <w:pPr>
        <w:pStyle w:val="Beschriftung"/>
        <w:ind w:left="708"/>
      </w:pPr>
      <w:bookmarkStart w:id="170" w:name="_Ref150498747"/>
      <w:r>
        <w:t xml:space="preserve">Abbildung </w:t>
      </w:r>
      <w:r w:rsidR="00000000">
        <w:fldChar w:fldCharType="begin"/>
      </w:r>
      <w:r w:rsidR="00000000">
        <w:instrText xml:space="preserve"> SEQ Abbildung \* ARABIC </w:instrText>
      </w:r>
      <w:r w:rsidR="00000000">
        <w:fldChar w:fldCharType="separate"/>
      </w:r>
      <w:r w:rsidR="00C9149F">
        <w:rPr>
          <w:noProof/>
        </w:rPr>
        <w:t>3</w:t>
      </w:r>
      <w:r w:rsidR="00000000">
        <w:rPr>
          <w:noProof/>
        </w:rPr>
        <w:fldChar w:fldCharType="end"/>
      </w:r>
      <w:bookmarkEnd w:id="170"/>
      <w:r>
        <w:t xml:space="preserve">: </w:t>
      </w:r>
      <w:r w:rsidRPr="00111EC1">
        <w:rPr>
          <w:lang w:val="en-US"/>
        </w:rPr>
        <w:t>ARX Analyze utility: Classification performance</w:t>
      </w:r>
    </w:p>
    <w:p w14:paraId="3C0CBBF4" w14:textId="708356F4" w:rsidR="00111EC1" w:rsidRDefault="00111EC1" w:rsidP="00111EC1">
      <w:pPr>
        <w:pStyle w:val="Listenabsatz"/>
        <w:spacing w:after="0"/>
      </w:pPr>
      <w:r w:rsidRPr="00111EC1">
        <w:rPr>
          <w:noProof/>
        </w:rPr>
        <w:drawing>
          <wp:inline distT="0" distB="0" distL="0" distR="0" wp14:anchorId="79ABCE77" wp14:editId="1933A0D8">
            <wp:extent cx="5760720" cy="3027045"/>
            <wp:effectExtent l="0" t="0" r="0" b="1905"/>
            <wp:docPr id="844294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9453" name=""/>
                    <pic:cNvPicPr/>
                  </pic:nvPicPr>
                  <pic:blipFill>
                    <a:blip r:embed="rId40"/>
                    <a:stretch>
                      <a:fillRect/>
                    </a:stretch>
                  </pic:blipFill>
                  <pic:spPr>
                    <a:xfrm>
                      <a:off x="0" y="0"/>
                      <a:ext cx="5760720" cy="3027045"/>
                    </a:xfrm>
                    <a:prstGeom prst="rect">
                      <a:avLst/>
                    </a:prstGeom>
                  </pic:spPr>
                </pic:pic>
              </a:graphicData>
            </a:graphic>
          </wp:inline>
        </w:drawing>
      </w:r>
    </w:p>
    <w:p w14:paraId="32BFDB92" w14:textId="3616DD49" w:rsidR="00111EC1" w:rsidRPr="00111EC1" w:rsidRDefault="00111EC1" w:rsidP="00111EC1">
      <w:pPr>
        <w:pStyle w:val="Beschriftung"/>
        <w:ind w:left="708"/>
      </w:pPr>
      <w:bookmarkStart w:id="171" w:name="_Ref150498752"/>
      <w:r>
        <w:t xml:space="preserve">Abbildung </w:t>
      </w:r>
      <w:r w:rsidR="00000000">
        <w:fldChar w:fldCharType="begin"/>
      </w:r>
      <w:r w:rsidR="00000000">
        <w:instrText xml:space="preserve"> SEQ Abbildung \* ARABIC </w:instrText>
      </w:r>
      <w:r w:rsidR="00000000">
        <w:fldChar w:fldCharType="separate"/>
      </w:r>
      <w:r w:rsidR="00C9149F">
        <w:rPr>
          <w:noProof/>
        </w:rPr>
        <w:t>4</w:t>
      </w:r>
      <w:r w:rsidR="00000000">
        <w:rPr>
          <w:noProof/>
        </w:rPr>
        <w:fldChar w:fldCharType="end"/>
      </w:r>
      <w:bookmarkEnd w:id="171"/>
      <w:r>
        <w:t>:</w:t>
      </w:r>
      <w:r>
        <w:rPr>
          <w:noProof/>
        </w:rPr>
        <w:t xml:space="preserve"> </w:t>
      </w:r>
      <w:r w:rsidRPr="00111EC1">
        <w:rPr>
          <w:lang w:val="en-US"/>
        </w:rPr>
        <w:t>ARX Analyze risk: Attacher Models</w:t>
      </w:r>
    </w:p>
    <w:p w14:paraId="7E2BF28B" w14:textId="77777777" w:rsidR="00316C83" w:rsidRDefault="00316C83" w:rsidP="00316C83">
      <w:pPr>
        <w:pStyle w:val="Listenabsatz"/>
        <w:spacing w:after="0"/>
      </w:pPr>
      <w:r w:rsidRPr="004832F9">
        <w:t>ARX</w:t>
      </w:r>
      <w:r w:rsidRPr="00831372">
        <w:t xml:space="preserve"> ist in der Lage, große Datenmengen auf Standard-Hardware zu verarbeiten und bietet eine intuitive, plattformübergreifende grafische Benutzeroberfläche.</w:t>
      </w:r>
      <w:r>
        <w:t xml:space="preserve"> Die Software steht für die Betriebssysteme Microsoft Windows, Linux und </w:t>
      </w:r>
      <w:r w:rsidRPr="004832F9">
        <w:t>MacOS</w:t>
      </w:r>
      <w:r>
        <w:t xml:space="preserve"> zum Download zur Verfügung.</w:t>
      </w:r>
    </w:p>
    <w:p w14:paraId="125A6AF2" w14:textId="4699F0D3" w:rsidR="00B13712" w:rsidRDefault="00B13712" w:rsidP="00B13712">
      <w:pPr>
        <w:ind w:left="708"/>
      </w:pPr>
      <w:r>
        <w:t xml:space="preserve">Wer das in Java programmierte Tool testen möchte, findet auf der Homepage sowohl einen Beispieldatensatz als auch eine ausführbare </w:t>
      </w:r>
      <w:r w:rsidRPr="004832F9">
        <w:t>jar-Datei</w:t>
      </w:r>
      <w:r w:rsidR="005B1D56">
        <w:t>;</w:t>
      </w:r>
      <w:r>
        <w:t xml:space="preserve"> eine Installation ist zum </w:t>
      </w:r>
      <w:r w:rsidR="004F4854">
        <w:t>A</w:t>
      </w:r>
      <w:r>
        <w:t>usprobieren des Tools nicht erforderlich.</w:t>
      </w:r>
    </w:p>
    <w:p w14:paraId="30A990B5" w14:textId="020D0926" w:rsidR="005A0F8F" w:rsidRDefault="005A0F8F" w:rsidP="005A0F8F">
      <w:pPr>
        <w:pStyle w:val="berschrift4"/>
      </w:pPr>
      <w:bookmarkStart w:id="172" w:name="_Toc154652642"/>
      <w:r w:rsidRPr="005A0F8F">
        <w:t>Software-Bibliotheken</w:t>
      </w:r>
      <w:bookmarkEnd w:id="172"/>
    </w:p>
    <w:p w14:paraId="38203C74" w14:textId="29517652" w:rsidR="005A0F8F" w:rsidRPr="005A0F8F" w:rsidRDefault="005A0F8F" w:rsidP="005A0F8F">
      <w:pPr>
        <w:spacing w:after="0"/>
      </w:pPr>
      <w:r>
        <w:t xml:space="preserve">Zur Nutzung in eigenen Software-Entwicklungen stehen diverse </w:t>
      </w:r>
      <w:r w:rsidRPr="005A0F8F">
        <w:t>Implementierungen</w:t>
      </w:r>
      <w:r>
        <w:t xml:space="preserve"> von Algorithmen zur Verfügung. Dabei ist der </w:t>
      </w:r>
      <w:r w:rsidRPr="005A0F8F">
        <w:t>Unterschied</w:t>
      </w:r>
      <w:r>
        <w:t xml:space="preserve"> zwischen integrierbarer Bibliothek und integrierbares Tool (in einer Abgrenzung zu den in Kapitel </w:t>
      </w:r>
      <w:r>
        <w:fldChar w:fldCharType="begin"/>
      </w:r>
      <w:r>
        <w:instrText xml:space="preserve"> REF _Ref150247286 \r \h </w:instrText>
      </w:r>
      <w:r>
        <w:fldChar w:fldCharType="separate"/>
      </w:r>
      <w:r w:rsidR="00C9149F">
        <w:t>8.4.10.1</w:t>
      </w:r>
      <w:r>
        <w:fldChar w:fldCharType="end"/>
      </w:r>
      <w:r>
        <w:t xml:space="preserve"> genannten </w:t>
      </w:r>
      <w:r w:rsidRPr="005A0F8F">
        <w:t>Beispiele</w:t>
      </w:r>
      <w:r>
        <w:t xml:space="preserve">) nicht immer eindeutig möglich; die Entscheidung, wo etwas besser hinpasst, ist daher oft eine rein subjektive Entscheidung. Es </w:t>
      </w:r>
      <w:r w:rsidR="005B1D56">
        <w:t>existieren</w:t>
      </w:r>
      <w:r>
        <w:t xml:space="preserve"> Implementierungen für diverse Programmiersprachen, nachfolgend nur einige Beispiele:</w:t>
      </w:r>
    </w:p>
    <w:p w14:paraId="27D95233" w14:textId="16DFAC94" w:rsidR="005A0F8F" w:rsidRDefault="005A0F8F" w:rsidP="005A0F8F">
      <w:pPr>
        <w:pStyle w:val="Listenabsatz"/>
        <w:numPr>
          <w:ilvl w:val="0"/>
          <w:numId w:val="5"/>
        </w:numPr>
      </w:pPr>
      <w:r w:rsidRPr="004832F9">
        <w:t>anonymizer</w:t>
      </w:r>
      <w:r>
        <w:t xml:space="preserve">: Ein Python basiertes Tool, welches Textdateien überarbeitet. Über reguläre Ausdrücke können Masken zur </w:t>
      </w:r>
      <w:r w:rsidRPr="005A0F8F">
        <w:t>De-Identifizierung</w:t>
      </w:r>
      <w:r>
        <w:t xml:space="preserve"> beschrieben werden, ein Ersetzen von E-Mail-Adresse, Kreditkarten-Nummer, Telefonnummer ist dabei möglich, sodass Art der Daten in einer Auswertung berücksichtigt werden kann.</w:t>
      </w:r>
    </w:p>
    <w:p w14:paraId="459E763E" w14:textId="4A42150D" w:rsidR="005A0F8F" w:rsidRPr="004832F9" w:rsidRDefault="005A0F8F" w:rsidP="005A0F8F">
      <w:pPr>
        <w:pStyle w:val="Listenabsatz"/>
      </w:pPr>
      <w:r w:rsidRPr="004832F9">
        <w:t xml:space="preserve">URL: </w:t>
      </w:r>
      <w:hyperlink r:id="rId41" w:history="1">
        <w:r w:rsidRPr="004832F9">
          <w:rPr>
            <w:rStyle w:val="Hyperlink"/>
          </w:rPr>
          <w:t>https://github.com/thoughtworks-datakind/anonymizer</w:t>
        </w:r>
      </w:hyperlink>
    </w:p>
    <w:p w14:paraId="717872CF" w14:textId="287EE9BA" w:rsidR="005A0F8F" w:rsidRDefault="005A0F8F" w:rsidP="005A0F8F">
      <w:pPr>
        <w:pStyle w:val="Listenabsatz"/>
        <w:numPr>
          <w:ilvl w:val="0"/>
          <w:numId w:val="5"/>
        </w:numPr>
      </w:pPr>
      <w:r w:rsidRPr="005A0F8F">
        <w:t>[Data]</w:t>
      </w:r>
      <w:r w:rsidRPr="004832F9">
        <w:t>nymizer</w:t>
      </w:r>
      <w:r>
        <w:t xml:space="preserve">: </w:t>
      </w:r>
      <w:r w:rsidRPr="004832F9">
        <w:t>Datanymizer</w:t>
      </w:r>
      <w:r>
        <w:t>, ein in Rust geschriebenes Projekt,</w:t>
      </w:r>
      <w:r w:rsidRPr="005A0F8F">
        <w:t xml:space="preserve"> liest </w:t>
      </w:r>
      <w:r>
        <w:t>D</w:t>
      </w:r>
      <w:r w:rsidRPr="005A0F8F">
        <w:t>aten direkt aus einer Datenbank und anonymisiert Daten anhand der hinterlegten Regeln. Die Ausgabe ist ein anonymisierter SQL-Dump, der entweder in eine Datei oder direkt in die Standardausgabe geschrieben wird.</w:t>
      </w:r>
    </w:p>
    <w:p w14:paraId="34D97193" w14:textId="66D74055" w:rsidR="005A0F8F" w:rsidRDefault="005A0F8F" w:rsidP="005A0F8F">
      <w:pPr>
        <w:pStyle w:val="Listenabsatz"/>
      </w:pPr>
      <w:r>
        <w:t xml:space="preserve">URL: </w:t>
      </w:r>
      <w:hyperlink r:id="rId42" w:history="1">
        <w:r w:rsidRPr="00B82BEB">
          <w:rPr>
            <w:rStyle w:val="Hyperlink"/>
          </w:rPr>
          <w:t>https://github.com/datanymizer/datanymizer</w:t>
        </w:r>
      </w:hyperlink>
    </w:p>
    <w:p w14:paraId="14E6F058" w14:textId="2C041F78" w:rsidR="005A0F8F" w:rsidRDefault="005A0F8F" w:rsidP="005A0F8F">
      <w:pPr>
        <w:pStyle w:val="Listenabsatz"/>
      </w:pPr>
      <w:r>
        <w:t xml:space="preserve">Beschreibung: </w:t>
      </w:r>
      <w:hyperlink r:id="rId43" w:history="1">
        <w:r w:rsidRPr="00B82BEB">
          <w:rPr>
            <w:rStyle w:val="Hyperlink"/>
          </w:rPr>
          <w:t>https://evrone.com/blog/datanymizer</w:t>
        </w:r>
      </w:hyperlink>
    </w:p>
    <w:p w14:paraId="01C3CA8E" w14:textId="13714B46" w:rsidR="005A0F8F" w:rsidRDefault="005A0F8F" w:rsidP="005A0F8F">
      <w:pPr>
        <w:pStyle w:val="Listenabsatz"/>
        <w:numPr>
          <w:ilvl w:val="0"/>
          <w:numId w:val="5"/>
        </w:numPr>
      </w:pPr>
      <w:r w:rsidRPr="004832F9">
        <w:t>DICAT</w:t>
      </w:r>
      <w:r>
        <w:t xml:space="preserve">: Dabei handelt es sich um ein Tool, welches </w:t>
      </w:r>
      <w:r w:rsidRPr="005A0F8F">
        <w:t>die De-Identifizierung von DICOM</w:t>
      </w:r>
      <w:r>
        <w:t>-Header-Daten ermöglicht. D. h</w:t>
      </w:r>
      <w:r w:rsidR="004F4854">
        <w:t>.</w:t>
      </w:r>
      <w:r>
        <w:t xml:space="preserve">, es geht um die Anonymisierung von Meta-Daten, die eigentlichen Bilddaten bleiben unberührt. Das Tool basiert auf der Python-Bibliothek </w:t>
      </w:r>
      <w:r w:rsidRPr="004832F9">
        <w:t>PyDICOM</w:t>
      </w:r>
      <w:r>
        <w:rPr>
          <w:rStyle w:val="Funotenzeichen"/>
        </w:rPr>
        <w:footnoteReference w:id="97"/>
      </w:r>
      <w:r>
        <w:t>.</w:t>
      </w:r>
    </w:p>
    <w:p w14:paraId="655CE31D" w14:textId="435BF404" w:rsidR="005A0F8F" w:rsidRDefault="005A0F8F" w:rsidP="005A0F8F">
      <w:pPr>
        <w:pStyle w:val="Listenabsatz"/>
      </w:pPr>
      <w:r>
        <w:t xml:space="preserve">URL: </w:t>
      </w:r>
      <w:hyperlink r:id="rId44" w:history="1">
        <w:r w:rsidRPr="00B82BEB">
          <w:rPr>
            <w:rStyle w:val="Hyperlink"/>
          </w:rPr>
          <w:t>https://github.com/aces/DICAT</w:t>
        </w:r>
      </w:hyperlink>
    </w:p>
    <w:p w14:paraId="669EC018" w14:textId="05CEC69C" w:rsidR="005A0F8F" w:rsidRDefault="005A0F8F" w:rsidP="005A0F8F">
      <w:pPr>
        <w:pStyle w:val="Listenabsatz"/>
        <w:numPr>
          <w:ilvl w:val="0"/>
          <w:numId w:val="5"/>
        </w:numPr>
      </w:pPr>
      <w:r w:rsidRPr="004832F9">
        <w:t>DicomAnonymizer</w:t>
      </w:r>
      <w:r>
        <w:t>: Das Python basierte Tool überarbeitet die Meta</w:t>
      </w:r>
      <w:r w:rsidRPr="005A0F8F">
        <w:t>-</w:t>
      </w:r>
      <w:r>
        <w:t xml:space="preserve">Daten des DICOM-Formats, sodass in </w:t>
      </w:r>
      <w:r w:rsidR="004F4854">
        <w:t>d</w:t>
      </w:r>
      <w:r>
        <w:t xml:space="preserve">en Meta-Daten eine </w:t>
      </w:r>
      <w:r w:rsidRPr="005A0F8F">
        <w:t>De-Identifizierung</w:t>
      </w:r>
      <w:r>
        <w:t xml:space="preserve"> durchgeführt werden kann. Die Bilddaten selbst werden nicht verändert.</w:t>
      </w:r>
    </w:p>
    <w:p w14:paraId="7400D88B" w14:textId="3E5E0132" w:rsidR="005A0F8F" w:rsidRDefault="005A0F8F" w:rsidP="005A0F8F">
      <w:pPr>
        <w:pStyle w:val="Listenabsatz"/>
      </w:pPr>
      <w:r>
        <w:t xml:space="preserve">URL: </w:t>
      </w:r>
      <w:hyperlink r:id="rId45" w:history="1">
        <w:r w:rsidRPr="00B82BEB">
          <w:rPr>
            <w:rStyle w:val="Hyperlink"/>
          </w:rPr>
          <w:t>https://github.com/KitwareMedical/dicom-</w:t>
        </w:r>
        <w:r w:rsidRPr="004832F9">
          <w:rPr>
            <w:rStyle w:val="Hyperlink"/>
          </w:rPr>
          <w:t>anonymizer</w:t>
        </w:r>
      </w:hyperlink>
    </w:p>
    <w:p w14:paraId="737A0552" w14:textId="02ED59E8" w:rsidR="005A0F8F" w:rsidRDefault="005A0F8F" w:rsidP="005A0F8F">
      <w:pPr>
        <w:pStyle w:val="Listenabsatz"/>
        <w:numPr>
          <w:ilvl w:val="0"/>
          <w:numId w:val="5"/>
        </w:numPr>
      </w:pPr>
      <w:r>
        <w:t xml:space="preserve">Google </w:t>
      </w:r>
      <w:r w:rsidRPr="004832F9">
        <w:t>Differential</w:t>
      </w:r>
      <w:r w:rsidRPr="005A0F8F">
        <w:t xml:space="preserve"> </w:t>
      </w:r>
      <w:r w:rsidRPr="004832F9">
        <w:t>Privacy</w:t>
      </w:r>
      <w:r>
        <w:t xml:space="preserve">: </w:t>
      </w:r>
      <w:r w:rsidRPr="004832F9">
        <w:t>google</w:t>
      </w:r>
      <w:r>
        <w:t xml:space="preserve"> stellt ein Toolkit zur Implementierung von </w:t>
      </w:r>
      <w:r w:rsidRPr="004832F9">
        <w:t>Differential</w:t>
      </w:r>
      <w:r>
        <w:t xml:space="preserve"> </w:t>
      </w:r>
      <w:r w:rsidRPr="004832F9">
        <w:t>Privacy</w:t>
      </w:r>
      <w:r>
        <w:t>, aufsetzend auf Apache Beam</w:t>
      </w:r>
      <w:r>
        <w:rPr>
          <w:rStyle w:val="Funotenzeichen"/>
        </w:rPr>
        <w:footnoteReference w:id="98"/>
      </w:r>
      <w:r>
        <w:t xml:space="preserve">, ist daher in erster Linie für </w:t>
      </w:r>
      <w:r w:rsidRPr="004832F9">
        <w:t>Machine</w:t>
      </w:r>
      <w:r>
        <w:t xml:space="preserve"> Learning Projekte von Interesse.</w:t>
      </w:r>
    </w:p>
    <w:p w14:paraId="3357D7CC" w14:textId="15E9E392" w:rsidR="005A0F8F" w:rsidRDefault="005A0F8F" w:rsidP="005A0F8F">
      <w:pPr>
        <w:pStyle w:val="Listenabsatz"/>
      </w:pPr>
      <w:r>
        <w:t xml:space="preserve">URL: </w:t>
      </w:r>
      <w:hyperlink r:id="rId46" w:history="1">
        <w:r w:rsidRPr="00B82BEB">
          <w:rPr>
            <w:rStyle w:val="Hyperlink"/>
          </w:rPr>
          <w:t>https://github.com/google/differential-</w:t>
        </w:r>
        <w:r w:rsidRPr="004832F9">
          <w:rPr>
            <w:rStyle w:val="Hyperlink"/>
          </w:rPr>
          <w:t>privacy</w:t>
        </w:r>
      </w:hyperlink>
    </w:p>
    <w:p w14:paraId="28302B15" w14:textId="77777777" w:rsidR="005A0F8F" w:rsidRDefault="005A0F8F" w:rsidP="005A0F8F">
      <w:pPr>
        <w:pStyle w:val="Listenabsatz"/>
        <w:numPr>
          <w:ilvl w:val="0"/>
          <w:numId w:val="5"/>
        </w:numPr>
      </w:pPr>
      <w:r w:rsidRPr="004832F9">
        <w:t>Incognito-Algorithm</w:t>
      </w:r>
      <w:r>
        <w:t xml:space="preserve">: Eine Implementierung des </w:t>
      </w:r>
      <w:r w:rsidRPr="004832F9">
        <w:t>Incognito-Algorithmus</w:t>
      </w:r>
      <w:r>
        <w:t xml:space="preserve"> zur Umsetzung der k-Anonymität in Python.</w:t>
      </w:r>
    </w:p>
    <w:p w14:paraId="5AF192ED" w14:textId="57C88E47" w:rsidR="005A0F8F" w:rsidRDefault="005A0F8F" w:rsidP="005A0F8F">
      <w:pPr>
        <w:pStyle w:val="Listenabsatz"/>
      </w:pPr>
      <w:r>
        <w:t xml:space="preserve">URL: </w:t>
      </w:r>
      <w:hyperlink r:id="rId47" w:history="1">
        <w:r w:rsidRPr="00B82BEB">
          <w:rPr>
            <w:rStyle w:val="Hyperlink"/>
          </w:rPr>
          <w:t>https://github.com/Tolgahan20/Incognito-</w:t>
        </w:r>
        <w:r w:rsidRPr="004832F9">
          <w:rPr>
            <w:rStyle w:val="Hyperlink"/>
          </w:rPr>
          <w:t>Algorithm</w:t>
        </w:r>
      </w:hyperlink>
    </w:p>
    <w:p w14:paraId="331DA484" w14:textId="066C26EF" w:rsidR="005A0F8F" w:rsidRDefault="005A0F8F" w:rsidP="005A0F8F">
      <w:pPr>
        <w:pStyle w:val="Listenabsatz"/>
        <w:numPr>
          <w:ilvl w:val="0"/>
          <w:numId w:val="5"/>
        </w:numPr>
      </w:pPr>
      <w:r>
        <w:t xml:space="preserve">Microsoft </w:t>
      </w:r>
      <w:r w:rsidRPr="005A0F8F">
        <w:t xml:space="preserve">Tools </w:t>
      </w:r>
      <w:r w:rsidRPr="004832F9">
        <w:t>for</w:t>
      </w:r>
      <w:r w:rsidRPr="005A0F8F">
        <w:t xml:space="preserve"> </w:t>
      </w:r>
      <w:r w:rsidRPr="004832F9">
        <w:t>Health</w:t>
      </w:r>
      <w:r w:rsidRPr="005A0F8F">
        <w:t xml:space="preserve"> Data </w:t>
      </w:r>
      <w:r w:rsidRPr="004832F9">
        <w:t>Anonymization</w:t>
      </w:r>
      <w:r>
        <w:t xml:space="preserve">: Diese Sammlung stellt </w:t>
      </w:r>
      <w:r w:rsidRPr="005A0F8F">
        <w:t xml:space="preserve">die Skripte und Befehlszeilentools für </w:t>
      </w:r>
      <w:r>
        <w:t xml:space="preserve">die Anwendung in eigenen </w:t>
      </w:r>
      <w:r w:rsidRPr="005A0F8F">
        <w:t>Projekten</w:t>
      </w:r>
      <w:r>
        <w:t xml:space="preserve"> </w:t>
      </w:r>
      <w:r w:rsidRPr="005A0F8F">
        <w:t>zur Verfügung.</w:t>
      </w:r>
      <w:r>
        <w:t xml:space="preserve"> Es adressiert die </w:t>
      </w:r>
      <w:r w:rsidRPr="005A0F8F">
        <w:t xml:space="preserve">Anonymisierung von Gesundheitsdaten vor Ort oder </w:t>
      </w:r>
      <w:r>
        <w:t xml:space="preserve">auch </w:t>
      </w:r>
      <w:r w:rsidRPr="005A0F8F">
        <w:t>in der Cloud für sekundäre Zwecke wie Forschung, öffentliche Gesundheit u</w:t>
      </w:r>
      <w:r>
        <w:t xml:space="preserve">sw. </w:t>
      </w:r>
      <w:r w:rsidRPr="005A0F8F">
        <w:t xml:space="preserve">Derzeit unterstützt es die Anonymisierung von </w:t>
      </w:r>
      <w:r w:rsidRPr="004832F9">
        <w:t>FHIR-Daten</w:t>
      </w:r>
      <w:r w:rsidRPr="005A0F8F">
        <w:t xml:space="preserve"> </w:t>
      </w:r>
      <w:r>
        <w:t xml:space="preserve">und </w:t>
      </w:r>
      <w:r w:rsidRPr="005A0F8F">
        <w:t>DICOM-Daten.</w:t>
      </w:r>
    </w:p>
    <w:p w14:paraId="46135D5D" w14:textId="60CDA566" w:rsidR="005A0F8F" w:rsidRDefault="005A0F8F" w:rsidP="005A0F8F">
      <w:pPr>
        <w:pStyle w:val="Listenabsatz"/>
      </w:pPr>
      <w:r>
        <w:t xml:space="preserve">URL: </w:t>
      </w:r>
      <w:hyperlink r:id="rId48" w:history="1">
        <w:r w:rsidRPr="00B82BEB">
          <w:rPr>
            <w:rStyle w:val="Hyperlink"/>
          </w:rPr>
          <w:t>https://github.com/microsoft/Tools-</w:t>
        </w:r>
        <w:r w:rsidRPr="004832F9">
          <w:rPr>
            <w:rStyle w:val="Hyperlink"/>
          </w:rPr>
          <w:t>for-Health-Data-Anonymization</w:t>
        </w:r>
      </w:hyperlink>
    </w:p>
    <w:p w14:paraId="622CA9EC" w14:textId="1F4064C4" w:rsidR="005A0F8F" w:rsidRDefault="005A0F8F" w:rsidP="005A0F8F">
      <w:pPr>
        <w:pStyle w:val="Listenabsatz"/>
        <w:numPr>
          <w:ilvl w:val="0"/>
          <w:numId w:val="5"/>
        </w:numPr>
      </w:pPr>
      <w:r w:rsidRPr="005A0F8F">
        <w:t>Mondrian</w:t>
      </w:r>
      <w:r>
        <w:t xml:space="preserve">: Wie der </w:t>
      </w:r>
      <w:r w:rsidRPr="005A0F8F">
        <w:t>Name</w:t>
      </w:r>
      <w:r>
        <w:t xml:space="preserve"> </w:t>
      </w:r>
      <w:r w:rsidRPr="004832F9">
        <w:t>andeutet</w:t>
      </w:r>
      <w:r>
        <w:t xml:space="preserve"> handelt es sich um </w:t>
      </w:r>
      <w:r w:rsidRPr="005A0F8F">
        <w:t>eine</w:t>
      </w:r>
      <w:r>
        <w:t xml:space="preserve"> </w:t>
      </w:r>
      <w:r w:rsidRPr="005A0F8F">
        <w:t>Implementierung</w:t>
      </w:r>
      <w:r>
        <w:t xml:space="preserve"> des Algorithmus </w:t>
      </w:r>
      <w:r w:rsidRPr="005A0F8F">
        <w:t xml:space="preserve">Mondrian </w:t>
      </w:r>
      <w:r w:rsidRPr="004832F9">
        <w:t>Multidimensional</w:t>
      </w:r>
      <w:r w:rsidRPr="005A0F8F">
        <w:t xml:space="preserve"> </w:t>
      </w:r>
      <w:r w:rsidRPr="004832F9">
        <w:t>k-Anonymity</w:t>
      </w:r>
      <w:r>
        <w:t>, Programmiersprache ist Python.</w:t>
      </w:r>
    </w:p>
    <w:p w14:paraId="5DE22DEB" w14:textId="126476BA" w:rsidR="005A0F8F" w:rsidRPr="00831372" w:rsidRDefault="005A0F8F" w:rsidP="005A0F8F">
      <w:pPr>
        <w:pStyle w:val="Listenabsatz"/>
      </w:pPr>
      <w:r>
        <w:t xml:space="preserve">URL: </w:t>
      </w:r>
      <w:hyperlink r:id="rId49" w:anchor="mondrian" w:history="1">
        <w:r w:rsidRPr="00B82BEB">
          <w:rPr>
            <w:rStyle w:val="Hyperlink"/>
          </w:rPr>
          <w:t>https://github.com/qiyuangong/Mondrian#</w:t>
        </w:r>
        <w:r w:rsidRPr="004832F9">
          <w:rPr>
            <w:rStyle w:val="Hyperlink"/>
          </w:rPr>
          <w:t>mondrian</w:t>
        </w:r>
      </w:hyperlink>
    </w:p>
    <w:p w14:paraId="07EC2C80" w14:textId="77777777" w:rsidR="00AE4EA7" w:rsidRDefault="00000000">
      <w:pPr>
        <w:pStyle w:val="berschrift2"/>
      </w:pPr>
      <w:bookmarkStart w:id="173" w:name="_Toc154652643"/>
      <w:r>
        <w:t>Darstellung des Risikos der Re-Identifizierung</w:t>
      </w:r>
      <w:bookmarkEnd w:id="173"/>
    </w:p>
    <w:p w14:paraId="0A73D238" w14:textId="5F9C36BA" w:rsidR="00AE4EA7" w:rsidRDefault="00000000">
      <w:r>
        <w:t xml:space="preserve">Eine Re-Identifizierung kann Teil des geplanten Ablaufes sein, wenn eine Re-Identifikation unter zuvor festgelegten Bedingungen beabsichtigt erfolgt, z. B. </w:t>
      </w:r>
      <w:r w:rsidR="004F4854">
        <w:t xml:space="preserve">für die </w:t>
      </w:r>
      <w:r>
        <w:t>Kontaktierung des Patienten, da die Verarbeitungsergebnisse Einfluss auf seine Behandlung haben.</w:t>
      </w:r>
    </w:p>
    <w:p w14:paraId="18545CCB" w14:textId="77777777" w:rsidR="00AE4EA7" w:rsidRDefault="00000000">
      <w:r>
        <w:t>Erfolgt eine Re-Identifikation als ungeplantes, insbesondere nicht beabsichtigtes Ereignis, kann eine derartige Re-Identifikation Risiken für die betroffene Person bergen.</w:t>
      </w:r>
    </w:p>
    <w:p w14:paraId="6EE581B8" w14:textId="3ADB16FD" w:rsidR="007B24B9" w:rsidRDefault="007B24B9" w:rsidP="007B24B9">
      <w:pPr>
        <w:pStyle w:val="berschrift3"/>
      </w:pPr>
      <w:bookmarkStart w:id="174" w:name="_Toc154652644"/>
      <w:r>
        <w:t>Anonymisierung/Pseudonymisierung: Ein Rest-Risiko bleibt immer!?</w:t>
      </w:r>
      <w:bookmarkEnd w:id="174"/>
    </w:p>
    <w:p w14:paraId="06DBAD0E" w14:textId="6EBA268B" w:rsidR="00751325" w:rsidRDefault="007B24B9" w:rsidP="0040200F">
      <w:pPr>
        <w:spacing w:after="0"/>
      </w:pPr>
      <w:r>
        <w:t xml:space="preserve">Letztlich kann ein </w:t>
      </w:r>
      <w:r w:rsidRPr="004832F9">
        <w:t>Verantwortlicher</w:t>
      </w:r>
      <w:r>
        <w:t xml:space="preserve"> </w:t>
      </w:r>
      <w:r w:rsidR="00497C33">
        <w:t xml:space="preserve">nur die für ihn zugreifbaren Daten </w:t>
      </w:r>
      <w:r>
        <w:t xml:space="preserve">auf Anonymität oder </w:t>
      </w:r>
      <w:r w:rsidRPr="004832F9">
        <w:t>Pseudonymität</w:t>
      </w:r>
      <w:r>
        <w:t xml:space="preserve"> prüfen, denn nur in den seltensten Fällen wird bekannt sein, über welches Zusatzwissen Angreifer verfügen können. Eine Re-Identifikation durch die Hinzuziehung neuer, zusätzlicher Datenquellen wird ein Verantwortlicher nur in den seltensten Fällen sicher ausschließen können.</w:t>
      </w:r>
      <w:r w:rsidR="006D01EC">
        <w:rPr>
          <w:rStyle w:val="Funotenzeichen"/>
        </w:rPr>
        <w:footnoteReference w:id="99"/>
      </w:r>
    </w:p>
    <w:p w14:paraId="1982870D" w14:textId="11019BE8" w:rsidR="00751325" w:rsidRDefault="00751325" w:rsidP="0040200F">
      <w:pPr>
        <w:ind w:left="708"/>
      </w:pPr>
      <w:r>
        <w:t xml:space="preserve">Beispiel: Netflix veröffentlichte </w:t>
      </w:r>
      <w:r w:rsidR="0040200F">
        <w:t xml:space="preserve">2006 </w:t>
      </w:r>
      <w:r>
        <w:t>anonymisierte Daten seiner Nutzer</w:t>
      </w:r>
      <w:r w:rsidR="0040200F">
        <w:rPr>
          <w:rStyle w:val="Funotenzeichen"/>
        </w:rPr>
        <w:footnoteReference w:id="100"/>
      </w:r>
      <w:r>
        <w:t>, um einen Algorithmus finden zu lassen, der Netflix-Benutzern bessere Filmvorschläge unterbreitet. Netflix stellte hierfür 100.480.507 Datenbankeintr</w:t>
      </w:r>
      <w:r w:rsidR="004F4854">
        <w:t>ä</w:t>
      </w:r>
      <w:r>
        <w:t>ge mit Filmbewertungen von</w:t>
      </w:r>
      <w:r w:rsidR="0040200F">
        <w:t xml:space="preserve"> </w:t>
      </w:r>
      <w:r>
        <w:t xml:space="preserve">über 17.770 Filmen </w:t>
      </w:r>
      <w:r w:rsidR="0040200F">
        <w:t>von insgesamt</w:t>
      </w:r>
      <w:r>
        <w:t xml:space="preserve"> 480.189 Benutzern zur Verfügung. 2008 wurde gezeigt, dass diese anonymen Daten re-identifizierbar waren</w:t>
      </w:r>
      <w:r w:rsidR="0040200F">
        <w:rPr>
          <w:rStyle w:val="Funotenzeichen"/>
        </w:rPr>
        <w:footnoteReference w:id="101"/>
      </w:r>
      <w:r>
        <w:t xml:space="preserve">: Die Forscher entwickelten einen Algorithmus, welcher die Daten mit den Bewertungen aus der öffentlichen Filmbewertungsdatenbank „Internet Movie Database“ abglich. Die Forscher konnten zeigen, dass bei </w:t>
      </w:r>
      <w:r w:rsidR="005B1D56">
        <w:t>acht (</w:t>
      </w:r>
      <w:r>
        <w:t>8</w:t>
      </w:r>
      <w:r w:rsidR="005B1D56">
        <w:t>)</w:t>
      </w:r>
      <w:r>
        <w:t xml:space="preserve"> abgegebenen Bewertungen</w:t>
      </w:r>
      <w:r w:rsidR="0040200F">
        <w:t xml:space="preserve"> 99 % der Datenbankeinträge eindeutig zugeordnet werden konnten, lagen </w:t>
      </w:r>
      <w:r w:rsidR="0040200F" w:rsidRPr="0040200F">
        <w:t xml:space="preserve">lediglich </w:t>
      </w:r>
      <w:r w:rsidR="005B1D56">
        <w:t>zwei (</w:t>
      </w:r>
      <w:r w:rsidR="0040200F" w:rsidRPr="0040200F">
        <w:t>2</w:t>
      </w:r>
      <w:r w:rsidR="005B1D56">
        <w:t>)</w:t>
      </w:r>
      <w:r w:rsidR="0040200F" w:rsidRPr="0040200F">
        <w:t xml:space="preserve"> Bewertungen</w:t>
      </w:r>
      <w:r w:rsidR="0040200F">
        <w:t xml:space="preserve"> vor, betrug die Re-Identifikationswahrscheinlichkeit 68 %.</w:t>
      </w:r>
    </w:p>
    <w:p w14:paraId="792D8663" w14:textId="77059A13" w:rsidR="0077385B" w:rsidRDefault="0077385B" w:rsidP="0077385B">
      <w:pPr>
        <w:spacing w:after="0"/>
      </w:pPr>
      <w:r>
        <w:t xml:space="preserve">Hinsichtlich medizinischer Versorgung gibt es diverse frei verfügbare Quellen, die </w:t>
      </w:r>
      <w:r w:rsidR="00AF2176" w:rsidRPr="00AF2176">
        <w:t>zusätzliches</w:t>
      </w:r>
      <w:r>
        <w:t xml:space="preserve"> Wissen zur Re-Identifizierung bieten, </w:t>
      </w:r>
      <w:r w:rsidRPr="004832F9">
        <w:t>beispielsweise</w:t>
      </w:r>
    </w:p>
    <w:p w14:paraId="57A7E895" w14:textId="127B3B1D" w:rsidR="0077385B" w:rsidRDefault="0077385B">
      <w:pPr>
        <w:pStyle w:val="Listenabsatz"/>
        <w:numPr>
          <w:ilvl w:val="0"/>
          <w:numId w:val="36"/>
        </w:numPr>
      </w:pPr>
      <w:r w:rsidRPr="004832F9">
        <w:t>finde</w:t>
      </w:r>
      <w:r w:rsidR="004F4854" w:rsidRPr="004832F9">
        <w:t>n</w:t>
      </w:r>
      <w:r>
        <w:t xml:space="preserve"> sich in Bewertungsportalen Angaben, welche </w:t>
      </w:r>
      <w:r w:rsidR="00AF2176" w:rsidRPr="00AF2176">
        <w:t>Patienten</w:t>
      </w:r>
      <w:r>
        <w:t xml:space="preserve"> </w:t>
      </w:r>
      <w:r w:rsidRPr="00AF2176">
        <w:t>in</w:t>
      </w:r>
      <w:r>
        <w:t xml:space="preserve"> welchem Zeitraum einen Aufenthalt </w:t>
      </w:r>
      <w:r w:rsidR="00AF2176">
        <w:t xml:space="preserve">in welchem Krankenhaus </w:t>
      </w:r>
      <w:r>
        <w:t>hatten,</w:t>
      </w:r>
    </w:p>
    <w:p w14:paraId="62607B8D" w14:textId="64738D84" w:rsidR="0077385B" w:rsidRDefault="0077385B">
      <w:pPr>
        <w:pStyle w:val="Listenabsatz"/>
        <w:numPr>
          <w:ilvl w:val="0"/>
          <w:numId w:val="36"/>
        </w:numPr>
        <w:spacing w:after="0"/>
        <w:ind w:left="714" w:hanging="357"/>
      </w:pPr>
      <w:r w:rsidRPr="004832F9">
        <w:t>in</w:t>
      </w:r>
      <w:r>
        <w:t xml:space="preserve"> Selbsthilfegruppen können Angaben gefunden werden, welche Personen welche Erkrankungen aufweisen.</w:t>
      </w:r>
    </w:p>
    <w:p w14:paraId="5C79D038" w14:textId="3B0B874F" w:rsidR="0077385B" w:rsidRDefault="0077385B" w:rsidP="007B24B9">
      <w:r>
        <w:t>Führt man beides zusammen</w:t>
      </w:r>
      <w:r w:rsidR="002559E5">
        <w:t xml:space="preserve"> (was durch heutige IT-Lösungen wie </w:t>
      </w:r>
      <w:r w:rsidR="002559E5" w:rsidRPr="00AF2176">
        <w:t>z.</w:t>
      </w:r>
      <w:r w:rsidR="00AF2176" w:rsidRPr="00AF2176">
        <w:t> </w:t>
      </w:r>
      <w:r w:rsidR="002559E5" w:rsidRPr="00AF2176">
        <w:t>B.</w:t>
      </w:r>
      <w:r w:rsidR="002559E5">
        <w:t xml:space="preserve"> </w:t>
      </w:r>
      <w:r w:rsidR="002559E5" w:rsidRPr="004832F9">
        <w:t>KI-Crawler</w:t>
      </w:r>
      <w:r w:rsidR="002559E5">
        <w:t xml:space="preserve"> sehr leicht möglich ist)</w:t>
      </w:r>
      <w:r>
        <w:t>, können darüber Datenbanken zum Abgleich erstellt werden. Einige Firmen biete</w:t>
      </w:r>
      <w:r w:rsidR="004F4854">
        <w:t>n</w:t>
      </w:r>
      <w:r>
        <w:t xml:space="preserve"> die Aufschlüsselung des eigenen genetischen Datensatzes an, die Sequenzierung wird dabei z. T. unter Selbstkostenpreis angeboten: </w:t>
      </w:r>
      <w:r w:rsidR="004832F9" w:rsidRPr="004832F9">
        <w:t>D</w:t>
      </w:r>
      <w:r w:rsidRPr="004832F9">
        <w:t>as</w:t>
      </w:r>
      <w:r>
        <w:t xml:space="preserve"> Geld wird damit verdient, dass die genetischen Daten Forschern verkauft werden, inklusive der Personendaten zwecks Kontaktaufnahme für Zwecke der Nacherhebung; der Vertrag, den die betroffenen </w:t>
      </w:r>
      <w:r w:rsidR="00AF2176" w:rsidRPr="00AF2176">
        <w:t>Personen</w:t>
      </w:r>
      <w:r>
        <w:t xml:space="preserve"> mit der jeweiligen Firma </w:t>
      </w:r>
      <w:r w:rsidR="00AF2176">
        <w:t>abschloss</w:t>
      </w:r>
      <w:r w:rsidR="004F4854">
        <w:t>en</w:t>
      </w:r>
      <w:r>
        <w:t>, sieht dies ausdrücklich vor.</w:t>
      </w:r>
      <w:r>
        <w:rPr>
          <w:rStyle w:val="Funotenzeichen"/>
        </w:rPr>
        <w:footnoteReference w:id="102"/>
      </w:r>
      <w:r w:rsidR="00831372">
        <w:t xml:space="preserve"> Auch sind genetische Daten nach Hackerangriffen auf entsprechende Firmen teilweise frei verfügbar im Internet/Darknet abrufbar.</w:t>
      </w:r>
      <w:r w:rsidR="00831372">
        <w:rPr>
          <w:rStyle w:val="Funotenzeichen"/>
        </w:rPr>
        <w:footnoteReference w:id="103"/>
      </w:r>
    </w:p>
    <w:p w14:paraId="69421BB0" w14:textId="59959D5A" w:rsidR="007B0423" w:rsidRDefault="007B0423" w:rsidP="007B0423">
      <w:r>
        <w:t xml:space="preserve">Was im Rahmen einer Risikobetrachtung jedoch </w:t>
      </w:r>
      <w:r w:rsidR="00497C33">
        <w:t>häufig übersehen</w:t>
      </w:r>
      <w:r>
        <w:t xml:space="preserve"> wird, ist, dass auch eine </w:t>
      </w:r>
      <w:r w:rsidR="00497C33">
        <w:t>f</w:t>
      </w:r>
      <w:r>
        <w:t>a</w:t>
      </w:r>
      <w:r w:rsidR="00497C33">
        <w:t>l</w:t>
      </w:r>
      <w:r>
        <w:t>sch</w:t>
      </w:r>
      <w:r w:rsidR="00497C33">
        <w:t xml:space="preserve">e </w:t>
      </w:r>
      <w:r>
        <w:t xml:space="preserve">Zuordnung von Daten zu einer Person ein Risiko für diese Person darstellen kann. Werden </w:t>
      </w:r>
      <w:r w:rsidR="00497C33">
        <w:t>D</w:t>
      </w:r>
      <w:r>
        <w:t xml:space="preserve">aten fälschlicherweise einer Person zugeordnet, so </w:t>
      </w:r>
      <w:r w:rsidR="00497C33">
        <w:t>kann ein Angreifer</w:t>
      </w:r>
      <w:r>
        <w:t xml:space="preserve"> anhand dieser Daten eine Person „erk</w:t>
      </w:r>
      <w:r w:rsidR="00497C33">
        <w:t>e</w:t>
      </w:r>
      <w:r>
        <w:t>nn</w:t>
      </w:r>
      <w:r w:rsidR="00497C33">
        <w:t>en</w:t>
      </w:r>
      <w:r>
        <w:t xml:space="preserve">“ und </w:t>
      </w:r>
      <w:r w:rsidR="00497C33">
        <w:t>davon ausgehen</w:t>
      </w:r>
      <w:r>
        <w:t xml:space="preserve">, dass diese Daten zu dieser Person gehören. </w:t>
      </w:r>
      <w:r w:rsidR="00497C33">
        <w:t>Diese falsche</w:t>
      </w:r>
      <w:r>
        <w:t xml:space="preserve"> Zuordnung kann für die Person, deren Daten vielleicht im ursprünglichen Datensatz gar nicht enthalten waren, </w:t>
      </w:r>
      <w:r w:rsidR="00497C33">
        <w:t xml:space="preserve">zu </w:t>
      </w:r>
      <w:r>
        <w:t>Probleme</w:t>
      </w:r>
      <w:r w:rsidR="00497C33">
        <w:t>n führen</w:t>
      </w:r>
      <w:r>
        <w:t>, z. B., weil ihr eine diskriminierende Erkrankung zugeschrieben und dies auch öffentlich bekannt gegeben wird.</w:t>
      </w:r>
    </w:p>
    <w:p w14:paraId="328B9CA5" w14:textId="4CC338C6" w:rsidR="007B0423" w:rsidRDefault="007B24B9" w:rsidP="007B24B9">
      <w:r>
        <w:t xml:space="preserve">Letztlich kann </w:t>
      </w:r>
      <w:r w:rsidR="0077385B">
        <w:t>auch bei einer Anonymisierung i. d. R.</w:t>
      </w:r>
      <w:r>
        <w:t xml:space="preserve"> nur die Wahrscheinlichkeit einer Re-Identifikation angegeben werden</w:t>
      </w:r>
      <w:r w:rsidR="00831372">
        <w:t>, d. h. ein gewisses Rest-Risiko für betroffene Personen, dass sie identifiziert werden können</w:t>
      </w:r>
      <w:r w:rsidR="007B0423">
        <w:t xml:space="preserve"> (oder ihnen aus einer Falsch-Erkennung Risiken</w:t>
      </w:r>
      <w:r w:rsidR="00497C33" w:rsidRPr="00497C33">
        <w:t xml:space="preserve"> </w:t>
      </w:r>
      <w:r w:rsidR="00497C33">
        <w:t>erwachsen können</w:t>
      </w:r>
      <w:r w:rsidR="007B0423">
        <w:t>)</w:t>
      </w:r>
      <w:r w:rsidR="00831372">
        <w:t xml:space="preserve">, wird trotz Anonymisierung </w:t>
      </w:r>
      <w:r w:rsidR="00497C33">
        <w:t>häufig bestehen bleiben</w:t>
      </w:r>
      <w:r>
        <w:t>. Bei der Betrachtung der Wahrscheinlichkeit einer Re-Identifikation muss ein Verantwortlicher jedoch alle Mittel berücksichtigen (siehe auch ErwGr. 26 DS-GVO), die von einer anderen (juristischen oder natürlichen) Person nach allgemeinem Ermessen wahrscheinlich genutzt werden könnte, um eine Re-Identifikation durchzuführen.</w:t>
      </w:r>
    </w:p>
    <w:p w14:paraId="3CDFD2A2" w14:textId="566C9873" w:rsidR="007B24B9" w:rsidRDefault="007B24B9" w:rsidP="007B24B9">
      <w:pPr>
        <w:spacing w:after="0"/>
      </w:pPr>
      <w:r w:rsidRPr="004C1658">
        <w:t>Hinsichtlich de</w:t>
      </w:r>
      <w:r w:rsidR="004C1658" w:rsidRPr="004C1658">
        <w:t>s</w:t>
      </w:r>
      <w:r w:rsidRPr="004C1658">
        <w:t xml:space="preserve"> Faktor</w:t>
      </w:r>
      <w:r w:rsidR="004C1658" w:rsidRPr="004C1658">
        <w:t>s</w:t>
      </w:r>
      <w:r>
        <w:t xml:space="preserve"> „nach allgemeinem Ermessen wahrscheinlich genutzt werden“ wird in der Literatur</w:t>
      </w:r>
      <w:r>
        <w:rPr>
          <w:rStyle w:val="Funotenanker"/>
        </w:rPr>
        <w:footnoteReference w:id="104"/>
      </w:r>
      <w:r>
        <w:t xml:space="preserve"> angeführt, dass man mindestens zwei Aspekte bewerten muss:</w:t>
      </w:r>
    </w:p>
    <w:p w14:paraId="71A0534F" w14:textId="4DD9BB30" w:rsidR="007B24B9" w:rsidRDefault="007B24B9" w:rsidP="007B24B9">
      <w:pPr>
        <w:numPr>
          <w:ilvl w:val="0"/>
          <w:numId w:val="27"/>
        </w:numPr>
        <w:spacing w:after="198"/>
        <w:contextualSpacing/>
      </w:pPr>
      <w:r>
        <w:t xml:space="preserve">Ist eine Re-Identifizierung für den </w:t>
      </w:r>
      <w:r w:rsidR="004C1658" w:rsidRPr="004C1658">
        <w:t>potenziellen</w:t>
      </w:r>
      <w:r>
        <w:t xml:space="preserve"> Angreifer rechtlich zulässig? Die Argumentation läuft dahingehend, dass eine Re-Identifikation nicht „vernünftigerweise“</w:t>
      </w:r>
      <w:r>
        <w:rPr>
          <w:rStyle w:val="Funotenanker"/>
        </w:rPr>
        <w:footnoteReference w:id="105"/>
      </w:r>
      <w:r>
        <w:t xml:space="preserve"> zur Bestimmung einer natürlichen Person eingesetzt w</w:t>
      </w:r>
      <w:r w:rsidR="004F4854">
        <w:t>i</w:t>
      </w:r>
      <w:r>
        <w:t>rd, wenn die Identifizierung der Person gesetzlich verboten ist.</w:t>
      </w:r>
    </w:p>
    <w:p w14:paraId="2EA90253" w14:textId="7A96B796" w:rsidR="007B24B9" w:rsidRDefault="007B24B9" w:rsidP="007B24B9">
      <w:pPr>
        <w:spacing w:after="198"/>
        <w:ind w:left="754"/>
        <w:contextualSpacing/>
      </w:pPr>
      <w:r>
        <w:t xml:space="preserve">Hier muss natürlich betrachtet werden, aus welchem Land ein </w:t>
      </w:r>
      <w:r w:rsidR="004C1658" w:rsidRPr="004C1658">
        <w:t>potenzieller</w:t>
      </w:r>
      <w:r>
        <w:t xml:space="preserve"> Angreifer heraus beabsichtigt, eine Re-Identifikation durchzuführen. </w:t>
      </w:r>
      <w:r w:rsidR="00F37D05">
        <w:t xml:space="preserve">Wenn </w:t>
      </w:r>
      <w:r>
        <w:t>deutsches Recht für den Angreifer nicht anwendbar ist, kann dies für den Angreifer auch keine Schranke darstellen; es muss daher immer das Recht des Landes – oder der Länder - betrachtet werden, aus welchem der Angreifer wahrscheinlich agieren würde.</w:t>
      </w:r>
    </w:p>
    <w:p w14:paraId="24CAF11D" w14:textId="60658D1A" w:rsidR="007B24B9" w:rsidRDefault="007B24B9" w:rsidP="007B24B9">
      <w:pPr>
        <w:numPr>
          <w:ilvl w:val="0"/>
          <w:numId w:val="27"/>
        </w:numPr>
        <w:spacing w:after="198"/>
        <w:contextualSpacing/>
      </w:pPr>
      <w:r>
        <w:t>Ist eine Re-Identifikation praktisch nicht durchführbar? Als ein Beispiel wird hier regelmäßig ein „unverhältnismäßiger Aufwand an Zeit, Kosten und Arbeitskräften“ angeführt, der eine praktische Durchführbarkeit einer Re-Identifikation verhindern würde.</w:t>
      </w:r>
    </w:p>
    <w:p w14:paraId="1890998A" w14:textId="77777777" w:rsidR="007B24B9" w:rsidRDefault="007B24B9" w:rsidP="007B24B9">
      <w:pPr>
        <w:spacing w:after="198"/>
        <w:ind w:left="754"/>
        <w:contextualSpacing/>
      </w:pPr>
      <w:r>
        <w:t>Auch hier muss die Beurteilung einer „Unverhältnismäßigkeit“ aus Sicht des Angreifers erfolgen. Eine persönliche Motivation kann beispielsweise aus Sicht eines Angreifers einen ganz anderen Einsatz an „Zeit, Kosten und Arbeitskräften“ rechtfertigen als eine Gewinnabsicht.</w:t>
      </w:r>
    </w:p>
    <w:p w14:paraId="7E5EF8DA" w14:textId="6BE09E92" w:rsidR="007B24B9" w:rsidRDefault="007B24B9" w:rsidP="007B24B9">
      <w:r>
        <w:t xml:space="preserve">„Vernünftigerweise“ wird dabei aus Rn. 49 </w:t>
      </w:r>
      <w:r w:rsidRPr="004C1658">
        <w:t>des Breyer-Urteil</w:t>
      </w:r>
      <w:r w:rsidR="00D97F03">
        <w:t>s</w:t>
      </w:r>
      <w:r>
        <w:t xml:space="preserve"> des EuGH abgeleitet, wobei der EuGH die Nutzung von „vernünftigerweise“ wiederum aus ErwGr. 26 Richtlinie 95/46 ableitet. In ErwGr. 26 DS-GVO findet sich statt „vernünftig“ der Begriff „wahrscheinlich"; ob angesichts der heute gängigen Cyber-Angriffe der Bezug von „rechtlich erlaubt“ unter dem Begriff „wahrscheinlich“ seitens EuGH weiterhin Bestand haben würde, ist sicherlich ein Diskussionspunkt.</w:t>
      </w:r>
    </w:p>
    <w:p w14:paraId="1C7DCC77" w14:textId="77777777" w:rsidR="007B24B9" w:rsidRDefault="007B24B9" w:rsidP="007B24B9">
      <w:r>
        <w:t>ErwGr. 26 DS-GVO fordert hinsichtlich der Bewertung des Faktors „nach allgemeinem Ermessen wahrscheinlich genutzt werden“, dass alle „objektiven Faktoren“ herangezogen werden. Als zwei Beispiele für objektive Faktoren nennt ErwGr. 26 DS-GVO die Kosten der Identifizierung und der dafür erforderliche Zeitaufwand.</w:t>
      </w:r>
    </w:p>
    <w:p w14:paraId="2119C215" w14:textId="77777777" w:rsidR="007B24B9" w:rsidRDefault="007B24B9" w:rsidP="007B24B9">
      <w:r>
        <w:t>Letztlich muss also auch unter Berücksichtigung von ErwGr. 26 DS-GVO betrachtet werden, wie wahrscheinlich eine Identifikation betroffener Personen ist, sowohl bei der Bewertung der Wirksamkeit einer Pseudonymisierung als auch der einer Anonymisierung.</w:t>
      </w:r>
    </w:p>
    <w:p w14:paraId="743752BA" w14:textId="77777777" w:rsidR="007B24B9" w:rsidRDefault="007B24B9" w:rsidP="007B24B9">
      <w:pPr>
        <w:spacing w:after="0"/>
      </w:pPr>
      <w:r>
        <w:t>Diesen risikobasierten Ansatz vertreten auch die Aufsichtsbehörden in ihrer Leitlinie 04/2020</w:t>
      </w:r>
      <w:r>
        <w:rPr>
          <w:rStyle w:val="Funotenanker"/>
        </w:rPr>
        <w:footnoteReference w:id="106"/>
      </w:r>
      <w:r>
        <w:t xml:space="preserve"> „für die Verwendung von Standortdaten und Tools zur Kontaktnachverfolgung im Zusammenhang mit dem Ausbruch von COVID-19“. In Rn. 15 der Leitlinie 04/2020 findet </w:t>
      </w:r>
      <w:r w:rsidRPr="004832F9">
        <w:t>sich</w:t>
      </w:r>
    </w:p>
    <w:p w14:paraId="096DA521" w14:textId="77777777" w:rsidR="007B24B9" w:rsidRDefault="007B24B9" w:rsidP="007B24B9">
      <w:pPr>
        <w:ind w:left="708"/>
      </w:pPr>
      <w:r>
        <w:t>„Unter Anonymisierung ist die Verwendung einer Reihe von Techniken zu verstehen, sodass diese Daten nur mit einem unverhältnismäßig hohen Aufwand einer bestimmten oder bestimmbaren natürlichen Person zugeordnet werden können. Diese Verhältnismäßigkeitsprüfung („</w:t>
      </w:r>
      <w:r w:rsidRPr="004832F9">
        <w:t>reasonability</w:t>
      </w:r>
      <w:r>
        <w:t xml:space="preserve"> test“) muss sowohl objektive Aspekte (Zeit, technische Mittel) als auch kontextuelle Elemente berücksichtigen, die von Fall zu Fall variieren können (Seltenheit eines Phänomens, einschließlich Bevölkerungsdichte, Art und Umfang der Daten). Wenn die Daten diese Prüfung nicht bestehen, so wurden sie nicht anonymisiert und fallen daher in den Anwendungsbereich der DS-GVO.“</w:t>
      </w:r>
    </w:p>
    <w:p w14:paraId="4E64AAB2" w14:textId="77777777" w:rsidR="007B24B9" w:rsidRDefault="007B24B9" w:rsidP="007B24B9">
      <w:pPr>
        <w:spacing w:after="0"/>
      </w:pPr>
      <w:r>
        <w:t>Rn. 16 Leitlinie 04/2020 ergänzt:</w:t>
      </w:r>
    </w:p>
    <w:p w14:paraId="06F541FD" w14:textId="0555371A" w:rsidR="007B24B9" w:rsidRDefault="007B24B9" w:rsidP="007B24B9">
      <w:pPr>
        <w:ind w:left="708"/>
      </w:pPr>
      <w:r>
        <w:t xml:space="preserve">„Für die Bewertung der Zuverlässigkeit des Anonymisierungsprozesses sind folgende drei Kriterien maßgeblich: (i) die datenbasierte Isolierung einer Einzelperson aus einer größeren Gruppe, (ii) die Verknüpfbarkeit zweier sich auf </w:t>
      </w:r>
      <w:r w:rsidRPr="004832F9">
        <w:t>ein</w:t>
      </w:r>
      <w:r>
        <w:t xml:space="preserve"> und dieselbe Person beziehender Datensätze und (iii) die mit hoher Genauigkeit erfolgende Herleitung bisher unbekannter Informationen über eine Einzelperson.“</w:t>
      </w:r>
    </w:p>
    <w:p w14:paraId="09F139CA" w14:textId="139AA822" w:rsidR="007B24B9" w:rsidRDefault="007B24B9" w:rsidP="007B24B9">
      <w:r>
        <w:t xml:space="preserve">Die Bewertung der Wirksamkeit einer </w:t>
      </w:r>
      <w:r w:rsidR="00723031">
        <w:t xml:space="preserve">Pseudonymisierung </w:t>
      </w:r>
      <w:r w:rsidR="004F4854">
        <w:t xml:space="preserve">wie auch einer Anonymisierung </w:t>
      </w:r>
      <w:r>
        <w:t>ist dabei kein einmaliges Ereignis, sondern muss für die gesamte Dauer der Verarbeitung erfolgen</w:t>
      </w:r>
      <w:r w:rsidR="00497C33">
        <w:t xml:space="preserve"> und entsprechend wiederholt erfolgen</w:t>
      </w:r>
      <w:r>
        <w:t>. ErwGr. 26 DS-GVO verlangt, dass „die zum Zeitpunkt der Verarbeitung verfügbare Technologie und technologische Entwicklungen“ berücksichtigt werden m</w:t>
      </w:r>
      <w:r w:rsidR="00B979F5">
        <w:t>ü</w:t>
      </w:r>
      <w:r>
        <w:t>ss</w:t>
      </w:r>
      <w:r w:rsidR="00B979F5">
        <w:t>en</w:t>
      </w:r>
      <w:r>
        <w:t>. Daraus folgt, dass für die gesamte Dauer der Verarbeitung anonymisierter Daten der Nachweis geführt werden muss, dass es sich um anonymisierte Daten handelt.</w:t>
      </w:r>
    </w:p>
    <w:p w14:paraId="0642BAAD" w14:textId="4ACE7DFF" w:rsidR="007B24B9" w:rsidRDefault="007B24B9" w:rsidP="007B24B9">
      <w:r>
        <w:t>Auch gemäß den Anforderungen von Art. 25 DS-GVO sind sowohl „zum Zeitpunkt der Festlegung der Mittel für die Verarbeitung [also der Planung der Verarbeitung] als auch zum Zeitpunkt der eigentlichen Verarbeitung geeignete technische und organisatorische Maßnahmen“ zu treffen, welche die Rechte der betroffenen Personen schützen. Weiterhin verlangt Art. 32 DS-GVO abhängig vom Risiko für die betroffenen Personen die Ergreifung geeigneter Maßnahmen zum Schutz der betroffenen Person.</w:t>
      </w:r>
    </w:p>
    <w:p w14:paraId="49002C7B" w14:textId="55499623" w:rsidR="007B24B9" w:rsidRDefault="007B24B9" w:rsidP="007B24B9">
      <w:pPr>
        <w:spacing w:after="198"/>
      </w:pPr>
      <w:r>
        <w:t>D. h., es muss zwingend das Risiko, welches durch eine Re-Identifikation für die betroffene Person existieren kann, für die gesamte Verarbeitungsdauer der anonymisierten Daten beurteilt werden.</w:t>
      </w:r>
      <w:r w:rsidR="00D37709">
        <w:rPr>
          <w:rStyle w:val="Funotenzeichen"/>
        </w:rPr>
        <w:footnoteReference w:id="107"/>
      </w:r>
    </w:p>
    <w:p w14:paraId="2EC866EE" w14:textId="6EF95A1D" w:rsidR="00347C0E" w:rsidRDefault="00000000">
      <w:pPr>
        <w:pStyle w:val="berschrift3"/>
        <w:spacing w:before="0"/>
      </w:pPr>
      <w:bookmarkStart w:id="176" w:name="_Ref151537241"/>
      <w:bookmarkStart w:id="177" w:name="_Toc154652645"/>
      <w:r>
        <w:t>Risikodarstellung</w:t>
      </w:r>
      <w:r w:rsidR="00347C0E">
        <w:t>: Bekannte Angriffsszenarien zur Re-Identifi</w:t>
      </w:r>
      <w:r w:rsidR="00497C33">
        <w:t>kation</w:t>
      </w:r>
      <w:bookmarkEnd w:id="176"/>
      <w:bookmarkEnd w:id="177"/>
    </w:p>
    <w:p w14:paraId="2BF65787" w14:textId="77777777" w:rsidR="00D8689E" w:rsidRDefault="00D8689E" w:rsidP="00D8689E">
      <w:pPr>
        <w:spacing w:after="100"/>
      </w:pPr>
      <w:r>
        <w:t>Entscheidend für die Beurteilung des Risikos ist bereits das Vorhandensein der abstrakten Möglichkeit zur Identifikation von Betroffenen. Dabei sind die wesentlichen Risikofaktoren für eine Re-Identifizierung statistische Strukturen und Zusatzwissen. Selbst wenn Datensätze hoch effektiv und nach den aktuellen kryptologischen Methoden geschützt sind, können statistische Auffälligkeiten dazu führen, dass ein Personenbezug - ggf. auch nur teilweise - wiederhergestellt werden kann. Dieses Risiko wird durch Verfügbarkeit von Zusatzwissen erheblich verstärkt.</w:t>
      </w:r>
    </w:p>
    <w:p w14:paraId="0E4FE441" w14:textId="2EEF10DD" w:rsidR="004C1658" w:rsidRPr="004C1658" w:rsidRDefault="004C1658" w:rsidP="004C1658">
      <w:pPr>
        <w:pStyle w:val="berschrift4"/>
      </w:pPr>
      <w:bookmarkStart w:id="178" w:name="_Toc154652646"/>
      <w:r w:rsidRPr="004C1658">
        <w:t>Aussondern („</w:t>
      </w:r>
      <w:r w:rsidRPr="004832F9">
        <w:t>singling</w:t>
      </w:r>
      <w:r w:rsidRPr="004C1658">
        <w:t xml:space="preserve"> out“)</w:t>
      </w:r>
      <w:bookmarkEnd w:id="178"/>
    </w:p>
    <w:p w14:paraId="29F4477D" w14:textId="22E2E7C8" w:rsidR="004C1658" w:rsidRPr="004C1658" w:rsidRDefault="004C1658" w:rsidP="004C1658">
      <w:pPr>
        <w:spacing w:after="100"/>
      </w:pPr>
      <w:r w:rsidRPr="004C1658">
        <w:t>Aussondern („</w:t>
      </w:r>
      <w:r w:rsidRPr="004832F9">
        <w:t>singling</w:t>
      </w:r>
      <w:r w:rsidRPr="004C1658">
        <w:t xml:space="preserve"> out“) wird in ErwGr. 26 S. 3 DS-GVO als ein Beispiel zur unerwünschten Re-Identifikation genannt, die Verantwortliche bei Pseudonymisierung oder auch Anonymisierung berücksichtigen müssen. Kann eine Person aus einem Datensatz ausgesondert (herausgefiltert) werden, so gilt diese Person als identifizierbar.</w:t>
      </w:r>
    </w:p>
    <w:p w14:paraId="1B6750E4" w14:textId="1B819210" w:rsidR="004C1658" w:rsidRPr="004C1658" w:rsidRDefault="004C1658" w:rsidP="004C1658">
      <w:pPr>
        <w:spacing w:after="100"/>
      </w:pPr>
      <w:r w:rsidRPr="004C1658">
        <w:t>Können Einzelpersonen herausgefiltert werden, so kann der Datensatz nur als pseudonym, aber nicht als anonym gelten.</w:t>
      </w:r>
    </w:p>
    <w:p w14:paraId="3000680D" w14:textId="77777777" w:rsidR="004C1658" w:rsidRPr="004C1658" w:rsidRDefault="004C1658" w:rsidP="004C1658">
      <w:pPr>
        <w:pStyle w:val="berschrift4"/>
      </w:pPr>
      <w:bookmarkStart w:id="179" w:name="_Toc154652647"/>
      <w:r w:rsidRPr="004C1658">
        <w:t>Inferenz</w:t>
      </w:r>
      <w:bookmarkEnd w:id="179"/>
    </w:p>
    <w:p w14:paraId="1AA48C06" w14:textId="0DCE15C2" w:rsidR="004C1658" w:rsidRPr="004C1658" w:rsidRDefault="004C1658" w:rsidP="004C1658">
      <w:r w:rsidRPr="004C1658">
        <w:t>Ist eine Inferenz möglich, so können Attributwerte abgeleitet und einer Person zugeordnet werden. Dadurch kann es geschehen, dass durch</w:t>
      </w:r>
      <w:r w:rsidR="00497C33">
        <w:t xml:space="preserve"> die</w:t>
      </w:r>
      <w:r w:rsidRPr="004C1658">
        <w:t xml:space="preserve"> Zuordnung mehrerer Attribute letztlich genau eine Person mit diesen Attributen resultiert und somit eine Person identifizierbar ist. </w:t>
      </w:r>
      <w:r w:rsidR="00497C33">
        <w:t>Wenn</w:t>
      </w:r>
      <w:r w:rsidRPr="004C1658">
        <w:t xml:space="preserve"> dies möglich</w:t>
      </w:r>
      <w:r w:rsidR="00497C33">
        <w:t xml:space="preserve"> ist</w:t>
      </w:r>
      <w:r w:rsidRPr="004C1658">
        <w:t xml:space="preserve">, kann ein Datensatz bestenfalls nur als pseudonym, aber nicht als anonym im Sinne </w:t>
      </w:r>
      <w:r w:rsidR="00497C33">
        <w:t xml:space="preserve">des Datenschutzes </w:t>
      </w:r>
      <w:r w:rsidRPr="004C1658">
        <w:t>angesehen werden.</w:t>
      </w:r>
    </w:p>
    <w:p w14:paraId="030536F1" w14:textId="1795245C" w:rsidR="00E4497D" w:rsidRDefault="00E4497D" w:rsidP="00D8689E">
      <w:pPr>
        <w:pStyle w:val="berschrift4"/>
      </w:pPr>
      <w:bookmarkStart w:id="180" w:name="_Toc154652648"/>
      <w:r w:rsidRPr="004832F9">
        <w:t>Unsorted</w:t>
      </w:r>
      <w:r w:rsidR="00176A64">
        <w:t xml:space="preserve"> </w:t>
      </w:r>
      <w:r w:rsidRPr="00E4497D">
        <w:t>Matching</w:t>
      </w:r>
      <w:r w:rsidR="00176A64">
        <w:t xml:space="preserve"> </w:t>
      </w:r>
      <w:r w:rsidRPr="00E4497D">
        <w:t>Angriff</w:t>
      </w:r>
      <w:bookmarkEnd w:id="180"/>
    </w:p>
    <w:p w14:paraId="5CD6F734" w14:textId="1C080F82" w:rsidR="00E4497D" w:rsidRDefault="00E4497D" w:rsidP="00E4497D">
      <w:r>
        <w:t xml:space="preserve">Bei der Durchführung einer </w:t>
      </w:r>
      <w:r w:rsidR="004C1658" w:rsidRPr="004C1658">
        <w:t>Anonymisierung</w:t>
      </w:r>
      <w:r>
        <w:t xml:space="preserve"> werden zwar einzelne, ausgewählte </w:t>
      </w:r>
      <w:r w:rsidR="004C1658" w:rsidRPr="004C1658">
        <w:t>W</w:t>
      </w:r>
      <w:r w:rsidRPr="004C1658">
        <w:t>erte</w:t>
      </w:r>
      <w:r>
        <w:t xml:space="preserve"> verarbeitet, jedoch bleibt oftmals die Reihenfolge erhalten. Selbst wenn in einer Tabelle </w:t>
      </w:r>
      <w:r w:rsidR="00B979F5">
        <w:t xml:space="preserve">die </w:t>
      </w:r>
      <w:r>
        <w:t>Reihenfolge verändert w</w:t>
      </w:r>
      <w:r w:rsidR="00B979F5">
        <w:t>i</w:t>
      </w:r>
      <w:r>
        <w:t>rd, bleiben die Referenzwerte zu anderen Tabellen (Fremdschlüssel) unverändert und bieten Möglichkeiten, die ursprüngliche Reihenfolge wieder herzustellen.</w:t>
      </w:r>
    </w:p>
    <w:p w14:paraId="7F9E5A7E" w14:textId="0D994D48" w:rsidR="00E4497D" w:rsidRDefault="00E4497D" w:rsidP="00E4497D">
      <w:pPr>
        <w:spacing w:after="0"/>
      </w:pPr>
      <w:r>
        <w:t>Ein Beispiel: Es existiert eine Tabelle mit Patientendaten:</w:t>
      </w:r>
    </w:p>
    <w:tbl>
      <w:tblPr>
        <w:tblW w:w="8647"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4"/>
        <w:gridCol w:w="1755"/>
        <w:gridCol w:w="1134"/>
        <w:gridCol w:w="1559"/>
        <w:gridCol w:w="851"/>
        <w:gridCol w:w="1984"/>
      </w:tblGrid>
      <w:tr w:rsidR="00E4497D" w14:paraId="7977B94F" w14:textId="77777777" w:rsidTr="009C4D24">
        <w:trPr>
          <w:trHeight w:val="315"/>
          <w:tblHeader/>
        </w:trPr>
        <w:tc>
          <w:tcPr>
            <w:tcW w:w="1364" w:type="dxa"/>
            <w:shd w:val="clear" w:color="auto" w:fill="auto"/>
            <w:vAlign w:val="center"/>
          </w:tcPr>
          <w:p w14:paraId="1886937E"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Vorname</w:t>
            </w:r>
          </w:p>
        </w:tc>
        <w:tc>
          <w:tcPr>
            <w:tcW w:w="1755" w:type="dxa"/>
            <w:shd w:val="clear" w:color="auto" w:fill="auto"/>
            <w:vAlign w:val="center"/>
          </w:tcPr>
          <w:p w14:paraId="7DD4FAAC"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Nachname</w:t>
            </w:r>
          </w:p>
        </w:tc>
        <w:tc>
          <w:tcPr>
            <w:tcW w:w="1134" w:type="dxa"/>
            <w:shd w:val="clear" w:color="auto" w:fill="auto"/>
            <w:vAlign w:val="center"/>
          </w:tcPr>
          <w:p w14:paraId="6EA197A3"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Geschlecht</w:t>
            </w:r>
          </w:p>
        </w:tc>
        <w:tc>
          <w:tcPr>
            <w:tcW w:w="1559" w:type="dxa"/>
            <w:shd w:val="clear" w:color="auto" w:fill="auto"/>
            <w:vAlign w:val="center"/>
          </w:tcPr>
          <w:p w14:paraId="48432B7F"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Geb.-Datum</w:t>
            </w:r>
          </w:p>
        </w:tc>
        <w:tc>
          <w:tcPr>
            <w:tcW w:w="851" w:type="dxa"/>
            <w:shd w:val="clear" w:color="auto" w:fill="auto"/>
            <w:vAlign w:val="center"/>
          </w:tcPr>
          <w:p w14:paraId="53E87489"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PLZ</w:t>
            </w:r>
          </w:p>
        </w:tc>
        <w:tc>
          <w:tcPr>
            <w:tcW w:w="1984" w:type="dxa"/>
          </w:tcPr>
          <w:p w14:paraId="17CB9DF7" w14:textId="77777777" w:rsidR="00E4497D" w:rsidRDefault="00E4497D" w:rsidP="009C4D24">
            <w:pPr>
              <w:widowControl w:val="0"/>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Diagnose</w:t>
            </w:r>
          </w:p>
        </w:tc>
      </w:tr>
      <w:tr w:rsidR="00E4497D" w14:paraId="5DEC56C2" w14:textId="77777777" w:rsidTr="009C4D24">
        <w:trPr>
          <w:trHeight w:val="315"/>
        </w:trPr>
        <w:tc>
          <w:tcPr>
            <w:tcW w:w="1364" w:type="dxa"/>
            <w:shd w:val="clear" w:color="auto" w:fill="auto"/>
          </w:tcPr>
          <w:p w14:paraId="010D0ED4"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Heike</w:t>
            </w:r>
          </w:p>
        </w:tc>
        <w:tc>
          <w:tcPr>
            <w:tcW w:w="1755" w:type="dxa"/>
            <w:shd w:val="clear" w:color="auto" w:fill="auto"/>
          </w:tcPr>
          <w:p w14:paraId="6CFE89B2"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Richter</w:t>
            </w:r>
          </w:p>
        </w:tc>
        <w:tc>
          <w:tcPr>
            <w:tcW w:w="1134" w:type="dxa"/>
            <w:shd w:val="clear" w:color="auto" w:fill="auto"/>
          </w:tcPr>
          <w:p w14:paraId="7BF551B8"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559" w:type="dxa"/>
            <w:shd w:val="clear" w:color="auto" w:fill="auto"/>
          </w:tcPr>
          <w:p w14:paraId="0D4D0658" w14:textId="77777777" w:rsidR="00E4497D" w:rsidRDefault="00E4497D"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11.05.1983</w:t>
            </w:r>
          </w:p>
        </w:tc>
        <w:tc>
          <w:tcPr>
            <w:tcW w:w="851" w:type="dxa"/>
            <w:shd w:val="clear" w:color="auto" w:fill="auto"/>
          </w:tcPr>
          <w:p w14:paraId="5EF9133E"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1984" w:type="dxa"/>
          </w:tcPr>
          <w:p w14:paraId="146410FC"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E4497D" w14:paraId="0418B4C1" w14:textId="77777777" w:rsidTr="009C4D24">
        <w:trPr>
          <w:trHeight w:val="315"/>
        </w:trPr>
        <w:tc>
          <w:tcPr>
            <w:tcW w:w="1364" w:type="dxa"/>
            <w:shd w:val="clear" w:color="auto" w:fill="auto"/>
          </w:tcPr>
          <w:p w14:paraId="4EC927B1"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Jan</w:t>
            </w:r>
          </w:p>
        </w:tc>
        <w:tc>
          <w:tcPr>
            <w:tcW w:w="1755" w:type="dxa"/>
            <w:shd w:val="clear" w:color="auto" w:fill="auto"/>
          </w:tcPr>
          <w:p w14:paraId="16049BA0"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Schröder</w:t>
            </w:r>
          </w:p>
        </w:tc>
        <w:tc>
          <w:tcPr>
            <w:tcW w:w="1134" w:type="dxa"/>
            <w:shd w:val="clear" w:color="auto" w:fill="auto"/>
          </w:tcPr>
          <w:p w14:paraId="49D3194C"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559" w:type="dxa"/>
            <w:shd w:val="clear" w:color="auto" w:fill="auto"/>
          </w:tcPr>
          <w:p w14:paraId="427E6016" w14:textId="77777777" w:rsidR="00E4497D" w:rsidRDefault="00E4497D"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03.12.1965</w:t>
            </w:r>
          </w:p>
        </w:tc>
        <w:tc>
          <w:tcPr>
            <w:tcW w:w="851" w:type="dxa"/>
            <w:shd w:val="clear" w:color="auto" w:fill="auto"/>
          </w:tcPr>
          <w:p w14:paraId="0538FFEA"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1984" w:type="dxa"/>
          </w:tcPr>
          <w:p w14:paraId="76BE7844"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Delirium</w:t>
            </w:r>
          </w:p>
        </w:tc>
      </w:tr>
      <w:tr w:rsidR="00E4497D" w14:paraId="08A90C6F" w14:textId="77777777" w:rsidTr="009C4D24">
        <w:trPr>
          <w:trHeight w:val="315"/>
        </w:trPr>
        <w:tc>
          <w:tcPr>
            <w:tcW w:w="1364" w:type="dxa"/>
            <w:shd w:val="clear" w:color="auto" w:fill="auto"/>
          </w:tcPr>
          <w:p w14:paraId="42DB00E4"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Hugo-Egon</w:t>
            </w:r>
          </w:p>
        </w:tc>
        <w:tc>
          <w:tcPr>
            <w:tcW w:w="1755" w:type="dxa"/>
            <w:shd w:val="clear" w:color="auto" w:fill="auto"/>
          </w:tcPr>
          <w:p w14:paraId="66BE0E2E"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Meyer</w:t>
            </w:r>
          </w:p>
        </w:tc>
        <w:tc>
          <w:tcPr>
            <w:tcW w:w="1134" w:type="dxa"/>
            <w:shd w:val="clear" w:color="auto" w:fill="auto"/>
          </w:tcPr>
          <w:p w14:paraId="2432F55F"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559" w:type="dxa"/>
            <w:shd w:val="clear" w:color="auto" w:fill="auto"/>
          </w:tcPr>
          <w:p w14:paraId="51FBFE40" w14:textId="77777777" w:rsidR="00E4497D" w:rsidRDefault="00E4497D"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27.08.1977</w:t>
            </w:r>
          </w:p>
        </w:tc>
        <w:tc>
          <w:tcPr>
            <w:tcW w:w="851" w:type="dxa"/>
            <w:shd w:val="clear" w:color="auto" w:fill="auto"/>
          </w:tcPr>
          <w:p w14:paraId="4B55B4B1"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10178</w:t>
            </w:r>
          </w:p>
        </w:tc>
        <w:tc>
          <w:tcPr>
            <w:tcW w:w="1984" w:type="dxa"/>
          </w:tcPr>
          <w:p w14:paraId="3201C32B"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E4497D" w14:paraId="2E71D3B2" w14:textId="77777777" w:rsidTr="009C4D24">
        <w:trPr>
          <w:trHeight w:val="315"/>
        </w:trPr>
        <w:tc>
          <w:tcPr>
            <w:tcW w:w="1364" w:type="dxa"/>
            <w:shd w:val="clear" w:color="auto" w:fill="auto"/>
          </w:tcPr>
          <w:p w14:paraId="584EC08F" w14:textId="77777777"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Eckbert</w:t>
            </w:r>
          </w:p>
        </w:tc>
        <w:tc>
          <w:tcPr>
            <w:tcW w:w="1755" w:type="dxa"/>
            <w:shd w:val="clear" w:color="auto" w:fill="auto"/>
          </w:tcPr>
          <w:p w14:paraId="603E1DAA" w14:textId="77777777"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Schneider</w:t>
            </w:r>
          </w:p>
        </w:tc>
        <w:tc>
          <w:tcPr>
            <w:tcW w:w="1134" w:type="dxa"/>
            <w:shd w:val="clear" w:color="auto" w:fill="auto"/>
          </w:tcPr>
          <w:p w14:paraId="4A04FC4B" w14:textId="77777777"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M</w:t>
            </w:r>
          </w:p>
        </w:tc>
        <w:tc>
          <w:tcPr>
            <w:tcW w:w="1559" w:type="dxa"/>
            <w:shd w:val="clear" w:color="auto" w:fill="auto"/>
          </w:tcPr>
          <w:p w14:paraId="3C4F948D" w14:textId="77777777" w:rsidR="00E4497D" w:rsidRPr="00E4497D" w:rsidRDefault="00E4497D"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23.12.1981</w:t>
            </w:r>
          </w:p>
        </w:tc>
        <w:tc>
          <w:tcPr>
            <w:tcW w:w="851" w:type="dxa"/>
            <w:shd w:val="clear" w:color="auto" w:fill="auto"/>
          </w:tcPr>
          <w:p w14:paraId="5402ADC1" w14:textId="77777777"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10247</w:t>
            </w:r>
          </w:p>
        </w:tc>
        <w:tc>
          <w:tcPr>
            <w:tcW w:w="1984" w:type="dxa"/>
          </w:tcPr>
          <w:p w14:paraId="05D0985D"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r w:rsidR="00E4497D" w14:paraId="0B419DAC" w14:textId="77777777" w:rsidTr="009C4D24">
        <w:trPr>
          <w:trHeight w:val="315"/>
        </w:trPr>
        <w:tc>
          <w:tcPr>
            <w:tcW w:w="1364" w:type="dxa"/>
            <w:shd w:val="clear" w:color="auto" w:fill="auto"/>
          </w:tcPr>
          <w:p w14:paraId="5FD31812"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Frederike</w:t>
            </w:r>
          </w:p>
        </w:tc>
        <w:tc>
          <w:tcPr>
            <w:tcW w:w="1755" w:type="dxa"/>
            <w:shd w:val="clear" w:color="auto" w:fill="auto"/>
          </w:tcPr>
          <w:p w14:paraId="404F6486" w14:textId="77777777" w:rsidR="00E4497D" w:rsidRDefault="00E4497D" w:rsidP="009C4D24">
            <w:pPr>
              <w:widowControl w:val="0"/>
              <w:spacing w:after="0" w:line="240" w:lineRule="auto"/>
              <w:jc w:val="left"/>
              <w:rPr>
                <w:rFonts w:eastAsia="Times New Roman" w:cs="Times New Roman"/>
                <w:color w:val="000000"/>
                <w:sz w:val="20"/>
                <w:szCs w:val="20"/>
                <w:lang w:eastAsia="de-DE"/>
              </w:rPr>
            </w:pPr>
          </w:p>
        </w:tc>
        <w:tc>
          <w:tcPr>
            <w:tcW w:w="1134" w:type="dxa"/>
            <w:shd w:val="clear" w:color="auto" w:fill="auto"/>
          </w:tcPr>
          <w:p w14:paraId="40D0376E"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W</w:t>
            </w:r>
          </w:p>
        </w:tc>
        <w:tc>
          <w:tcPr>
            <w:tcW w:w="1559" w:type="dxa"/>
            <w:shd w:val="clear" w:color="auto" w:fill="auto"/>
          </w:tcPr>
          <w:p w14:paraId="0EEB4D22" w14:textId="77777777" w:rsidR="00E4497D" w:rsidRDefault="00E4497D"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03.12.1997</w:t>
            </w:r>
          </w:p>
        </w:tc>
        <w:tc>
          <w:tcPr>
            <w:tcW w:w="851" w:type="dxa"/>
            <w:shd w:val="clear" w:color="auto" w:fill="auto"/>
          </w:tcPr>
          <w:p w14:paraId="73FAC07B"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10249</w:t>
            </w:r>
          </w:p>
        </w:tc>
        <w:tc>
          <w:tcPr>
            <w:tcW w:w="1984" w:type="dxa"/>
          </w:tcPr>
          <w:p w14:paraId="75B7122F"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bl>
    <w:p w14:paraId="2767EF62" w14:textId="1AF23A2A" w:rsidR="00176A64" w:rsidRDefault="00176A64" w:rsidP="00176A64">
      <w:pPr>
        <w:pStyle w:val="Beschriftung"/>
        <w:ind w:left="567"/>
      </w:pPr>
      <w:bookmarkStart w:id="181" w:name="_Toc150540733"/>
      <w:bookmarkStart w:id="182" w:name="_Toc154606726"/>
      <w:r>
        <w:t xml:space="preserve">Tabelle </w:t>
      </w:r>
      <w:r w:rsidR="00000000">
        <w:fldChar w:fldCharType="begin"/>
      </w:r>
      <w:r w:rsidR="00000000">
        <w:instrText xml:space="preserve"> SEQ Tabelle \* ARABIC </w:instrText>
      </w:r>
      <w:r w:rsidR="00000000">
        <w:fldChar w:fldCharType="separate"/>
      </w:r>
      <w:r w:rsidR="00C9149F">
        <w:rPr>
          <w:noProof/>
        </w:rPr>
        <w:t>9</w:t>
      </w:r>
      <w:r w:rsidR="00000000">
        <w:rPr>
          <w:noProof/>
        </w:rPr>
        <w:fldChar w:fldCharType="end"/>
      </w:r>
      <w:r>
        <w:t>:</w:t>
      </w:r>
      <w:r>
        <w:rPr>
          <w:noProof/>
        </w:rPr>
        <w:t xml:space="preserve"> Patientendaten für Beispiel bei einem </w:t>
      </w:r>
      <w:r w:rsidRPr="004832F9">
        <w:rPr>
          <w:noProof/>
        </w:rPr>
        <w:t>Unsorted</w:t>
      </w:r>
      <w:r w:rsidRPr="00FC63BD">
        <w:rPr>
          <w:noProof/>
        </w:rPr>
        <w:t xml:space="preserve"> Matching</w:t>
      </w:r>
      <w:r>
        <w:rPr>
          <w:noProof/>
        </w:rPr>
        <w:t xml:space="preserve"> Angriff</w:t>
      </w:r>
      <w:bookmarkEnd w:id="181"/>
      <w:bookmarkEnd w:id="182"/>
    </w:p>
    <w:p w14:paraId="56E34064" w14:textId="561CBC12" w:rsidR="00E4497D" w:rsidRDefault="00E4497D" w:rsidP="00E4497D">
      <w:pPr>
        <w:spacing w:before="200" w:after="0"/>
        <w:ind w:left="567"/>
      </w:pPr>
      <w:r>
        <w:t>Die Tabelle wird in zwei Tabellen aufgeteilt:</w:t>
      </w:r>
    </w:p>
    <w:tbl>
      <w:tblPr>
        <w:tblW w:w="9781"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4"/>
        <w:gridCol w:w="1755"/>
        <w:gridCol w:w="1134"/>
        <w:gridCol w:w="1134"/>
        <w:gridCol w:w="1559"/>
        <w:gridCol w:w="851"/>
        <w:gridCol w:w="1984"/>
      </w:tblGrid>
      <w:tr w:rsidR="00E4497D" w14:paraId="3585DB19" w14:textId="77777777" w:rsidTr="00E4497D">
        <w:trPr>
          <w:trHeight w:val="315"/>
          <w:tblHeader/>
        </w:trPr>
        <w:tc>
          <w:tcPr>
            <w:tcW w:w="1364" w:type="dxa"/>
            <w:shd w:val="clear" w:color="auto" w:fill="auto"/>
            <w:vAlign w:val="center"/>
          </w:tcPr>
          <w:p w14:paraId="790BC018"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Vorname</w:t>
            </w:r>
          </w:p>
        </w:tc>
        <w:tc>
          <w:tcPr>
            <w:tcW w:w="1755" w:type="dxa"/>
            <w:tcBorders>
              <w:right w:val="single" w:sz="4" w:space="0" w:color="auto"/>
            </w:tcBorders>
            <w:shd w:val="clear" w:color="auto" w:fill="auto"/>
            <w:vAlign w:val="center"/>
          </w:tcPr>
          <w:p w14:paraId="52D54537"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Nachname</w:t>
            </w:r>
          </w:p>
        </w:tc>
        <w:tc>
          <w:tcPr>
            <w:tcW w:w="1134" w:type="dxa"/>
            <w:tcBorders>
              <w:top w:val="nil"/>
              <w:left w:val="single" w:sz="4" w:space="0" w:color="auto"/>
              <w:bottom w:val="nil"/>
              <w:right w:val="single" w:sz="4" w:space="0" w:color="auto"/>
            </w:tcBorders>
          </w:tcPr>
          <w:p w14:paraId="353332F1" w14:textId="77777777" w:rsidR="00E4497D" w:rsidRDefault="00E4497D" w:rsidP="009C4D24">
            <w:pPr>
              <w:widowControl w:val="0"/>
              <w:spacing w:after="0" w:line="240" w:lineRule="auto"/>
              <w:jc w:val="center"/>
              <w:rPr>
                <w:rFonts w:eastAsia="Times New Roman" w:cs="Times New Roman"/>
                <w:b/>
                <w:bCs/>
                <w:color w:val="000000"/>
                <w:sz w:val="20"/>
                <w:szCs w:val="20"/>
                <w:lang w:eastAsia="de-DE"/>
              </w:rPr>
            </w:pPr>
          </w:p>
        </w:tc>
        <w:tc>
          <w:tcPr>
            <w:tcW w:w="1134" w:type="dxa"/>
            <w:tcBorders>
              <w:left w:val="single" w:sz="4" w:space="0" w:color="auto"/>
            </w:tcBorders>
            <w:shd w:val="clear" w:color="auto" w:fill="auto"/>
            <w:vAlign w:val="center"/>
          </w:tcPr>
          <w:p w14:paraId="5ACD296B" w14:textId="65136C6B"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Geschlecht</w:t>
            </w:r>
          </w:p>
        </w:tc>
        <w:tc>
          <w:tcPr>
            <w:tcW w:w="1559" w:type="dxa"/>
            <w:shd w:val="clear" w:color="auto" w:fill="auto"/>
            <w:vAlign w:val="center"/>
          </w:tcPr>
          <w:p w14:paraId="0BBAD0EE"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Geb.-Datum</w:t>
            </w:r>
          </w:p>
        </w:tc>
        <w:tc>
          <w:tcPr>
            <w:tcW w:w="851" w:type="dxa"/>
            <w:shd w:val="clear" w:color="auto" w:fill="auto"/>
            <w:vAlign w:val="center"/>
          </w:tcPr>
          <w:p w14:paraId="18EDF2E2"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PLZ</w:t>
            </w:r>
          </w:p>
        </w:tc>
        <w:tc>
          <w:tcPr>
            <w:tcW w:w="1984" w:type="dxa"/>
          </w:tcPr>
          <w:p w14:paraId="7B8B9952" w14:textId="77777777" w:rsidR="00E4497D" w:rsidRDefault="00E4497D" w:rsidP="009C4D24">
            <w:pPr>
              <w:widowControl w:val="0"/>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Diagnose</w:t>
            </w:r>
          </w:p>
        </w:tc>
      </w:tr>
      <w:tr w:rsidR="00E4497D" w14:paraId="606FFD10" w14:textId="77777777" w:rsidTr="00E4497D">
        <w:trPr>
          <w:trHeight w:val="315"/>
        </w:trPr>
        <w:tc>
          <w:tcPr>
            <w:tcW w:w="1364" w:type="dxa"/>
            <w:shd w:val="clear" w:color="auto" w:fill="auto"/>
          </w:tcPr>
          <w:p w14:paraId="6B330EBE"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Heike</w:t>
            </w:r>
          </w:p>
        </w:tc>
        <w:tc>
          <w:tcPr>
            <w:tcW w:w="1755" w:type="dxa"/>
            <w:tcBorders>
              <w:right w:val="single" w:sz="4" w:space="0" w:color="auto"/>
            </w:tcBorders>
            <w:shd w:val="clear" w:color="auto" w:fill="auto"/>
          </w:tcPr>
          <w:p w14:paraId="20C985DD"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Richter</w:t>
            </w:r>
          </w:p>
        </w:tc>
        <w:tc>
          <w:tcPr>
            <w:tcW w:w="1134" w:type="dxa"/>
            <w:tcBorders>
              <w:top w:val="nil"/>
              <w:left w:val="single" w:sz="4" w:space="0" w:color="auto"/>
              <w:bottom w:val="nil"/>
              <w:right w:val="single" w:sz="4" w:space="0" w:color="auto"/>
            </w:tcBorders>
          </w:tcPr>
          <w:p w14:paraId="1EB1B641" w14:textId="5FB10813" w:rsidR="00E4497D" w:rsidRDefault="00E4497D" w:rsidP="00E4497D">
            <w:pPr>
              <w:widowControl w:val="0"/>
              <w:spacing w:after="0" w:line="240" w:lineRule="auto"/>
              <w:jc w:val="center"/>
              <w:rPr>
                <w:rFonts w:eastAsia="Times New Roman" w:cs="Times New Roman"/>
                <w:color w:val="000000"/>
                <w:sz w:val="20"/>
                <w:szCs w:val="20"/>
                <w:lang w:eastAsia="de-DE"/>
              </w:rPr>
            </w:pPr>
            <w:r>
              <w:rPr>
                <w:rFonts w:eastAsia="Times New Roman" w:cstheme="minorHAnsi"/>
                <w:color w:val="000000"/>
                <w:sz w:val="20"/>
                <w:szCs w:val="20"/>
                <w:lang w:eastAsia="de-DE"/>
              </w:rPr>
              <w:t>↔</w:t>
            </w:r>
          </w:p>
        </w:tc>
        <w:tc>
          <w:tcPr>
            <w:tcW w:w="1134" w:type="dxa"/>
            <w:tcBorders>
              <w:left w:val="single" w:sz="4" w:space="0" w:color="auto"/>
            </w:tcBorders>
            <w:shd w:val="clear" w:color="auto" w:fill="auto"/>
          </w:tcPr>
          <w:p w14:paraId="6E21260E" w14:textId="08361AE0"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559" w:type="dxa"/>
            <w:shd w:val="clear" w:color="auto" w:fill="auto"/>
          </w:tcPr>
          <w:p w14:paraId="08BDDED3" w14:textId="77777777" w:rsidR="00E4497D" w:rsidRDefault="00E4497D"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11.05.1983</w:t>
            </w:r>
          </w:p>
        </w:tc>
        <w:tc>
          <w:tcPr>
            <w:tcW w:w="851" w:type="dxa"/>
            <w:shd w:val="clear" w:color="auto" w:fill="auto"/>
          </w:tcPr>
          <w:p w14:paraId="771A0251"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1984" w:type="dxa"/>
          </w:tcPr>
          <w:p w14:paraId="3BD7CA13"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E4497D" w14:paraId="7F2F0F5D" w14:textId="77777777" w:rsidTr="00E4497D">
        <w:trPr>
          <w:trHeight w:val="315"/>
        </w:trPr>
        <w:tc>
          <w:tcPr>
            <w:tcW w:w="1364" w:type="dxa"/>
            <w:shd w:val="clear" w:color="auto" w:fill="auto"/>
          </w:tcPr>
          <w:p w14:paraId="434C3790"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Jan</w:t>
            </w:r>
          </w:p>
        </w:tc>
        <w:tc>
          <w:tcPr>
            <w:tcW w:w="1755" w:type="dxa"/>
            <w:tcBorders>
              <w:right w:val="single" w:sz="4" w:space="0" w:color="auto"/>
            </w:tcBorders>
            <w:shd w:val="clear" w:color="auto" w:fill="auto"/>
          </w:tcPr>
          <w:p w14:paraId="5DFC669A"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Schröder</w:t>
            </w:r>
          </w:p>
        </w:tc>
        <w:tc>
          <w:tcPr>
            <w:tcW w:w="1134" w:type="dxa"/>
            <w:tcBorders>
              <w:top w:val="nil"/>
              <w:left w:val="single" w:sz="4" w:space="0" w:color="auto"/>
              <w:bottom w:val="nil"/>
              <w:right w:val="single" w:sz="4" w:space="0" w:color="auto"/>
            </w:tcBorders>
          </w:tcPr>
          <w:p w14:paraId="5FCEC0E9" w14:textId="3161504D" w:rsidR="00E4497D" w:rsidRDefault="00E4497D" w:rsidP="00E4497D">
            <w:pPr>
              <w:widowControl w:val="0"/>
              <w:spacing w:after="0" w:line="240" w:lineRule="auto"/>
              <w:jc w:val="center"/>
              <w:rPr>
                <w:rFonts w:eastAsia="Times New Roman" w:cs="Times New Roman"/>
                <w:color w:val="000000"/>
                <w:sz w:val="20"/>
                <w:szCs w:val="20"/>
                <w:lang w:eastAsia="de-DE"/>
              </w:rPr>
            </w:pPr>
            <w:r>
              <w:rPr>
                <w:rFonts w:eastAsia="Times New Roman" w:cstheme="minorHAnsi"/>
                <w:color w:val="000000"/>
                <w:sz w:val="20"/>
                <w:szCs w:val="20"/>
                <w:lang w:eastAsia="de-DE"/>
              </w:rPr>
              <w:t>↔</w:t>
            </w:r>
          </w:p>
        </w:tc>
        <w:tc>
          <w:tcPr>
            <w:tcW w:w="1134" w:type="dxa"/>
            <w:tcBorders>
              <w:left w:val="single" w:sz="4" w:space="0" w:color="auto"/>
            </w:tcBorders>
            <w:shd w:val="clear" w:color="auto" w:fill="auto"/>
          </w:tcPr>
          <w:p w14:paraId="36F9133D" w14:textId="22A99BE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559" w:type="dxa"/>
            <w:shd w:val="clear" w:color="auto" w:fill="auto"/>
          </w:tcPr>
          <w:p w14:paraId="0C63D737" w14:textId="77777777" w:rsidR="00E4497D" w:rsidRDefault="00E4497D"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03.12.1965</w:t>
            </w:r>
          </w:p>
        </w:tc>
        <w:tc>
          <w:tcPr>
            <w:tcW w:w="851" w:type="dxa"/>
            <w:shd w:val="clear" w:color="auto" w:fill="auto"/>
          </w:tcPr>
          <w:p w14:paraId="6D441A77"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1984" w:type="dxa"/>
          </w:tcPr>
          <w:p w14:paraId="68B83DFD"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Delirium</w:t>
            </w:r>
          </w:p>
        </w:tc>
      </w:tr>
      <w:tr w:rsidR="00E4497D" w14:paraId="5A22EBA1" w14:textId="77777777" w:rsidTr="00E4497D">
        <w:trPr>
          <w:trHeight w:val="315"/>
        </w:trPr>
        <w:tc>
          <w:tcPr>
            <w:tcW w:w="1364" w:type="dxa"/>
            <w:shd w:val="clear" w:color="auto" w:fill="auto"/>
          </w:tcPr>
          <w:p w14:paraId="4B6D57AC"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Hugo-Egon</w:t>
            </w:r>
          </w:p>
        </w:tc>
        <w:tc>
          <w:tcPr>
            <w:tcW w:w="1755" w:type="dxa"/>
            <w:tcBorders>
              <w:right w:val="single" w:sz="4" w:space="0" w:color="auto"/>
            </w:tcBorders>
            <w:shd w:val="clear" w:color="auto" w:fill="auto"/>
          </w:tcPr>
          <w:p w14:paraId="3CC9491C"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Meyer</w:t>
            </w:r>
          </w:p>
        </w:tc>
        <w:tc>
          <w:tcPr>
            <w:tcW w:w="1134" w:type="dxa"/>
            <w:tcBorders>
              <w:top w:val="nil"/>
              <w:left w:val="single" w:sz="4" w:space="0" w:color="auto"/>
              <w:bottom w:val="nil"/>
              <w:right w:val="single" w:sz="4" w:space="0" w:color="auto"/>
            </w:tcBorders>
          </w:tcPr>
          <w:p w14:paraId="333591B9" w14:textId="7E663087" w:rsidR="00E4497D" w:rsidRDefault="00E4497D" w:rsidP="00E4497D">
            <w:pPr>
              <w:widowControl w:val="0"/>
              <w:spacing w:after="0" w:line="240" w:lineRule="auto"/>
              <w:jc w:val="center"/>
              <w:rPr>
                <w:rFonts w:eastAsia="Times New Roman" w:cs="Times New Roman"/>
                <w:color w:val="000000"/>
                <w:sz w:val="20"/>
                <w:szCs w:val="20"/>
                <w:lang w:eastAsia="de-DE"/>
              </w:rPr>
            </w:pPr>
            <w:r>
              <w:rPr>
                <w:rFonts w:eastAsia="Times New Roman" w:cstheme="minorHAnsi"/>
                <w:color w:val="000000"/>
                <w:sz w:val="20"/>
                <w:szCs w:val="20"/>
                <w:lang w:eastAsia="de-DE"/>
              </w:rPr>
              <w:t>↔</w:t>
            </w:r>
          </w:p>
        </w:tc>
        <w:tc>
          <w:tcPr>
            <w:tcW w:w="1134" w:type="dxa"/>
            <w:tcBorders>
              <w:left w:val="single" w:sz="4" w:space="0" w:color="auto"/>
            </w:tcBorders>
            <w:shd w:val="clear" w:color="auto" w:fill="auto"/>
          </w:tcPr>
          <w:p w14:paraId="11069908" w14:textId="19CB9C3D"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559" w:type="dxa"/>
            <w:shd w:val="clear" w:color="auto" w:fill="auto"/>
          </w:tcPr>
          <w:p w14:paraId="452983EC" w14:textId="77777777" w:rsidR="00E4497D" w:rsidRDefault="00E4497D"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27.08.1977</w:t>
            </w:r>
          </w:p>
        </w:tc>
        <w:tc>
          <w:tcPr>
            <w:tcW w:w="851" w:type="dxa"/>
            <w:shd w:val="clear" w:color="auto" w:fill="auto"/>
          </w:tcPr>
          <w:p w14:paraId="64B6E187"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10178</w:t>
            </w:r>
          </w:p>
        </w:tc>
        <w:tc>
          <w:tcPr>
            <w:tcW w:w="1984" w:type="dxa"/>
          </w:tcPr>
          <w:p w14:paraId="56F6EE5B"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E4497D" w14:paraId="5FD28EBB" w14:textId="77777777" w:rsidTr="00E4497D">
        <w:trPr>
          <w:trHeight w:val="315"/>
        </w:trPr>
        <w:tc>
          <w:tcPr>
            <w:tcW w:w="1364" w:type="dxa"/>
            <w:shd w:val="clear" w:color="auto" w:fill="auto"/>
          </w:tcPr>
          <w:p w14:paraId="08B65FC6" w14:textId="77777777"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Eckbert</w:t>
            </w:r>
          </w:p>
        </w:tc>
        <w:tc>
          <w:tcPr>
            <w:tcW w:w="1755" w:type="dxa"/>
            <w:tcBorders>
              <w:right w:val="single" w:sz="4" w:space="0" w:color="auto"/>
            </w:tcBorders>
            <w:shd w:val="clear" w:color="auto" w:fill="auto"/>
          </w:tcPr>
          <w:p w14:paraId="5784F210" w14:textId="77777777"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Schneider</w:t>
            </w:r>
          </w:p>
        </w:tc>
        <w:tc>
          <w:tcPr>
            <w:tcW w:w="1134" w:type="dxa"/>
            <w:tcBorders>
              <w:top w:val="nil"/>
              <w:left w:val="single" w:sz="4" w:space="0" w:color="auto"/>
              <w:bottom w:val="nil"/>
              <w:right w:val="single" w:sz="4" w:space="0" w:color="auto"/>
            </w:tcBorders>
          </w:tcPr>
          <w:p w14:paraId="6E5B024C" w14:textId="02A07262" w:rsidR="00E4497D" w:rsidRDefault="00E4497D" w:rsidP="00E4497D">
            <w:pPr>
              <w:widowControl w:val="0"/>
              <w:spacing w:after="0" w:line="240" w:lineRule="auto"/>
              <w:jc w:val="center"/>
              <w:rPr>
                <w:rFonts w:eastAsia="Times New Roman" w:cs="Times New Roman"/>
                <w:color w:val="000000"/>
                <w:sz w:val="20"/>
                <w:szCs w:val="20"/>
                <w:lang w:eastAsia="de-DE"/>
              </w:rPr>
            </w:pPr>
            <w:r>
              <w:rPr>
                <w:rFonts w:eastAsia="Times New Roman" w:cstheme="minorHAnsi"/>
                <w:color w:val="000000"/>
                <w:sz w:val="20"/>
                <w:szCs w:val="20"/>
                <w:lang w:eastAsia="de-DE"/>
              </w:rPr>
              <w:t>↔</w:t>
            </w:r>
          </w:p>
        </w:tc>
        <w:tc>
          <w:tcPr>
            <w:tcW w:w="1134" w:type="dxa"/>
            <w:tcBorders>
              <w:left w:val="single" w:sz="4" w:space="0" w:color="auto"/>
            </w:tcBorders>
            <w:shd w:val="clear" w:color="auto" w:fill="auto"/>
          </w:tcPr>
          <w:p w14:paraId="2247466D" w14:textId="29243D93"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M</w:t>
            </w:r>
          </w:p>
        </w:tc>
        <w:tc>
          <w:tcPr>
            <w:tcW w:w="1559" w:type="dxa"/>
            <w:shd w:val="clear" w:color="auto" w:fill="auto"/>
          </w:tcPr>
          <w:p w14:paraId="23658BAE" w14:textId="77777777" w:rsidR="00E4497D" w:rsidRPr="00E4497D" w:rsidRDefault="00E4497D"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23.12.1981</w:t>
            </w:r>
          </w:p>
        </w:tc>
        <w:tc>
          <w:tcPr>
            <w:tcW w:w="851" w:type="dxa"/>
            <w:shd w:val="clear" w:color="auto" w:fill="auto"/>
          </w:tcPr>
          <w:p w14:paraId="09AC6203" w14:textId="77777777"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10247</w:t>
            </w:r>
          </w:p>
        </w:tc>
        <w:tc>
          <w:tcPr>
            <w:tcW w:w="1984" w:type="dxa"/>
          </w:tcPr>
          <w:p w14:paraId="3538D1BA"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r w:rsidR="00E4497D" w14:paraId="15B8C752" w14:textId="77777777" w:rsidTr="00E4497D">
        <w:trPr>
          <w:trHeight w:val="315"/>
        </w:trPr>
        <w:tc>
          <w:tcPr>
            <w:tcW w:w="1364" w:type="dxa"/>
            <w:shd w:val="clear" w:color="auto" w:fill="auto"/>
          </w:tcPr>
          <w:p w14:paraId="2BBA84AF"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Frederike</w:t>
            </w:r>
          </w:p>
        </w:tc>
        <w:tc>
          <w:tcPr>
            <w:tcW w:w="1755" w:type="dxa"/>
            <w:tcBorders>
              <w:right w:val="single" w:sz="4" w:space="0" w:color="auto"/>
            </w:tcBorders>
            <w:shd w:val="clear" w:color="auto" w:fill="auto"/>
          </w:tcPr>
          <w:p w14:paraId="2D8104DE" w14:textId="77777777" w:rsidR="00E4497D" w:rsidRDefault="00E4497D" w:rsidP="009C4D24">
            <w:pPr>
              <w:widowControl w:val="0"/>
              <w:spacing w:after="0" w:line="240" w:lineRule="auto"/>
              <w:jc w:val="left"/>
              <w:rPr>
                <w:rFonts w:eastAsia="Times New Roman" w:cs="Times New Roman"/>
                <w:color w:val="000000"/>
                <w:sz w:val="20"/>
                <w:szCs w:val="20"/>
                <w:lang w:eastAsia="de-DE"/>
              </w:rPr>
            </w:pPr>
          </w:p>
        </w:tc>
        <w:tc>
          <w:tcPr>
            <w:tcW w:w="1134" w:type="dxa"/>
            <w:tcBorders>
              <w:top w:val="nil"/>
              <w:left w:val="single" w:sz="4" w:space="0" w:color="auto"/>
              <w:bottom w:val="nil"/>
              <w:right w:val="single" w:sz="4" w:space="0" w:color="auto"/>
            </w:tcBorders>
          </w:tcPr>
          <w:p w14:paraId="62F98524" w14:textId="065FDB1F" w:rsidR="00E4497D" w:rsidRDefault="00E4497D" w:rsidP="00E4497D">
            <w:pPr>
              <w:widowControl w:val="0"/>
              <w:spacing w:after="0" w:line="240" w:lineRule="auto"/>
              <w:jc w:val="center"/>
              <w:rPr>
                <w:rFonts w:eastAsia="Times New Roman" w:cs="Times New Roman"/>
                <w:color w:val="000000"/>
                <w:sz w:val="20"/>
                <w:szCs w:val="20"/>
                <w:lang w:eastAsia="de-DE"/>
              </w:rPr>
            </w:pPr>
            <w:r>
              <w:rPr>
                <w:rFonts w:eastAsia="Times New Roman" w:cstheme="minorHAnsi"/>
                <w:color w:val="000000"/>
                <w:sz w:val="20"/>
                <w:szCs w:val="20"/>
                <w:lang w:eastAsia="de-DE"/>
              </w:rPr>
              <w:t>↔</w:t>
            </w:r>
          </w:p>
        </w:tc>
        <w:tc>
          <w:tcPr>
            <w:tcW w:w="1134" w:type="dxa"/>
            <w:tcBorders>
              <w:left w:val="single" w:sz="4" w:space="0" w:color="auto"/>
            </w:tcBorders>
            <w:shd w:val="clear" w:color="auto" w:fill="auto"/>
          </w:tcPr>
          <w:p w14:paraId="49A48394" w14:textId="34740BE8" w:rsid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W</w:t>
            </w:r>
          </w:p>
        </w:tc>
        <w:tc>
          <w:tcPr>
            <w:tcW w:w="1559" w:type="dxa"/>
            <w:shd w:val="clear" w:color="auto" w:fill="auto"/>
          </w:tcPr>
          <w:p w14:paraId="475890D1" w14:textId="77777777" w:rsidR="00E4497D" w:rsidRDefault="00E4497D"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03.12.1997</w:t>
            </w:r>
          </w:p>
        </w:tc>
        <w:tc>
          <w:tcPr>
            <w:tcW w:w="851" w:type="dxa"/>
            <w:shd w:val="clear" w:color="auto" w:fill="auto"/>
          </w:tcPr>
          <w:p w14:paraId="2BB889C7"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10249</w:t>
            </w:r>
          </w:p>
        </w:tc>
        <w:tc>
          <w:tcPr>
            <w:tcW w:w="1984" w:type="dxa"/>
          </w:tcPr>
          <w:p w14:paraId="618A67B0"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bl>
    <w:p w14:paraId="123013EE" w14:textId="36B88319" w:rsidR="00176A64" w:rsidRDefault="00176A64" w:rsidP="00176A64">
      <w:pPr>
        <w:pStyle w:val="Beschriftung"/>
        <w:ind w:left="567"/>
      </w:pPr>
      <w:bookmarkStart w:id="183" w:name="_Toc150540734"/>
      <w:bookmarkStart w:id="184" w:name="_Toc154606727"/>
      <w:r>
        <w:t xml:space="preserve">Tabelle </w:t>
      </w:r>
      <w:r w:rsidR="00000000">
        <w:fldChar w:fldCharType="begin"/>
      </w:r>
      <w:r w:rsidR="00000000">
        <w:instrText xml:space="preserve"> SEQ Tabelle \* ARABIC </w:instrText>
      </w:r>
      <w:r w:rsidR="00000000">
        <w:fldChar w:fldCharType="separate"/>
      </w:r>
      <w:r w:rsidR="00C9149F">
        <w:rPr>
          <w:noProof/>
        </w:rPr>
        <w:t>10</w:t>
      </w:r>
      <w:r w:rsidR="00000000">
        <w:rPr>
          <w:noProof/>
        </w:rPr>
        <w:fldChar w:fldCharType="end"/>
      </w:r>
      <w:r>
        <w:t>:</w:t>
      </w:r>
      <w:r>
        <w:rPr>
          <w:noProof/>
        </w:rPr>
        <w:t xml:space="preserve"> Re-Identifikation durch einen </w:t>
      </w:r>
      <w:r w:rsidRPr="004832F9">
        <w:rPr>
          <w:noProof/>
        </w:rPr>
        <w:t>Unsorted</w:t>
      </w:r>
      <w:r w:rsidRPr="00176A64">
        <w:rPr>
          <w:noProof/>
        </w:rPr>
        <w:t xml:space="preserve"> Matching </w:t>
      </w:r>
      <w:r w:rsidRPr="004832F9">
        <w:rPr>
          <w:noProof/>
        </w:rPr>
        <w:t>Angriff</w:t>
      </w:r>
      <w:bookmarkEnd w:id="183"/>
      <w:bookmarkEnd w:id="184"/>
    </w:p>
    <w:p w14:paraId="141ADA12" w14:textId="2DD2FC91" w:rsidR="00E4497D" w:rsidRDefault="00E4497D" w:rsidP="00176A64">
      <w:pPr>
        <w:ind w:left="567"/>
      </w:pPr>
      <w:r>
        <w:t>Wer Zugriff auf beide Tabellen hat, kann aufgrund der Bekanntheit der Reihenfolge die Personen identifizieren.</w:t>
      </w:r>
    </w:p>
    <w:p w14:paraId="1746FDB5" w14:textId="77777777" w:rsidR="00176A64" w:rsidRDefault="00176A64" w:rsidP="00176A64">
      <w:pPr>
        <w:pStyle w:val="berschrift4"/>
      </w:pPr>
      <w:bookmarkStart w:id="185" w:name="_Toc154652649"/>
      <w:r w:rsidRPr="00E4497D">
        <w:t>Komplementärveröffentlichung</w:t>
      </w:r>
      <w:bookmarkEnd w:id="185"/>
    </w:p>
    <w:p w14:paraId="593E39E2" w14:textId="7D3EB339" w:rsidR="00E4497D" w:rsidRDefault="00176A64" w:rsidP="00E4497D">
      <w:r>
        <w:t>Auch aus Komplementärveröffentlichungen</w:t>
      </w:r>
      <w:r w:rsidR="00E4497D">
        <w:t>, d. h.</w:t>
      </w:r>
      <w:r>
        <w:t>,</w:t>
      </w:r>
      <w:r w:rsidR="00E4497D">
        <w:t xml:space="preserve"> wenn Daten aus einem Datensatz für zwei oder mehr Veröffentlichungen genutzt werden</w:t>
      </w:r>
      <w:r>
        <w:t xml:space="preserve">, können sich Möglichkeiten für </w:t>
      </w:r>
      <w:r w:rsidRPr="004C1658">
        <w:t>eine</w:t>
      </w:r>
      <w:r w:rsidR="004C1658" w:rsidRPr="004C1658">
        <w:t>n</w:t>
      </w:r>
      <w:r w:rsidRPr="004C1658">
        <w:t xml:space="preserve"> Angriff</w:t>
      </w:r>
      <w:r>
        <w:t xml:space="preserve"> auf die </w:t>
      </w:r>
      <w:r w:rsidR="005B1D56">
        <w:t>R</w:t>
      </w:r>
      <w:r w:rsidRPr="004C1658">
        <w:t>e-Identifikation</w:t>
      </w:r>
      <w:r>
        <w:t xml:space="preserve"> </w:t>
      </w:r>
      <w:r w:rsidR="005B1D56">
        <w:t>bieten</w:t>
      </w:r>
      <w:r w:rsidR="00E4497D">
        <w:t>.</w:t>
      </w:r>
    </w:p>
    <w:p w14:paraId="61CFD5E7" w14:textId="4C6D927E" w:rsidR="00E4497D" w:rsidRDefault="00E4497D" w:rsidP="00E4497D">
      <w:pPr>
        <w:spacing w:after="0"/>
        <w:ind w:left="567" w:hanging="567"/>
      </w:pPr>
      <w:r>
        <w:t>Beispiel: Die im ersten Beispiel dargestellten Patientendaten werden für zwei Publikationen genutzt:</w:t>
      </w:r>
    </w:p>
    <w:p w14:paraId="5316EA4C" w14:textId="2ABA9958" w:rsidR="00E4497D" w:rsidRDefault="00E4497D" w:rsidP="00E4497D">
      <w:pPr>
        <w:spacing w:before="200" w:after="0"/>
        <w:ind w:left="567"/>
      </w:pPr>
      <w:r>
        <w:t>In der ersten Publikation werden folgende Daten verwendet:</w:t>
      </w:r>
    </w:p>
    <w:tbl>
      <w:tblPr>
        <w:tblW w:w="666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4"/>
        <w:gridCol w:w="1203"/>
        <w:gridCol w:w="1276"/>
        <w:gridCol w:w="2410"/>
      </w:tblGrid>
      <w:tr w:rsidR="00E4497D" w14:paraId="174857C9" w14:textId="77777777" w:rsidTr="00E4497D">
        <w:trPr>
          <w:trHeight w:val="315"/>
          <w:tblHeader/>
        </w:trPr>
        <w:tc>
          <w:tcPr>
            <w:tcW w:w="1774" w:type="dxa"/>
            <w:shd w:val="clear" w:color="auto" w:fill="auto"/>
            <w:vAlign w:val="center"/>
          </w:tcPr>
          <w:p w14:paraId="54F2E927"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Geschlecht</w:t>
            </w:r>
          </w:p>
        </w:tc>
        <w:tc>
          <w:tcPr>
            <w:tcW w:w="1203" w:type="dxa"/>
            <w:shd w:val="clear" w:color="auto" w:fill="auto"/>
            <w:vAlign w:val="center"/>
          </w:tcPr>
          <w:p w14:paraId="05E7604D" w14:textId="32AFC4AA" w:rsidR="00E4497D" w:rsidRDefault="00176A64"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Geb.-Datum</w:t>
            </w:r>
          </w:p>
        </w:tc>
        <w:tc>
          <w:tcPr>
            <w:tcW w:w="1276" w:type="dxa"/>
            <w:shd w:val="clear" w:color="auto" w:fill="auto"/>
            <w:vAlign w:val="center"/>
          </w:tcPr>
          <w:p w14:paraId="1866295D"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PLZ</w:t>
            </w:r>
          </w:p>
        </w:tc>
        <w:tc>
          <w:tcPr>
            <w:tcW w:w="2410" w:type="dxa"/>
          </w:tcPr>
          <w:p w14:paraId="224DA1E3" w14:textId="77777777" w:rsidR="00E4497D" w:rsidRDefault="00E4497D" w:rsidP="009C4D24">
            <w:pPr>
              <w:widowControl w:val="0"/>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Diagnose</w:t>
            </w:r>
          </w:p>
        </w:tc>
      </w:tr>
      <w:tr w:rsidR="00176A64" w14:paraId="20A65B7C" w14:textId="77777777" w:rsidTr="00E4497D">
        <w:trPr>
          <w:trHeight w:val="315"/>
        </w:trPr>
        <w:tc>
          <w:tcPr>
            <w:tcW w:w="1774" w:type="dxa"/>
            <w:shd w:val="clear" w:color="auto" w:fill="auto"/>
          </w:tcPr>
          <w:p w14:paraId="4D5C7716" w14:textId="77777777" w:rsidR="00176A64" w:rsidRDefault="00176A64" w:rsidP="00176A6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203" w:type="dxa"/>
            <w:shd w:val="clear" w:color="auto" w:fill="auto"/>
          </w:tcPr>
          <w:p w14:paraId="6F516241" w14:textId="63AB7D5C" w:rsidR="00176A64" w:rsidRDefault="00176A64"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11.05.1983</w:t>
            </w:r>
          </w:p>
        </w:tc>
        <w:tc>
          <w:tcPr>
            <w:tcW w:w="1276" w:type="dxa"/>
            <w:shd w:val="clear" w:color="auto" w:fill="auto"/>
          </w:tcPr>
          <w:p w14:paraId="20333A99" w14:textId="77777777" w:rsidR="00176A64" w:rsidRDefault="00176A64" w:rsidP="00176A6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2410" w:type="dxa"/>
          </w:tcPr>
          <w:p w14:paraId="685BB11C" w14:textId="77777777" w:rsidR="00176A64"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176A64" w14:paraId="58F61090" w14:textId="77777777" w:rsidTr="00E4497D">
        <w:trPr>
          <w:trHeight w:val="315"/>
        </w:trPr>
        <w:tc>
          <w:tcPr>
            <w:tcW w:w="1774" w:type="dxa"/>
            <w:shd w:val="clear" w:color="auto" w:fill="auto"/>
          </w:tcPr>
          <w:p w14:paraId="2910757F" w14:textId="77777777" w:rsidR="00176A64" w:rsidRDefault="00176A64" w:rsidP="00176A6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203" w:type="dxa"/>
            <w:shd w:val="clear" w:color="auto" w:fill="auto"/>
          </w:tcPr>
          <w:p w14:paraId="77784D9E" w14:textId="0B3CD17A" w:rsidR="00176A64" w:rsidRDefault="00176A64"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03.12.1965</w:t>
            </w:r>
          </w:p>
        </w:tc>
        <w:tc>
          <w:tcPr>
            <w:tcW w:w="1276" w:type="dxa"/>
            <w:shd w:val="clear" w:color="auto" w:fill="auto"/>
          </w:tcPr>
          <w:p w14:paraId="5D46A759" w14:textId="77777777" w:rsidR="00176A64" w:rsidRDefault="00176A64" w:rsidP="00176A6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2410" w:type="dxa"/>
          </w:tcPr>
          <w:p w14:paraId="7A8EF265" w14:textId="77777777" w:rsidR="00176A64"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Delirium</w:t>
            </w:r>
          </w:p>
        </w:tc>
      </w:tr>
      <w:tr w:rsidR="00176A64" w14:paraId="0B63B336" w14:textId="77777777" w:rsidTr="00E4497D">
        <w:trPr>
          <w:trHeight w:val="315"/>
        </w:trPr>
        <w:tc>
          <w:tcPr>
            <w:tcW w:w="1774" w:type="dxa"/>
            <w:shd w:val="clear" w:color="auto" w:fill="auto"/>
          </w:tcPr>
          <w:p w14:paraId="72E65886" w14:textId="77777777" w:rsidR="00176A64" w:rsidRDefault="00176A64" w:rsidP="00176A6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203" w:type="dxa"/>
            <w:shd w:val="clear" w:color="auto" w:fill="auto"/>
          </w:tcPr>
          <w:p w14:paraId="09DF0252" w14:textId="36992D56" w:rsidR="00176A64" w:rsidRDefault="00176A64"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27.08.1977</w:t>
            </w:r>
          </w:p>
        </w:tc>
        <w:tc>
          <w:tcPr>
            <w:tcW w:w="1276" w:type="dxa"/>
            <w:shd w:val="clear" w:color="auto" w:fill="auto"/>
          </w:tcPr>
          <w:p w14:paraId="4B68BE28" w14:textId="77777777" w:rsidR="00176A64" w:rsidRDefault="00176A64" w:rsidP="00176A6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10178</w:t>
            </w:r>
          </w:p>
        </w:tc>
        <w:tc>
          <w:tcPr>
            <w:tcW w:w="2410" w:type="dxa"/>
          </w:tcPr>
          <w:p w14:paraId="0C53F17B" w14:textId="77777777" w:rsidR="00176A64"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176A64" w14:paraId="59B756FC" w14:textId="77777777" w:rsidTr="00E4497D">
        <w:trPr>
          <w:trHeight w:val="315"/>
        </w:trPr>
        <w:tc>
          <w:tcPr>
            <w:tcW w:w="1774" w:type="dxa"/>
            <w:shd w:val="clear" w:color="auto" w:fill="auto"/>
          </w:tcPr>
          <w:p w14:paraId="0ADEC296" w14:textId="77777777" w:rsidR="00176A64" w:rsidRPr="00E4497D"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M</w:t>
            </w:r>
          </w:p>
        </w:tc>
        <w:tc>
          <w:tcPr>
            <w:tcW w:w="1203" w:type="dxa"/>
            <w:shd w:val="clear" w:color="auto" w:fill="auto"/>
          </w:tcPr>
          <w:p w14:paraId="1EDBAF2A" w14:textId="48CD6527" w:rsidR="00176A64" w:rsidRPr="00E4497D" w:rsidRDefault="00176A64"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23.12.1981</w:t>
            </w:r>
          </w:p>
        </w:tc>
        <w:tc>
          <w:tcPr>
            <w:tcW w:w="1276" w:type="dxa"/>
            <w:shd w:val="clear" w:color="auto" w:fill="auto"/>
          </w:tcPr>
          <w:p w14:paraId="6CDB9A59" w14:textId="77777777" w:rsidR="00176A64" w:rsidRPr="00E4497D"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10247</w:t>
            </w:r>
          </w:p>
        </w:tc>
        <w:tc>
          <w:tcPr>
            <w:tcW w:w="2410" w:type="dxa"/>
          </w:tcPr>
          <w:p w14:paraId="3FBD3C19" w14:textId="77777777" w:rsidR="00176A64"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r w:rsidR="00176A64" w14:paraId="0462D6A3" w14:textId="77777777" w:rsidTr="00E4497D">
        <w:trPr>
          <w:trHeight w:val="315"/>
        </w:trPr>
        <w:tc>
          <w:tcPr>
            <w:tcW w:w="1774" w:type="dxa"/>
            <w:shd w:val="clear" w:color="auto" w:fill="auto"/>
          </w:tcPr>
          <w:p w14:paraId="6990DB75" w14:textId="77777777"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W</w:t>
            </w:r>
          </w:p>
        </w:tc>
        <w:tc>
          <w:tcPr>
            <w:tcW w:w="1203" w:type="dxa"/>
            <w:shd w:val="clear" w:color="auto" w:fill="auto"/>
          </w:tcPr>
          <w:p w14:paraId="75401681" w14:textId="5D9226FC" w:rsidR="00176A64" w:rsidRDefault="00176A64"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03.12.1997</w:t>
            </w:r>
          </w:p>
        </w:tc>
        <w:tc>
          <w:tcPr>
            <w:tcW w:w="1276" w:type="dxa"/>
            <w:shd w:val="clear" w:color="auto" w:fill="auto"/>
          </w:tcPr>
          <w:p w14:paraId="36AC4E7F" w14:textId="77777777"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10249</w:t>
            </w:r>
          </w:p>
        </w:tc>
        <w:tc>
          <w:tcPr>
            <w:tcW w:w="2410" w:type="dxa"/>
          </w:tcPr>
          <w:p w14:paraId="0B4C2CE4" w14:textId="77777777" w:rsidR="00176A64"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bl>
    <w:p w14:paraId="1EC17879" w14:textId="77777777" w:rsidR="00C9149F" w:rsidRDefault="00C9149F" w:rsidP="00E4497D">
      <w:pPr>
        <w:spacing w:before="200" w:after="0"/>
        <w:ind w:left="567"/>
      </w:pPr>
    </w:p>
    <w:p w14:paraId="0F36ECED" w14:textId="77777777" w:rsidR="00C9149F" w:rsidRDefault="00C9149F">
      <w:pPr>
        <w:spacing w:after="0" w:line="240" w:lineRule="auto"/>
        <w:jc w:val="left"/>
      </w:pPr>
      <w:r>
        <w:br w:type="page"/>
      </w:r>
    </w:p>
    <w:p w14:paraId="70D0C518" w14:textId="7F378003" w:rsidR="00E4497D" w:rsidRDefault="00E4497D" w:rsidP="00E4497D">
      <w:pPr>
        <w:spacing w:before="200" w:after="0"/>
        <w:ind w:left="567"/>
      </w:pPr>
      <w:r>
        <w:t>In der zweiten Publikation werden folgende Daten verwendet:</w:t>
      </w:r>
    </w:p>
    <w:tbl>
      <w:tblPr>
        <w:tblW w:w="488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1276"/>
        <w:gridCol w:w="2410"/>
      </w:tblGrid>
      <w:tr w:rsidR="00E4497D" w14:paraId="0AADA771" w14:textId="77777777" w:rsidTr="00E4497D">
        <w:trPr>
          <w:trHeight w:val="315"/>
          <w:tblHeader/>
        </w:trPr>
        <w:tc>
          <w:tcPr>
            <w:tcW w:w="1203" w:type="dxa"/>
            <w:shd w:val="clear" w:color="auto" w:fill="auto"/>
            <w:vAlign w:val="center"/>
          </w:tcPr>
          <w:p w14:paraId="1585271B"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Alter</w:t>
            </w:r>
          </w:p>
        </w:tc>
        <w:tc>
          <w:tcPr>
            <w:tcW w:w="1276" w:type="dxa"/>
            <w:shd w:val="clear" w:color="auto" w:fill="auto"/>
            <w:vAlign w:val="center"/>
          </w:tcPr>
          <w:p w14:paraId="303A02CA"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PLZ</w:t>
            </w:r>
          </w:p>
        </w:tc>
        <w:tc>
          <w:tcPr>
            <w:tcW w:w="2410" w:type="dxa"/>
          </w:tcPr>
          <w:p w14:paraId="3C89B9E7" w14:textId="77777777" w:rsidR="00E4497D" w:rsidRDefault="00E4497D" w:rsidP="009C4D24">
            <w:pPr>
              <w:widowControl w:val="0"/>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Diagnose</w:t>
            </w:r>
          </w:p>
        </w:tc>
      </w:tr>
      <w:tr w:rsidR="00E4497D" w14:paraId="6482CE3F" w14:textId="77777777" w:rsidTr="00E4497D">
        <w:trPr>
          <w:trHeight w:val="315"/>
        </w:trPr>
        <w:tc>
          <w:tcPr>
            <w:tcW w:w="1203" w:type="dxa"/>
            <w:shd w:val="clear" w:color="auto" w:fill="auto"/>
          </w:tcPr>
          <w:p w14:paraId="09F30CF6"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40</w:t>
            </w:r>
          </w:p>
        </w:tc>
        <w:tc>
          <w:tcPr>
            <w:tcW w:w="1276" w:type="dxa"/>
            <w:shd w:val="clear" w:color="auto" w:fill="auto"/>
          </w:tcPr>
          <w:p w14:paraId="4C44ECFE"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2410" w:type="dxa"/>
          </w:tcPr>
          <w:p w14:paraId="0B44ABE3"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E4497D" w14:paraId="7ACD9D0B" w14:textId="77777777" w:rsidTr="00E4497D">
        <w:trPr>
          <w:trHeight w:val="315"/>
        </w:trPr>
        <w:tc>
          <w:tcPr>
            <w:tcW w:w="1203" w:type="dxa"/>
            <w:shd w:val="clear" w:color="auto" w:fill="auto"/>
          </w:tcPr>
          <w:p w14:paraId="742641C7"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57</w:t>
            </w:r>
          </w:p>
        </w:tc>
        <w:tc>
          <w:tcPr>
            <w:tcW w:w="1276" w:type="dxa"/>
            <w:shd w:val="clear" w:color="auto" w:fill="auto"/>
          </w:tcPr>
          <w:p w14:paraId="7AB65EC8"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2410" w:type="dxa"/>
          </w:tcPr>
          <w:p w14:paraId="415F29A6"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Delirium</w:t>
            </w:r>
          </w:p>
        </w:tc>
      </w:tr>
      <w:tr w:rsidR="00E4497D" w14:paraId="3A2C851A" w14:textId="77777777" w:rsidTr="00E4497D">
        <w:trPr>
          <w:trHeight w:val="315"/>
        </w:trPr>
        <w:tc>
          <w:tcPr>
            <w:tcW w:w="1203" w:type="dxa"/>
            <w:shd w:val="clear" w:color="auto" w:fill="auto"/>
          </w:tcPr>
          <w:p w14:paraId="75AC3D22"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45</w:t>
            </w:r>
          </w:p>
        </w:tc>
        <w:tc>
          <w:tcPr>
            <w:tcW w:w="1276" w:type="dxa"/>
            <w:shd w:val="clear" w:color="auto" w:fill="auto"/>
          </w:tcPr>
          <w:p w14:paraId="6BB23962"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10178</w:t>
            </w:r>
          </w:p>
        </w:tc>
        <w:tc>
          <w:tcPr>
            <w:tcW w:w="2410" w:type="dxa"/>
          </w:tcPr>
          <w:p w14:paraId="2F506481"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E4497D" w14:paraId="7FAD82A6" w14:textId="77777777" w:rsidTr="00E4497D">
        <w:trPr>
          <w:trHeight w:val="315"/>
        </w:trPr>
        <w:tc>
          <w:tcPr>
            <w:tcW w:w="1203" w:type="dxa"/>
            <w:shd w:val="clear" w:color="auto" w:fill="auto"/>
          </w:tcPr>
          <w:p w14:paraId="305F4CB4" w14:textId="77777777"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41</w:t>
            </w:r>
          </w:p>
        </w:tc>
        <w:tc>
          <w:tcPr>
            <w:tcW w:w="1276" w:type="dxa"/>
            <w:shd w:val="clear" w:color="auto" w:fill="auto"/>
          </w:tcPr>
          <w:p w14:paraId="530E6F9A" w14:textId="77777777"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10247</w:t>
            </w:r>
          </w:p>
        </w:tc>
        <w:tc>
          <w:tcPr>
            <w:tcW w:w="2410" w:type="dxa"/>
          </w:tcPr>
          <w:p w14:paraId="6BDC5B75"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r w:rsidR="00E4497D" w14:paraId="36D4A18B" w14:textId="77777777" w:rsidTr="00E4497D">
        <w:trPr>
          <w:trHeight w:val="315"/>
        </w:trPr>
        <w:tc>
          <w:tcPr>
            <w:tcW w:w="1203" w:type="dxa"/>
            <w:shd w:val="clear" w:color="auto" w:fill="auto"/>
          </w:tcPr>
          <w:p w14:paraId="6BE7CF86"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25</w:t>
            </w:r>
          </w:p>
        </w:tc>
        <w:tc>
          <w:tcPr>
            <w:tcW w:w="1276" w:type="dxa"/>
            <w:shd w:val="clear" w:color="auto" w:fill="auto"/>
          </w:tcPr>
          <w:p w14:paraId="371144D0"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10249</w:t>
            </w:r>
          </w:p>
        </w:tc>
        <w:tc>
          <w:tcPr>
            <w:tcW w:w="2410" w:type="dxa"/>
          </w:tcPr>
          <w:p w14:paraId="2C89A03A"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bl>
    <w:p w14:paraId="42BDA3EE" w14:textId="3F916AD8" w:rsidR="00E4497D" w:rsidRDefault="00E4497D" w:rsidP="00497C33">
      <w:pPr>
        <w:spacing w:before="200"/>
        <w:ind w:left="567"/>
      </w:pPr>
      <w:r>
        <w:t xml:space="preserve">Auch wenn in Tabelle 2 das Geschlecht nicht angegeben wurde, kann das Geschlecht aus den Daten in der ersten Veröffentlichung abgeleitet werden. Weiterhin </w:t>
      </w:r>
      <w:r w:rsidR="00176A64">
        <w:t>lässt</w:t>
      </w:r>
      <w:r>
        <w:t xml:space="preserve"> sich der Behandlungszeitraum ableiten: In Publikation 1 ist das Geburtsdatum angegeben, in Publikation 2 das Alter zum Zeitpunkt der Behandlung.</w:t>
      </w:r>
    </w:p>
    <w:p w14:paraId="3EA26292" w14:textId="3C744E09" w:rsidR="00176A64" w:rsidRDefault="00176A64" w:rsidP="00E4497D">
      <w:pPr>
        <w:ind w:left="567"/>
      </w:pPr>
      <w:r>
        <w:t xml:space="preserve">Wird in mindestens einer der Komplementärveröffentlichungen noch der Behandlungszeitraum („…wurden in unserer Klinik im Zeitraum … behandelt …“) angegeben, was sehr häufig </w:t>
      </w:r>
      <w:r w:rsidR="005B1D56">
        <w:t>vorkommt</w:t>
      </w:r>
      <w:r>
        <w:t>, kann aus dem angegebenen Alter und dem Geburtsdatum auch das Behandlungsdatum abgeleitet werden.</w:t>
      </w:r>
    </w:p>
    <w:p w14:paraId="53E90D65" w14:textId="0457233A" w:rsidR="00E4497D" w:rsidRDefault="00E4497D" w:rsidP="00E4497D">
      <w:pPr>
        <w:ind w:left="567"/>
      </w:pPr>
      <w:r>
        <w:t xml:space="preserve">Bei alleiniger Betrachtung jeder einzelnen Tabelle sind die </w:t>
      </w:r>
      <w:r w:rsidR="00176A64">
        <w:t>D</w:t>
      </w:r>
      <w:r>
        <w:t>aten nicht verknüpfbar, aber</w:t>
      </w:r>
      <w:r w:rsidR="00176A64">
        <w:t xml:space="preserve"> </w:t>
      </w:r>
      <w:r>
        <w:t xml:space="preserve">mit dem </w:t>
      </w:r>
      <w:r w:rsidR="00176A64">
        <w:t>Z</w:t>
      </w:r>
      <w:r>
        <w:t>usatzwissen „identische Quelle“ ergeben sich als Wissen: Behandlung Ende 2022/ Anfang 2023 in Krankenhaus „</w:t>
      </w:r>
      <w:r w:rsidRPr="004832F9">
        <w:t>xy</w:t>
      </w:r>
      <w:r>
        <w:t>“ mit Diagnose „…“ usw.</w:t>
      </w:r>
      <w:r w:rsidR="00176A64">
        <w:t xml:space="preserve"> </w:t>
      </w:r>
    </w:p>
    <w:tbl>
      <w:tblPr>
        <w:tblW w:w="8931"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4"/>
        <w:gridCol w:w="1203"/>
        <w:gridCol w:w="1276"/>
        <w:gridCol w:w="2126"/>
        <w:gridCol w:w="709"/>
        <w:gridCol w:w="1843"/>
      </w:tblGrid>
      <w:tr w:rsidR="00176A64" w14:paraId="713C96F6" w14:textId="77777777" w:rsidTr="00176A64">
        <w:trPr>
          <w:trHeight w:val="315"/>
          <w:tblHeader/>
        </w:trPr>
        <w:tc>
          <w:tcPr>
            <w:tcW w:w="1774" w:type="dxa"/>
            <w:vAlign w:val="center"/>
          </w:tcPr>
          <w:p w14:paraId="40D5A974" w14:textId="4447737C" w:rsidR="00176A64" w:rsidRDefault="00176A64" w:rsidP="00176A64">
            <w:pPr>
              <w:widowControl w:val="0"/>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 xml:space="preserve">Behandelt </w:t>
            </w:r>
            <w:r w:rsidRPr="004832F9">
              <w:rPr>
                <w:rFonts w:eastAsia="Times New Roman" w:cs="Times New Roman"/>
                <w:b/>
                <w:bCs/>
                <w:color w:val="000000"/>
                <w:sz w:val="20"/>
                <w:szCs w:val="20"/>
                <w:lang w:eastAsia="de-DE"/>
              </w:rPr>
              <w:t>in</w:t>
            </w:r>
          </w:p>
        </w:tc>
        <w:tc>
          <w:tcPr>
            <w:tcW w:w="1203" w:type="dxa"/>
            <w:shd w:val="clear" w:color="auto" w:fill="auto"/>
            <w:vAlign w:val="center"/>
          </w:tcPr>
          <w:p w14:paraId="79694B2A" w14:textId="3A5DF03A" w:rsidR="00176A64" w:rsidRDefault="00176A64"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Geschlecht</w:t>
            </w:r>
          </w:p>
        </w:tc>
        <w:tc>
          <w:tcPr>
            <w:tcW w:w="1276" w:type="dxa"/>
            <w:shd w:val="clear" w:color="auto" w:fill="auto"/>
            <w:vAlign w:val="center"/>
          </w:tcPr>
          <w:p w14:paraId="5775813E" w14:textId="77777777" w:rsidR="00176A64" w:rsidRDefault="00176A64"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Geb.-Datum</w:t>
            </w:r>
          </w:p>
        </w:tc>
        <w:tc>
          <w:tcPr>
            <w:tcW w:w="2126" w:type="dxa"/>
          </w:tcPr>
          <w:p w14:paraId="41BEFE00" w14:textId="6A0E20E7" w:rsidR="00176A64" w:rsidRDefault="00176A64" w:rsidP="009C4D24">
            <w:pPr>
              <w:widowControl w:val="0"/>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Datum Behandlung</w:t>
            </w:r>
          </w:p>
        </w:tc>
        <w:tc>
          <w:tcPr>
            <w:tcW w:w="709" w:type="dxa"/>
            <w:shd w:val="clear" w:color="auto" w:fill="auto"/>
            <w:vAlign w:val="center"/>
          </w:tcPr>
          <w:p w14:paraId="51EC1272" w14:textId="61EFA5F8" w:rsidR="00176A64" w:rsidRDefault="00176A64"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PLZ</w:t>
            </w:r>
          </w:p>
        </w:tc>
        <w:tc>
          <w:tcPr>
            <w:tcW w:w="1843" w:type="dxa"/>
          </w:tcPr>
          <w:p w14:paraId="688C80F8" w14:textId="77777777" w:rsidR="00176A64" w:rsidRDefault="00176A64" w:rsidP="009C4D24">
            <w:pPr>
              <w:widowControl w:val="0"/>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Diagnose</w:t>
            </w:r>
          </w:p>
        </w:tc>
      </w:tr>
      <w:tr w:rsidR="00176A64" w14:paraId="5433BF3E" w14:textId="77777777" w:rsidTr="00176A64">
        <w:trPr>
          <w:trHeight w:val="315"/>
        </w:trPr>
        <w:tc>
          <w:tcPr>
            <w:tcW w:w="1774" w:type="dxa"/>
          </w:tcPr>
          <w:p w14:paraId="2B62F24B" w14:textId="1939DAF5" w:rsidR="00176A64" w:rsidRDefault="00176A64" w:rsidP="009C4D24">
            <w:pPr>
              <w:widowControl w:val="0"/>
              <w:spacing w:after="0" w:line="240" w:lineRule="auto"/>
              <w:jc w:val="left"/>
              <w:rPr>
                <w:rFonts w:eastAsia="Times New Roman" w:cs="Times New Roman"/>
                <w:color w:val="000000"/>
                <w:sz w:val="20"/>
                <w:szCs w:val="20"/>
                <w:lang w:eastAsia="de-DE"/>
              </w:rPr>
            </w:pPr>
            <w:r>
              <w:t>Krankenhaus „</w:t>
            </w:r>
            <w:r w:rsidRPr="004832F9">
              <w:t>xy</w:t>
            </w:r>
            <w:r>
              <w:t>“</w:t>
            </w:r>
          </w:p>
        </w:tc>
        <w:tc>
          <w:tcPr>
            <w:tcW w:w="1203" w:type="dxa"/>
            <w:shd w:val="clear" w:color="auto" w:fill="auto"/>
          </w:tcPr>
          <w:p w14:paraId="3C7858A6" w14:textId="5FD28C73" w:rsidR="00176A64" w:rsidRDefault="00176A64"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276" w:type="dxa"/>
            <w:shd w:val="clear" w:color="auto" w:fill="auto"/>
          </w:tcPr>
          <w:p w14:paraId="6FEDA6C1" w14:textId="77777777" w:rsidR="00176A64" w:rsidRDefault="00176A64"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11.05.1983</w:t>
            </w:r>
          </w:p>
        </w:tc>
        <w:tc>
          <w:tcPr>
            <w:tcW w:w="2126" w:type="dxa"/>
          </w:tcPr>
          <w:p w14:paraId="78305C4B" w14:textId="0A5380F5" w:rsidR="00176A64" w:rsidRDefault="00176A64" w:rsidP="00176A64">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Mai bis August 2023</w:t>
            </w:r>
          </w:p>
        </w:tc>
        <w:tc>
          <w:tcPr>
            <w:tcW w:w="709" w:type="dxa"/>
            <w:shd w:val="clear" w:color="auto" w:fill="auto"/>
          </w:tcPr>
          <w:p w14:paraId="0B231AC6" w14:textId="572316D9" w:rsidR="00176A64" w:rsidRDefault="00176A64"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1843" w:type="dxa"/>
          </w:tcPr>
          <w:p w14:paraId="5CC6DDB1" w14:textId="77777777" w:rsidR="00176A64" w:rsidRDefault="00176A64"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176A64" w14:paraId="49B514BC" w14:textId="77777777" w:rsidTr="00176A64">
        <w:trPr>
          <w:trHeight w:val="315"/>
        </w:trPr>
        <w:tc>
          <w:tcPr>
            <w:tcW w:w="1774" w:type="dxa"/>
          </w:tcPr>
          <w:p w14:paraId="2E41A0F2" w14:textId="067D2E52" w:rsidR="00176A64" w:rsidRDefault="00176A64" w:rsidP="009C4D24">
            <w:pPr>
              <w:widowControl w:val="0"/>
              <w:spacing w:after="0" w:line="240" w:lineRule="auto"/>
              <w:jc w:val="left"/>
              <w:rPr>
                <w:rFonts w:eastAsia="Times New Roman" w:cs="Times New Roman"/>
                <w:color w:val="000000"/>
                <w:sz w:val="20"/>
                <w:szCs w:val="20"/>
                <w:lang w:eastAsia="de-DE"/>
              </w:rPr>
            </w:pPr>
            <w:r>
              <w:t>Krankenhaus „</w:t>
            </w:r>
            <w:r w:rsidRPr="004832F9">
              <w:t>xy</w:t>
            </w:r>
            <w:r>
              <w:t>“</w:t>
            </w:r>
          </w:p>
        </w:tc>
        <w:tc>
          <w:tcPr>
            <w:tcW w:w="1203" w:type="dxa"/>
            <w:shd w:val="clear" w:color="auto" w:fill="auto"/>
          </w:tcPr>
          <w:p w14:paraId="603C9599" w14:textId="0DF5EAE9" w:rsidR="00176A64" w:rsidRDefault="00176A64"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276" w:type="dxa"/>
            <w:shd w:val="clear" w:color="auto" w:fill="auto"/>
          </w:tcPr>
          <w:p w14:paraId="0F43F3E3" w14:textId="77777777" w:rsidR="00176A64" w:rsidRDefault="00176A64"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03.12.1965</w:t>
            </w:r>
          </w:p>
        </w:tc>
        <w:tc>
          <w:tcPr>
            <w:tcW w:w="2126" w:type="dxa"/>
          </w:tcPr>
          <w:p w14:paraId="412C3A8B" w14:textId="491C48C1" w:rsidR="00176A64" w:rsidRDefault="00176A64" w:rsidP="00176A64">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Februar bis August 2023</w:t>
            </w:r>
          </w:p>
        </w:tc>
        <w:tc>
          <w:tcPr>
            <w:tcW w:w="709" w:type="dxa"/>
            <w:shd w:val="clear" w:color="auto" w:fill="auto"/>
          </w:tcPr>
          <w:p w14:paraId="3CF0151F" w14:textId="7251A4CD" w:rsidR="00176A64" w:rsidRDefault="00176A64"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10115</w:t>
            </w:r>
          </w:p>
        </w:tc>
        <w:tc>
          <w:tcPr>
            <w:tcW w:w="1843" w:type="dxa"/>
          </w:tcPr>
          <w:p w14:paraId="61670EF1" w14:textId="77777777" w:rsidR="00176A64" w:rsidRDefault="00176A64"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Delirium</w:t>
            </w:r>
          </w:p>
        </w:tc>
      </w:tr>
      <w:tr w:rsidR="00176A64" w14:paraId="44EC676A" w14:textId="77777777" w:rsidTr="00176A64">
        <w:trPr>
          <w:trHeight w:val="315"/>
        </w:trPr>
        <w:tc>
          <w:tcPr>
            <w:tcW w:w="1774" w:type="dxa"/>
          </w:tcPr>
          <w:p w14:paraId="69B9B502" w14:textId="41D17753" w:rsidR="00176A64" w:rsidRDefault="00176A64" w:rsidP="009C4D24">
            <w:pPr>
              <w:widowControl w:val="0"/>
              <w:spacing w:after="0" w:line="240" w:lineRule="auto"/>
              <w:jc w:val="left"/>
              <w:rPr>
                <w:rFonts w:eastAsia="Times New Roman" w:cs="Times New Roman"/>
                <w:color w:val="000000"/>
                <w:sz w:val="20"/>
                <w:szCs w:val="20"/>
                <w:lang w:eastAsia="de-DE"/>
              </w:rPr>
            </w:pPr>
            <w:r>
              <w:t>Krankenhaus „</w:t>
            </w:r>
            <w:r w:rsidRPr="004832F9">
              <w:t>xy</w:t>
            </w:r>
            <w:r>
              <w:t>“</w:t>
            </w:r>
          </w:p>
        </w:tc>
        <w:tc>
          <w:tcPr>
            <w:tcW w:w="1203" w:type="dxa"/>
            <w:shd w:val="clear" w:color="auto" w:fill="auto"/>
          </w:tcPr>
          <w:p w14:paraId="42E93A54" w14:textId="26C83583" w:rsidR="00176A64" w:rsidRDefault="00176A64"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276" w:type="dxa"/>
            <w:shd w:val="clear" w:color="auto" w:fill="auto"/>
          </w:tcPr>
          <w:p w14:paraId="086F6DAE" w14:textId="77777777" w:rsidR="00176A64" w:rsidRDefault="00176A64"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27.08.1977</w:t>
            </w:r>
          </w:p>
        </w:tc>
        <w:tc>
          <w:tcPr>
            <w:tcW w:w="2126" w:type="dxa"/>
          </w:tcPr>
          <w:p w14:paraId="0DBE400A" w14:textId="27B66C51" w:rsidR="00176A64" w:rsidRDefault="00176A64" w:rsidP="00176A64">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Februar bis August 2023</w:t>
            </w:r>
          </w:p>
        </w:tc>
        <w:tc>
          <w:tcPr>
            <w:tcW w:w="709" w:type="dxa"/>
            <w:shd w:val="clear" w:color="auto" w:fill="auto"/>
          </w:tcPr>
          <w:p w14:paraId="35CF526D" w14:textId="58CEB9E4" w:rsidR="00176A64" w:rsidRDefault="00176A64"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10178</w:t>
            </w:r>
          </w:p>
        </w:tc>
        <w:tc>
          <w:tcPr>
            <w:tcW w:w="1843" w:type="dxa"/>
          </w:tcPr>
          <w:p w14:paraId="6D99EB7F" w14:textId="77777777" w:rsidR="00176A64" w:rsidRDefault="00176A64"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176A64" w14:paraId="64A3C774" w14:textId="77777777" w:rsidTr="00176A64">
        <w:trPr>
          <w:trHeight w:val="315"/>
        </w:trPr>
        <w:tc>
          <w:tcPr>
            <w:tcW w:w="1774" w:type="dxa"/>
          </w:tcPr>
          <w:p w14:paraId="0F9DC212" w14:textId="40055939" w:rsidR="00176A64" w:rsidRDefault="00176A64" w:rsidP="009C4D24">
            <w:pPr>
              <w:widowControl w:val="0"/>
              <w:spacing w:after="0" w:line="240" w:lineRule="auto"/>
              <w:jc w:val="left"/>
              <w:rPr>
                <w:rFonts w:eastAsia="Times New Roman" w:cs="Times New Roman"/>
                <w:color w:val="000000"/>
                <w:sz w:val="20"/>
                <w:szCs w:val="20"/>
                <w:lang w:eastAsia="de-DE"/>
              </w:rPr>
            </w:pPr>
            <w:r>
              <w:t>Krankenhaus „</w:t>
            </w:r>
            <w:r w:rsidRPr="004832F9">
              <w:t>xy</w:t>
            </w:r>
            <w:r>
              <w:t>“</w:t>
            </w:r>
          </w:p>
        </w:tc>
        <w:tc>
          <w:tcPr>
            <w:tcW w:w="1203" w:type="dxa"/>
            <w:shd w:val="clear" w:color="auto" w:fill="auto"/>
          </w:tcPr>
          <w:p w14:paraId="3C482626" w14:textId="14620670" w:rsidR="00176A64" w:rsidRPr="00E4497D" w:rsidRDefault="00176A64"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M</w:t>
            </w:r>
          </w:p>
        </w:tc>
        <w:tc>
          <w:tcPr>
            <w:tcW w:w="1276" w:type="dxa"/>
            <w:shd w:val="clear" w:color="auto" w:fill="auto"/>
          </w:tcPr>
          <w:p w14:paraId="36EC5513" w14:textId="77777777" w:rsidR="00176A64" w:rsidRPr="00E4497D" w:rsidRDefault="00176A64"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23.12.1981</w:t>
            </w:r>
          </w:p>
        </w:tc>
        <w:tc>
          <w:tcPr>
            <w:tcW w:w="2126" w:type="dxa"/>
          </w:tcPr>
          <w:p w14:paraId="0BB93BD8" w14:textId="3570A158" w:rsidR="00176A64" w:rsidRDefault="00176A64" w:rsidP="00176A64">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Februar bis August 2023</w:t>
            </w:r>
          </w:p>
        </w:tc>
        <w:tc>
          <w:tcPr>
            <w:tcW w:w="709" w:type="dxa"/>
            <w:shd w:val="clear" w:color="auto" w:fill="auto"/>
          </w:tcPr>
          <w:p w14:paraId="23888881" w14:textId="56AB7BCD" w:rsidR="00176A64" w:rsidRPr="00E4497D" w:rsidRDefault="00176A64"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10247</w:t>
            </w:r>
          </w:p>
        </w:tc>
        <w:tc>
          <w:tcPr>
            <w:tcW w:w="1843" w:type="dxa"/>
          </w:tcPr>
          <w:p w14:paraId="47E98518" w14:textId="77777777" w:rsidR="00176A64" w:rsidRDefault="00176A64"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r w:rsidR="00176A64" w14:paraId="29D3056B" w14:textId="77777777" w:rsidTr="00176A64">
        <w:trPr>
          <w:trHeight w:val="315"/>
        </w:trPr>
        <w:tc>
          <w:tcPr>
            <w:tcW w:w="1774" w:type="dxa"/>
          </w:tcPr>
          <w:p w14:paraId="30541CF9" w14:textId="1CD16C3E" w:rsidR="00176A64" w:rsidRDefault="00176A64" w:rsidP="009C4D24">
            <w:pPr>
              <w:widowControl w:val="0"/>
              <w:spacing w:after="0" w:line="240" w:lineRule="auto"/>
              <w:jc w:val="left"/>
              <w:rPr>
                <w:rFonts w:eastAsia="Times New Roman" w:cs="Times New Roman"/>
                <w:color w:val="000000"/>
                <w:sz w:val="20"/>
                <w:szCs w:val="20"/>
                <w:lang w:eastAsia="de-DE"/>
              </w:rPr>
            </w:pPr>
            <w:r>
              <w:t>Krankenhaus „</w:t>
            </w:r>
            <w:r w:rsidRPr="004832F9">
              <w:t>xy</w:t>
            </w:r>
            <w:r>
              <w:t>“</w:t>
            </w:r>
          </w:p>
        </w:tc>
        <w:tc>
          <w:tcPr>
            <w:tcW w:w="1203" w:type="dxa"/>
            <w:shd w:val="clear" w:color="auto" w:fill="auto"/>
          </w:tcPr>
          <w:p w14:paraId="7A278FE5" w14:textId="322AD5AD" w:rsidR="00176A64" w:rsidRDefault="00176A64"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W</w:t>
            </w:r>
          </w:p>
        </w:tc>
        <w:tc>
          <w:tcPr>
            <w:tcW w:w="1276" w:type="dxa"/>
            <w:shd w:val="clear" w:color="auto" w:fill="auto"/>
          </w:tcPr>
          <w:p w14:paraId="5AC82D77" w14:textId="77777777" w:rsidR="00176A64" w:rsidRDefault="00176A64"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03.12.1997</w:t>
            </w:r>
          </w:p>
        </w:tc>
        <w:tc>
          <w:tcPr>
            <w:tcW w:w="2126" w:type="dxa"/>
          </w:tcPr>
          <w:p w14:paraId="281CB2AB" w14:textId="7A53D226" w:rsidR="00176A64" w:rsidRDefault="00176A64" w:rsidP="00176A64">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Februar bis August 2023</w:t>
            </w:r>
          </w:p>
        </w:tc>
        <w:tc>
          <w:tcPr>
            <w:tcW w:w="709" w:type="dxa"/>
            <w:shd w:val="clear" w:color="auto" w:fill="auto"/>
          </w:tcPr>
          <w:p w14:paraId="4C851003" w14:textId="5C39952C" w:rsidR="00176A64" w:rsidRDefault="00176A64"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10249</w:t>
            </w:r>
          </w:p>
        </w:tc>
        <w:tc>
          <w:tcPr>
            <w:tcW w:w="1843" w:type="dxa"/>
          </w:tcPr>
          <w:p w14:paraId="27C41E81" w14:textId="77777777" w:rsidR="00176A64" w:rsidRDefault="00176A64"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bl>
    <w:p w14:paraId="5FB7E9EF" w14:textId="11E9A745" w:rsidR="00176A64" w:rsidRDefault="00176A64" w:rsidP="00176A64">
      <w:pPr>
        <w:pStyle w:val="Beschriftung"/>
        <w:ind w:left="567"/>
      </w:pPr>
      <w:bookmarkStart w:id="186" w:name="_Toc150540735"/>
      <w:bookmarkStart w:id="187" w:name="_Toc154606728"/>
      <w:r>
        <w:t xml:space="preserve">Tabelle </w:t>
      </w:r>
      <w:r w:rsidR="00000000">
        <w:fldChar w:fldCharType="begin"/>
      </w:r>
      <w:r w:rsidR="00000000">
        <w:instrText xml:space="preserve"> SEQ Tabelle \* ARABIC </w:instrText>
      </w:r>
      <w:r w:rsidR="00000000">
        <w:fldChar w:fldCharType="separate"/>
      </w:r>
      <w:r w:rsidR="00C9149F">
        <w:rPr>
          <w:noProof/>
        </w:rPr>
        <w:t>11</w:t>
      </w:r>
      <w:r w:rsidR="00000000">
        <w:rPr>
          <w:noProof/>
        </w:rPr>
        <w:fldChar w:fldCharType="end"/>
      </w:r>
      <w:r>
        <w:t xml:space="preserve">: Datenanalyse bei einem Angriff unter Nutzung von </w:t>
      </w:r>
      <w:r w:rsidRPr="000E2F3F">
        <w:t>Komplementärveröffentlichung</w:t>
      </w:r>
      <w:r>
        <w:t>en</w:t>
      </w:r>
      <w:bookmarkEnd w:id="186"/>
      <w:bookmarkEnd w:id="187"/>
    </w:p>
    <w:p w14:paraId="5737C5AB" w14:textId="093F5832" w:rsidR="00176A64" w:rsidRDefault="00497C33" w:rsidP="00E4497D">
      <w:r>
        <w:t>Wenn</w:t>
      </w:r>
      <w:r w:rsidR="00E4497D">
        <w:t xml:space="preserve"> verschiedene Veröffentlichungen zu ein und demselben Datensatz </w:t>
      </w:r>
      <w:r>
        <w:t>existieren</w:t>
      </w:r>
      <w:r w:rsidR="00E4497D">
        <w:t xml:space="preserve">, bieten sich daraus </w:t>
      </w:r>
      <w:r>
        <w:t xml:space="preserve">derartige </w:t>
      </w:r>
      <w:r w:rsidR="00E4497D">
        <w:t xml:space="preserve">Angriffsmöglichkeiten. D. h. bei einer Pseudonymisierung bzw. Anonymisierung muss bei jeder Veröffentlichung bedacht werden, wie sich diese Veröffentlichung </w:t>
      </w:r>
      <w:r w:rsidR="004C1658" w:rsidRPr="004C1658">
        <w:t xml:space="preserve">und damit die Tatsache, dass diese Informationen </w:t>
      </w:r>
      <w:r w:rsidR="00E4497D" w:rsidRPr="004C1658">
        <w:t>zumindest für einen bestimmten Personenkreis</w:t>
      </w:r>
      <w:r w:rsidR="00E4497D">
        <w:t xml:space="preserve"> </w:t>
      </w:r>
      <w:r w:rsidR="004C1658">
        <w:t>als „</w:t>
      </w:r>
      <w:r w:rsidR="00E4497D">
        <w:t>öffentlich</w:t>
      </w:r>
      <w:r w:rsidR="004C1658">
        <w:t xml:space="preserve"> verfügbare</w:t>
      </w:r>
      <w:r w:rsidR="00B979F5">
        <w:t>“</w:t>
      </w:r>
      <w:r w:rsidR="004C1658">
        <w:t xml:space="preserve"> </w:t>
      </w:r>
      <w:r w:rsidR="00E4497D">
        <w:t xml:space="preserve">Informationen </w:t>
      </w:r>
      <w:r w:rsidR="004C1658">
        <w:t xml:space="preserve">anzusehen sind, </w:t>
      </w:r>
      <w:r w:rsidR="00E4497D">
        <w:t xml:space="preserve">auf die Bewertung </w:t>
      </w:r>
      <w:r w:rsidR="00E4497D" w:rsidRPr="004C1658">
        <w:t>hinsichtlich de</w:t>
      </w:r>
      <w:r w:rsidR="004C1658" w:rsidRPr="004C1658">
        <w:t>s Risikos einer</w:t>
      </w:r>
      <w:r w:rsidR="00E4497D" w:rsidRPr="004C1658">
        <w:t xml:space="preserve"> </w:t>
      </w:r>
      <w:r w:rsidR="004C1658" w:rsidRPr="004C1658">
        <w:t>R</w:t>
      </w:r>
      <w:r w:rsidR="00E4497D" w:rsidRPr="004C1658">
        <w:t>e-Identifikation</w:t>
      </w:r>
      <w:r w:rsidR="00E4497D">
        <w:t xml:space="preserve"> auswirken können.</w:t>
      </w:r>
    </w:p>
    <w:p w14:paraId="7F0019C3" w14:textId="1DBF4FFD" w:rsidR="00E4497D" w:rsidRPr="00E4497D" w:rsidRDefault="00E4497D" w:rsidP="00E4497D">
      <w:r>
        <w:t xml:space="preserve">Ggf. können </w:t>
      </w:r>
      <w:r w:rsidR="00176A64">
        <w:t xml:space="preserve">somit </w:t>
      </w:r>
      <w:r w:rsidRPr="004C1658">
        <w:t xml:space="preserve">aus </w:t>
      </w:r>
      <w:r w:rsidR="00176A64" w:rsidRPr="004C1658">
        <w:t xml:space="preserve">entsprechenden </w:t>
      </w:r>
      <w:r w:rsidRPr="004C1658">
        <w:t>Veröffentlichung</w:t>
      </w:r>
      <w:r w:rsidR="004C1658" w:rsidRPr="004C1658">
        <w:t>en</w:t>
      </w:r>
      <w:r>
        <w:t xml:space="preserve"> neue </w:t>
      </w:r>
      <w:r w:rsidR="00176A64">
        <w:t>(Sekundär-)</w:t>
      </w:r>
      <w:r>
        <w:t xml:space="preserve">Identifier entstehen, </w:t>
      </w:r>
      <w:r w:rsidR="00176A64">
        <w:t>welche</w:t>
      </w:r>
      <w:r>
        <w:t xml:space="preserve"> zusammen mit anderen Daten eine Re-Identifikation ermöglichen könnten.</w:t>
      </w:r>
    </w:p>
    <w:p w14:paraId="0B3E9A62" w14:textId="191CDADE" w:rsidR="00D8689E" w:rsidRDefault="00D8689E" w:rsidP="00D8689E">
      <w:pPr>
        <w:pStyle w:val="berschrift4"/>
      </w:pPr>
      <w:bookmarkStart w:id="188" w:name="_Ref149292604"/>
      <w:bookmarkStart w:id="189" w:name="_Toc154652650"/>
      <w:r>
        <w:t>„</w:t>
      </w:r>
      <w:r w:rsidRPr="004832F9">
        <w:t>Linkage-Attacke</w:t>
      </w:r>
      <w:r>
        <w:t>“</w:t>
      </w:r>
      <w:bookmarkEnd w:id="188"/>
      <w:bookmarkEnd w:id="189"/>
    </w:p>
    <w:p w14:paraId="7BB552D3" w14:textId="0DABD2B5" w:rsidR="00D8689E" w:rsidRDefault="00D8689E" w:rsidP="00D8689E">
      <w:pPr>
        <w:spacing w:after="100"/>
      </w:pPr>
      <w:r>
        <w:t>Bei der sog. „</w:t>
      </w:r>
      <w:r w:rsidRPr="004832F9">
        <w:t>Linkage-Attacke</w:t>
      </w:r>
      <w:r>
        <w:t>“ werden vorhandene pseudonymisierte oder anonymisierte Datensätze mit weiteren dem Angreifer bekannten Datensätzen zusammengeführt und existierende Korrelationen gesucht</w:t>
      </w:r>
      <w:r w:rsidR="00E4497D">
        <w:t xml:space="preserve">; der Angriff ähnelt darin dem </w:t>
      </w:r>
      <w:r w:rsidR="00E4497D" w:rsidRPr="004832F9">
        <w:t>Unsorted-Matching-Angriff</w:t>
      </w:r>
      <w:r w:rsidR="00E4497D">
        <w:t>. Bei diesem Angriff wird die Möglichkeit der Berechnung von statistischen Zusammenhängen ergänzend genutzt.</w:t>
      </w:r>
    </w:p>
    <w:p w14:paraId="0F919AD1" w14:textId="77777777" w:rsidR="00C9149F" w:rsidRDefault="00C9149F" w:rsidP="00D8689E">
      <w:pPr>
        <w:spacing w:after="100"/>
      </w:pPr>
    </w:p>
    <w:p w14:paraId="40166FCA" w14:textId="77777777" w:rsidR="00C9149F" w:rsidRDefault="00C9149F">
      <w:pPr>
        <w:spacing w:after="0" w:line="240" w:lineRule="auto"/>
        <w:jc w:val="left"/>
      </w:pPr>
      <w:r>
        <w:br w:type="page"/>
      </w:r>
    </w:p>
    <w:p w14:paraId="763775D0" w14:textId="2E745610" w:rsidR="00D8689E" w:rsidRDefault="00D8689E" w:rsidP="00D8689E">
      <w:pPr>
        <w:spacing w:after="0"/>
      </w:pPr>
      <w:r>
        <w:t>Beispiel: Die nachfolgende Tabelle scheint zunächst anonyme Daten zu enthalten.</w:t>
      </w:r>
    </w:p>
    <w:tbl>
      <w:tblPr>
        <w:tblW w:w="4410" w:type="dxa"/>
        <w:tblInd w:w="55" w:type="dxa"/>
        <w:tblLayout w:type="fixed"/>
        <w:tblCellMar>
          <w:left w:w="70" w:type="dxa"/>
          <w:right w:w="70" w:type="dxa"/>
        </w:tblCellMar>
        <w:tblLook w:val="04A0" w:firstRow="1" w:lastRow="0" w:firstColumn="1" w:lastColumn="0" w:noHBand="0" w:noVBand="1"/>
      </w:tblPr>
      <w:tblGrid>
        <w:gridCol w:w="1140"/>
        <w:gridCol w:w="1711"/>
        <w:gridCol w:w="850"/>
        <w:gridCol w:w="709"/>
      </w:tblGrid>
      <w:tr w:rsidR="00D8689E" w14:paraId="4FEA62C4" w14:textId="77777777" w:rsidTr="00497C33">
        <w:trPr>
          <w:trHeight w:val="315"/>
        </w:trPr>
        <w:tc>
          <w:tcPr>
            <w:tcW w:w="11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AFB4DB" w14:textId="77777777" w:rsidR="00D8689E" w:rsidRDefault="00D8689E" w:rsidP="00EE49B7">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Geschlecht</w:t>
            </w:r>
          </w:p>
        </w:tc>
        <w:tc>
          <w:tcPr>
            <w:tcW w:w="1711" w:type="dxa"/>
            <w:tcBorders>
              <w:top w:val="single" w:sz="8" w:space="0" w:color="000000"/>
              <w:bottom w:val="single" w:sz="8" w:space="0" w:color="000000"/>
              <w:right w:val="single" w:sz="8" w:space="0" w:color="000000"/>
            </w:tcBorders>
            <w:shd w:val="clear" w:color="auto" w:fill="auto"/>
            <w:vAlign w:val="center"/>
          </w:tcPr>
          <w:p w14:paraId="17BA1EFC" w14:textId="77777777" w:rsidR="00D8689E" w:rsidRDefault="00D8689E" w:rsidP="00EE49B7">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c>
          <w:tcPr>
            <w:tcW w:w="850" w:type="dxa"/>
            <w:tcBorders>
              <w:top w:val="single" w:sz="8" w:space="0" w:color="000000"/>
              <w:bottom w:val="single" w:sz="8" w:space="0" w:color="000000"/>
              <w:right w:val="single" w:sz="8" w:space="0" w:color="000000"/>
            </w:tcBorders>
            <w:shd w:val="clear" w:color="auto" w:fill="auto"/>
            <w:vAlign w:val="center"/>
          </w:tcPr>
          <w:p w14:paraId="5A4372D3" w14:textId="77777777" w:rsidR="00D8689E" w:rsidRDefault="00D8689E" w:rsidP="00EE49B7">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PLZ</w:t>
            </w:r>
          </w:p>
        </w:tc>
        <w:tc>
          <w:tcPr>
            <w:tcW w:w="709" w:type="dxa"/>
            <w:tcBorders>
              <w:top w:val="single" w:sz="8" w:space="0" w:color="000000"/>
              <w:bottom w:val="single" w:sz="8" w:space="0" w:color="000000"/>
              <w:right w:val="single" w:sz="8" w:space="0" w:color="000000"/>
            </w:tcBorders>
            <w:shd w:val="clear" w:color="auto" w:fill="auto"/>
            <w:vAlign w:val="center"/>
          </w:tcPr>
          <w:p w14:paraId="6898FB37" w14:textId="77777777" w:rsidR="00D8689E" w:rsidRDefault="00D8689E" w:rsidP="00EE49B7">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ICD</w:t>
            </w:r>
          </w:p>
        </w:tc>
      </w:tr>
      <w:tr w:rsidR="00D8689E" w14:paraId="338A0D74"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6DDBE7B8"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711" w:type="dxa"/>
            <w:tcBorders>
              <w:bottom w:val="single" w:sz="8" w:space="0" w:color="000000"/>
              <w:right w:val="single" w:sz="8" w:space="0" w:color="000000"/>
            </w:tcBorders>
            <w:shd w:val="clear" w:color="auto" w:fill="auto"/>
            <w:vAlign w:val="bottom"/>
          </w:tcPr>
          <w:p w14:paraId="28557AFA"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01.01.1983</w:t>
            </w:r>
          </w:p>
        </w:tc>
        <w:tc>
          <w:tcPr>
            <w:tcW w:w="850" w:type="dxa"/>
            <w:tcBorders>
              <w:bottom w:val="single" w:sz="8" w:space="0" w:color="000000"/>
              <w:right w:val="single" w:sz="8" w:space="0" w:color="000000"/>
            </w:tcBorders>
            <w:shd w:val="clear" w:color="auto" w:fill="auto"/>
            <w:vAlign w:val="bottom"/>
          </w:tcPr>
          <w:p w14:paraId="725B897B"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1011</w:t>
            </w:r>
          </w:p>
        </w:tc>
        <w:tc>
          <w:tcPr>
            <w:tcW w:w="709" w:type="dxa"/>
            <w:tcBorders>
              <w:bottom w:val="single" w:sz="8" w:space="0" w:color="000000"/>
              <w:right w:val="single" w:sz="8" w:space="0" w:color="000000"/>
            </w:tcBorders>
            <w:shd w:val="clear" w:color="auto" w:fill="auto"/>
            <w:vAlign w:val="bottom"/>
          </w:tcPr>
          <w:p w14:paraId="3CB62A85"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C43</w:t>
            </w:r>
          </w:p>
        </w:tc>
      </w:tr>
      <w:tr w:rsidR="00D8689E" w14:paraId="74603BFE"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5232EC83"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711" w:type="dxa"/>
            <w:tcBorders>
              <w:bottom w:val="single" w:sz="8" w:space="0" w:color="000000"/>
              <w:right w:val="single" w:sz="8" w:space="0" w:color="000000"/>
            </w:tcBorders>
            <w:shd w:val="clear" w:color="auto" w:fill="auto"/>
            <w:vAlign w:val="bottom"/>
          </w:tcPr>
          <w:p w14:paraId="06A84179"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01.01.1965</w:t>
            </w:r>
          </w:p>
        </w:tc>
        <w:tc>
          <w:tcPr>
            <w:tcW w:w="850" w:type="dxa"/>
            <w:tcBorders>
              <w:bottom w:val="single" w:sz="8" w:space="0" w:color="000000"/>
              <w:right w:val="single" w:sz="8" w:space="0" w:color="000000"/>
            </w:tcBorders>
            <w:shd w:val="clear" w:color="auto" w:fill="auto"/>
            <w:vAlign w:val="bottom"/>
          </w:tcPr>
          <w:p w14:paraId="7FE4774D"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1011</w:t>
            </w:r>
          </w:p>
        </w:tc>
        <w:tc>
          <w:tcPr>
            <w:tcW w:w="709" w:type="dxa"/>
            <w:tcBorders>
              <w:bottom w:val="single" w:sz="8" w:space="0" w:color="000000"/>
              <w:right w:val="single" w:sz="8" w:space="0" w:color="000000"/>
            </w:tcBorders>
            <w:shd w:val="clear" w:color="auto" w:fill="auto"/>
            <w:vAlign w:val="bottom"/>
          </w:tcPr>
          <w:p w14:paraId="7AC1B596"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D22</w:t>
            </w:r>
          </w:p>
        </w:tc>
      </w:tr>
      <w:tr w:rsidR="00D8689E" w14:paraId="36D1E3BC"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2AEA6CE5"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711" w:type="dxa"/>
            <w:tcBorders>
              <w:bottom w:val="single" w:sz="8" w:space="0" w:color="000000"/>
              <w:right w:val="single" w:sz="8" w:space="0" w:color="000000"/>
            </w:tcBorders>
            <w:shd w:val="clear" w:color="auto" w:fill="auto"/>
            <w:vAlign w:val="bottom"/>
          </w:tcPr>
          <w:p w14:paraId="7E605D23"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01.01.1977</w:t>
            </w:r>
          </w:p>
        </w:tc>
        <w:tc>
          <w:tcPr>
            <w:tcW w:w="850" w:type="dxa"/>
            <w:tcBorders>
              <w:bottom w:val="single" w:sz="8" w:space="0" w:color="000000"/>
              <w:right w:val="single" w:sz="8" w:space="0" w:color="000000"/>
            </w:tcBorders>
            <w:shd w:val="clear" w:color="auto" w:fill="auto"/>
            <w:vAlign w:val="bottom"/>
          </w:tcPr>
          <w:p w14:paraId="51E200A6"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1017</w:t>
            </w:r>
          </w:p>
        </w:tc>
        <w:tc>
          <w:tcPr>
            <w:tcW w:w="709" w:type="dxa"/>
            <w:tcBorders>
              <w:bottom w:val="single" w:sz="8" w:space="0" w:color="000000"/>
              <w:right w:val="single" w:sz="8" w:space="0" w:color="000000"/>
            </w:tcBorders>
            <w:shd w:val="clear" w:color="auto" w:fill="auto"/>
            <w:vAlign w:val="bottom"/>
          </w:tcPr>
          <w:p w14:paraId="663FC0BC"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C85</w:t>
            </w:r>
          </w:p>
        </w:tc>
      </w:tr>
      <w:tr w:rsidR="00D8689E" w14:paraId="6FA55373"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2D1A6B4E"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711" w:type="dxa"/>
            <w:tcBorders>
              <w:bottom w:val="single" w:sz="8" w:space="0" w:color="000000"/>
              <w:right w:val="single" w:sz="8" w:space="0" w:color="000000"/>
            </w:tcBorders>
            <w:shd w:val="clear" w:color="auto" w:fill="auto"/>
            <w:vAlign w:val="bottom"/>
          </w:tcPr>
          <w:p w14:paraId="6993582A"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01.01.1981</w:t>
            </w:r>
          </w:p>
        </w:tc>
        <w:tc>
          <w:tcPr>
            <w:tcW w:w="850" w:type="dxa"/>
            <w:tcBorders>
              <w:bottom w:val="single" w:sz="8" w:space="0" w:color="000000"/>
              <w:right w:val="single" w:sz="8" w:space="0" w:color="000000"/>
            </w:tcBorders>
            <w:shd w:val="clear" w:color="auto" w:fill="auto"/>
            <w:vAlign w:val="bottom"/>
          </w:tcPr>
          <w:p w14:paraId="54AA3260"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1024</w:t>
            </w:r>
          </w:p>
        </w:tc>
        <w:tc>
          <w:tcPr>
            <w:tcW w:w="709" w:type="dxa"/>
            <w:tcBorders>
              <w:bottom w:val="single" w:sz="8" w:space="0" w:color="000000"/>
              <w:right w:val="single" w:sz="8" w:space="0" w:color="000000"/>
            </w:tcBorders>
            <w:shd w:val="clear" w:color="auto" w:fill="auto"/>
            <w:vAlign w:val="bottom"/>
          </w:tcPr>
          <w:p w14:paraId="205B7507"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D44</w:t>
            </w:r>
          </w:p>
        </w:tc>
      </w:tr>
      <w:tr w:rsidR="00D8689E" w14:paraId="1DC31D9F"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347F4EAD"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711" w:type="dxa"/>
            <w:tcBorders>
              <w:bottom w:val="single" w:sz="8" w:space="0" w:color="000000"/>
              <w:right w:val="single" w:sz="8" w:space="0" w:color="000000"/>
            </w:tcBorders>
            <w:shd w:val="clear" w:color="auto" w:fill="auto"/>
            <w:vAlign w:val="bottom"/>
          </w:tcPr>
          <w:p w14:paraId="12FA0BE8"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01.01.1985</w:t>
            </w:r>
          </w:p>
        </w:tc>
        <w:tc>
          <w:tcPr>
            <w:tcW w:w="850" w:type="dxa"/>
            <w:tcBorders>
              <w:bottom w:val="single" w:sz="8" w:space="0" w:color="000000"/>
              <w:right w:val="single" w:sz="8" w:space="0" w:color="000000"/>
            </w:tcBorders>
            <w:shd w:val="clear" w:color="auto" w:fill="auto"/>
            <w:vAlign w:val="bottom"/>
          </w:tcPr>
          <w:p w14:paraId="1DA77A95"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1031</w:t>
            </w:r>
          </w:p>
        </w:tc>
        <w:tc>
          <w:tcPr>
            <w:tcW w:w="709" w:type="dxa"/>
            <w:tcBorders>
              <w:bottom w:val="single" w:sz="8" w:space="0" w:color="000000"/>
              <w:right w:val="single" w:sz="8" w:space="0" w:color="000000"/>
            </w:tcBorders>
            <w:shd w:val="clear" w:color="auto" w:fill="auto"/>
            <w:vAlign w:val="bottom"/>
          </w:tcPr>
          <w:p w14:paraId="3D165B8E"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C18</w:t>
            </w:r>
          </w:p>
        </w:tc>
      </w:tr>
      <w:tr w:rsidR="00D8689E" w14:paraId="5D751C44"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615417BB"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711" w:type="dxa"/>
            <w:tcBorders>
              <w:bottom w:val="single" w:sz="8" w:space="0" w:color="000000"/>
              <w:right w:val="single" w:sz="8" w:space="0" w:color="000000"/>
            </w:tcBorders>
            <w:shd w:val="clear" w:color="auto" w:fill="auto"/>
            <w:vAlign w:val="bottom"/>
          </w:tcPr>
          <w:p w14:paraId="721F38E6"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01.01.1987</w:t>
            </w:r>
          </w:p>
        </w:tc>
        <w:tc>
          <w:tcPr>
            <w:tcW w:w="850" w:type="dxa"/>
            <w:tcBorders>
              <w:bottom w:val="single" w:sz="8" w:space="0" w:color="000000"/>
              <w:right w:val="single" w:sz="8" w:space="0" w:color="000000"/>
            </w:tcBorders>
            <w:shd w:val="clear" w:color="auto" w:fill="auto"/>
            <w:vAlign w:val="bottom"/>
          </w:tcPr>
          <w:p w14:paraId="32D6B2D6"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1040</w:t>
            </w:r>
          </w:p>
        </w:tc>
        <w:tc>
          <w:tcPr>
            <w:tcW w:w="709" w:type="dxa"/>
            <w:tcBorders>
              <w:bottom w:val="single" w:sz="8" w:space="0" w:color="000000"/>
              <w:right w:val="single" w:sz="8" w:space="0" w:color="000000"/>
            </w:tcBorders>
            <w:shd w:val="clear" w:color="auto" w:fill="auto"/>
            <w:vAlign w:val="bottom"/>
          </w:tcPr>
          <w:p w14:paraId="71978924"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w:t>
            </w:r>
          </w:p>
        </w:tc>
      </w:tr>
      <w:tr w:rsidR="00D8689E" w14:paraId="6CAAEDF0"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70CA560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711" w:type="dxa"/>
            <w:tcBorders>
              <w:bottom w:val="single" w:sz="8" w:space="0" w:color="000000"/>
              <w:right w:val="single" w:sz="8" w:space="0" w:color="000000"/>
            </w:tcBorders>
            <w:shd w:val="clear" w:color="auto" w:fill="auto"/>
            <w:vAlign w:val="bottom"/>
          </w:tcPr>
          <w:p w14:paraId="1D528DDB"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01.01.1988</w:t>
            </w:r>
          </w:p>
        </w:tc>
        <w:tc>
          <w:tcPr>
            <w:tcW w:w="850" w:type="dxa"/>
            <w:tcBorders>
              <w:bottom w:val="single" w:sz="8" w:space="0" w:color="000000"/>
              <w:right w:val="single" w:sz="8" w:space="0" w:color="000000"/>
            </w:tcBorders>
            <w:shd w:val="clear" w:color="auto" w:fill="auto"/>
            <w:vAlign w:val="bottom"/>
          </w:tcPr>
          <w:p w14:paraId="0318B93E"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1043</w:t>
            </w:r>
          </w:p>
        </w:tc>
        <w:tc>
          <w:tcPr>
            <w:tcW w:w="709" w:type="dxa"/>
            <w:tcBorders>
              <w:bottom w:val="single" w:sz="8" w:space="0" w:color="000000"/>
              <w:right w:val="single" w:sz="8" w:space="0" w:color="000000"/>
            </w:tcBorders>
            <w:shd w:val="clear" w:color="auto" w:fill="auto"/>
            <w:vAlign w:val="bottom"/>
          </w:tcPr>
          <w:p w14:paraId="66873937"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C16</w:t>
            </w:r>
          </w:p>
        </w:tc>
      </w:tr>
      <w:tr w:rsidR="00D8689E" w14:paraId="53A65097"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747703CD"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711" w:type="dxa"/>
            <w:tcBorders>
              <w:bottom w:val="single" w:sz="8" w:space="0" w:color="000000"/>
              <w:right w:val="single" w:sz="8" w:space="0" w:color="000000"/>
            </w:tcBorders>
            <w:shd w:val="clear" w:color="auto" w:fill="auto"/>
            <w:vAlign w:val="bottom"/>
          </w:tcPr>
          <w:p w14:paraId="14D9B3CE"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01.01.1968</w:t>
            </w:r>
          </w:p>
        </w:tc>
        <w:tc>
          <w:tcPr>
            <w:tcW w:w="850" w:type="dxa"/>
            <w:tcBorders>
              <w:bottom w:val="single" w:sz="8" w:space="0" w:color="000000"/>
              <w:right w:val="single" w:sz="8" w:space="0" w:color="000000"/>
            </w:tcBorders>
            <w:shd w:val="clear" w:color="auto" w:fill="auto"/>
            <w:vAlign w:val="bottom"/>
          </w:tcPr>
          <w:p w14:paraId="7ED3A1B3"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1043</w:t>
            </w:r>
          </w:p>
        </w:tc>
        <w:tc>
          <w:tcPr>
            <w:tcW w:w="709" w:type="dxa"/>
            <w:tcBorders>
              <w:bottom w:val="single" w:sz="8" w:space="0" w:color="000000"/>
              <w:right w:val="single" w:sz="8" w:space="0" w:color="000000"/>
            </w:tcBorders>
            <w:shd w:val="clear" w:color="auto" w:fill="auto"/>
            <w:vAlign w:val="bottom"/>
          </w:tcPr>
          <w:p w14:paraId="17EF5541"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D46</w:t>
            </w:r>
          </w:p>
        </w:tc>
      </w:tr>
      <w:tr w:rsidR="00497C33" w14:paraId="6D439E2B"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2E6E909D" w14:textId="77777777" w:rsidR="00497C33" w:rsidRDefault="00497C33" w:rsidP="00497C33">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711" w:type="dxa"/>
            <w:tcBorders>
              <w:bottom w:val="single" w:sz="8" w:space="0" w:color="000000"/>
              <w:right w:val="single" w:sz="8" w:space="0" w:color="000000"/>
            </w:tcBorders>
            <w:shd w:val="clear" w:color="auto" w:fill="auto"/>
            <w:vAlign w:val="bottom"/>
          </w:tcPr>
          <w:p w14:paraId="62AEB61E" w14:textId="067019EA" w:rsidR="00497C33" w:rsidRDefault="00497C33"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01.01.1978</w:t>
            </w:r>
          </w:p>
        </w:tc>
        <w:tc>
          <w:tcPr>
            <w:tcW w:w="850" w:type="dxa"/>
            <w:tcBorders>
              <w:bottom w:val="single" w:sz="8" w:space="0" w:color="000000"/>
              <w:right w:val="single" w:sz="8" w:space="0" w:color="000000"/>
            </w:tcBorders>
            <w:shd w:val="clear" w:color="auto" w:fill="auto"/>
            <w:vAlign w:val="bottom"/>
          </w:tcPr>
          <w:p w14:paraId="638D89FE" w14:textId="1442E109" w:rsidR="00497C33" w:rsidRDefault="00497C33" w:rsidP="00497C33">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1058</w:t>
            </w:r>
          </w:p>
        </w:tc>
        <w:tc>
          <w:tcPr>
            <w:tcW w:w="709" w:type="dxa"/>
            <w:tcBorders>
              <w:bottom w:val="single" w:sz="8" w:space="0" w:color="000000"/>
              <w:right w:val="single" w:sz="8" w:space="0" w:color="000000"/>
            </w:tcBorders>
            <w:shd w:val="clear" w:color="auto" w:fill="auto"/>
            <w:vAlign w:val="bottom"/>
          </w:tcPr>
          <w:p w14:paraId="47F3C118" w14:textId="77777777" w:rsidR="00497C33" w:rsidRDefault="00497C33" w:rsidP="00497C33">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w:t>
            </w:r>
          </w:p>
        </w:tc>
      </w:tr>
      <w:tr w:rsidR="00D8689E" w14:paraId="2DB8275A"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5617B967"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711" w:type="dxa"/>
            <w:tcBorders>
              <w:bottom w:val="single" w:sz="8" w:space="0" w:color="000000"/>
              <w:right w:val="single" w:sz="8" w:space="0" w:color="000000"/>
            </w:tcBorders>
            <w:shd w:val="clear" w:color="auto" w:fill="auto"/>
            <w:vAlign w:val="bottom"/>
          </w:tcPr>
          <w:p w14:paraId="67307FE7"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01.01.1969</w:t>
            </w:r>
          </w:p>
        </w:tc>
        <w:tc>
          <w:tcPr>
            <w:tcW w:w="850" w:type="dxa"/>
            <w:tcBorders>
              <w:bottom w:val="single" w:sz="8" w:space="0" w:color="000000"/>
              <w:right w:val="single" w:sz="8" w:space="0" w:color="000000"/>
            </w:tcBorders>
            <w:shd w:val="clear" w:color="auto" w:fill="auto"/>
            <w:vAlign w:val="bottom"/>
          </w:tcPr>
          <w:p w14:paraId="4AA7B8CE"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1070</w:t>
            </w:r>
          </w:p>
        </w:tc>
        <w:tc>
          <w:tcPr>
            <w:tcW w:w="709" w:type="dxa"/>
            <w:tcBorders>
              <w:bottom w:val="single" w:sz="8" w:space="0" w:color="000000"/>
              <w:right w:val="single" w:sz="8" w:space="0" w:color="000000"/>
            </w:tcBorders>
            <w:shd w:val="clear" w:color="auto" w:fill="auto"/>
            <w:vAlign w:val="bottom"/>
          </w:tcPr>
          <w:p w14:paraId="1F69824B"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C91</w:t>
            </w:r>
          </w:p>
        </w:tc>
      </w:tr>
      <w:tr w:rsidR="00D8689E" w14:paraId="38FF9B7C"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0CCA72B4"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711" w:type="dxa"/>
            <w:tcBorders>
              <w:bottom w:val="single" w:sz="8" w:space="0" w:color="000000"/>
              <w:right w:val="single" w:sz="8" w:space="0" w:color="000000"/>
            </w:tcBorders>
            <w:shd w:val="clear" w:color="auto" w:fill="auto"/>
            <w:vAlign w:val="bottom"/>
          </w:tcPr>
          <w:p w14:paraId="4D9F100C"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01.01.1967</w:t>
            </w:r>
          </w:p>
        </w:tc>
        <w:tc>
          <w:tcPr>
            <w:tcW w:w="850" w:type="dxa"/>
            <w:tcBorders>
              <w:bottom w:val="single" w:sz="8" w:space="0" w:color="000000"/>
              <w:right w:val="single" w:sz="8" w:space="0" w:color="000000"/>
            </w:tcBorders>
            <w:shd w:val="clear" w:color="auto" w:fill="auto"/>
            <w:vAlign w:val="bottom"/>
          </w:tcPr>
          <w:p w14:paraId="6A378016"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1071</w:t>
            </w:r>
          </w:p>
        </w:tc>
        <w:tc>
          <w:tcPr>
            <w:tcW w:w="709" w:type="dxa"/>
            <w:tcBorders>
              <w:bottom w:val="single" w:sz="8" w:space="0" w:color="000000"/>
              <w:right w:val="single" w:sz="8" w:space="0" w:color="000000"/>
            </w:tcBorders>
            <w:shd w:val="clear" w:color="auto" w:fill="auto"/>
            <w:vAlign w:val="bottom"/>
          </w:tcPr>
          <w:p w14:paraId="6E39C320"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w:t>
            </w:r>
          </w:p>
        </w:tc>
      </w:tr>
      <w:tr w:rsidR="00D8689E" w14:paraId="2D2C9DF6"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40FCBD70"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711" w:type="dxa"/>
            <w:tcBorders>
              <w:bottom w:val="single" w:sz="8" w:space="0" w:color="000000"/>
              <w:right w:val="single" w:sz="8" w:space="0" w:color="000000"/>
            </w:tcBorders>
            <w:shd w:val="clear" w:color="auto" w:fill="auto"/>
            <w:vAlign w:val="bottom"/>
          </w:tcPr>
          <w:p w14:paraId="3AFC3FEA"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01.01.1991</w:t>
            </w:r>
          </w:p>
        </w:tc>
        <w:tc>
          <w:tcPr>
            <w:tcW w:w="850" w:type="dxa"/>
            <w:tcBorders>
              <w:bottom w:val="single" w:sz="8" w:space="0" w:color="000000"/>
              <w:right w:val="single" w:sz="8" w:space="0" w:color="000000"/>
            </w:tcBorders>
            <w:shd w:val="clear" w:color="auto" w:fill="auto"/>
            <w:vAlign w:val="bottom"/>
          </w:tcPr>
          <w:p w14:paraId="7A2CBFC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1071</w:t>
            </w:r>
          </w:p>
        </w:tc>
        <w:tc>
          <w:tcPr>
            <w:tcW w:w="709" w:type="dxa"/>
            <w:tcBorders>
              <w:bottom w:val="single" w:sz="8" w:space="0" w:color="000000"/>
              <w:right w:val="single" w:sz="8" w:space="0" w:color="000000"/>
            </w:tcBorders>
            <w:shd w:val="clear" w:color="auto" w:fill="auto"/>
            <w:vAlign w:val="bottom"/>
          </w:tcPr>
          <w:p w14:paraId="21C567D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D12</w:t>
            </w:r>
          </w:p>
        </w:tc>
      </w:tr>
      <w:tr w:rsidR="00D8689E" w14:paraId="51EC8F7A"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23B4A276"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711" w:type="dxa"/>
            <w:tcBorders>
              <w:bottom w:val="single" w:sz="8" w:space="0" w:color="000000"/>
              <w:right w:val="single" w:sz="8" w:space="0" w:color="000000"/>
            </w:tcBorders>
            <w:shd w:val="clear" w:color="auto" w:fill="auto"/>
            <w:vAlign w:val="bottom"/>
          </w:tcPr>
          <w:p w14:paraId="63C95644"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01.01.1987</w:t>
            </w:r>
          </w:p>
        </w:tc>
        <w:tc>
          <w:tcPr>
            <w:tcW w:w="850" w:type="dxa"/>
            <w:tcBorders>
              <w:bottom w:val="single" w:sz="8" w:space="0" w:color="000000"/>
              <w:right w:val="single" w:sz="8" w:space="0" w:color="000000"/>
            </w:tcBorders>
            <w:shd w:val="clear" w:color="auto" w:fill="auto"/>
            <w:vAlign w:val="bottom"/>
          </w:tcPr>
          <w:p w14:paraId="3DFF60E5"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1078</w:t>
            </w:r>
          </w:p>
        </w:tc>
        <w:tc>
          <w:tcPr>
            <w:tcW w:w="709" w:type="dxa"/>
            <w:tcBorders>
              <w:bottom w:val="single" w:sz="8" w:space="0" w:color="000000"/>
              <w:right w:val="single" w:sz="8" w:space="0" w:color="000000"/>
            </w:tcBorders>
            <w:shd w:val="clear" w:color="auto" w:fill="auto"/>
            <w:vAlign w:val="bottom"/>
          </w:tcPr>
          <w:p w14:paraId="09350424"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w:t>
            </w:r>
          </w:p>
        </w:tc>
      </w:tr>
      <w:tr w:rsidR="00D8689E" w14:paraId="0AAA8DD2"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7B491036"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711" w:type="dxa"/>
            <w:tcBorders>
              <w:bottom w:val="single" w:sz="8" w:space="0" w:color="000000"/>
              <w:right w:val="single" w:sz="8" w:space="0" w:color="000000"/>
            </w:tcBorders>
            <w:shd w:val="clear" w:color="auto" w:fill="auto"/>
            <w:vAlign w:val="bottom"/>
          </w:tcPr>
          <w:p w14:paraId="3CFFE01A"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01.01.1983</w:t>
            </w:r>
          </w:p>
        </w:tc>
        <w:tc>
          <w:tcPr>
            <w:tcW w:w="850" w:type="dxa"/>
            <w:tcBorders>
              <w:bottom w:val="single" w:sz="8" w:space="0" w:color="000000"/>
              <w:right w:val="single" w:sz="8" w:space="0" w:color="000000"/>
            </w:tcBorders>
            <w:shd w:val="clear" w:color="auto" w:fill="auto"/>
            <w:vAlign w:val="bottom"/>
          </w:tcPr>
          <w:p w14:paraId="3F452248"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1082</w:t>
            </w:r>
          </w:p>
        </w:tc>
        <w:tc>
          <w:tcPr>
            <w:tcW w:w="709" w:type="dxa"/>
            <w:tcBorders>
              <w:bottom w:val="single" w:sz="8" w:space="0" w:color="000000"/>
              <w:right w:val="single" w:sz="8" w:space="0" w:color="000000"/>
            </w:tcBorders>
            <w:shd w:val="clear" w:color="auto" w:fill="auto"/>
            <w:vAlign w:val="bottom"/>
          </w:tcPr>
          <w:p w14:paraId="5A410004"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C50</w:t>
            </w:r>
          </w:p>
        </w:tc>
      </w:tr>
      <w:tr w:rsidR="00D8689E" w14:paraId="6F364A51" w14:textId="77777777" w:rsidTr="00497C33">
        <w:trPr>
          <w:trHeight w:val="315"/>
        </w:trPr>
        <w:tc>
          <w:tcPr>
            <w:tcW w:w="1140" w:type="dxa"/>
            <w:tcBorders>
              <w:left w:val="single" w:sz="8" w:space="0" w:color="000000"/>
              <w:bottom w:val="single" w:sz="8" w:space="0" w:color="000000"/>
              <w:right w:val="single" w:sz="8" w:space="0" w:color="000000"/>
            </w:tcBorders>
            <w:shd w:val="clear" w:color="auto" w:fill="auto"/>
            <w:vAlign w:val="bottom"/>
          </w:tcPr>
          <w:p w14:paraId="4C0F6823"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711" w:type="dxa"/>
            <w:tcBorders>
              <w:bottom w:val="single" w:sz="8" w:space="0" w:color="000000"/>
              <w:right w:val="single" w:sz="8" w:space="0" w:color="000000"/>
            </w:tcBorders>
            <w:shd w:val="clear" w:color="auto" w:fill="auto"/>
            <w:vAlign w:val="bottom"/>
          </w:tcPr>
          <w:p w14:paraId="061ADF0F" w14:textId="77777777" w:rsidR="00D8689E" w:rsidRDefault="00D8689E" w:rsidP="00F759B1">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01.01.1975</w:t>
            </w:r>
          </w:p>
        </w:tc>
        <w:tc>
          <w:tcPr>
            <w:tcW w:w="850" w:type="dxa"/>
            <w:tcBorders>
              <w:bottom w:val="single" w:sz="8" w:space="0" w:color="000000"/>
              <w:right w:val="single" w:sz="8" w:space="0" w:color="000000"/>
            </w:tcBorders>
            <w:shd w:val="clear" w:color="auto" w:fill="auto"/>
            <w:vAlign w:val="bottom"/>
          </w:tcPr>
          <w:p w14:paraId="4FEBFBD8"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1096</w:t>
            </w:r>
          </w:p>
        </w:tc>
        <w:tc>
          <w:tcPr>
            <w:tcW w:w="709" w:type="dxa"/>
            <w:tcBorders>
              <w:bottom w:val="single" w:sz="8" w:space="0" w:color="000000"/>
              <w:right w:val="single" w:sz="8" w:space="0" w:color="000000"/>
            </w:tcBorders>
            <w:shd w:val="clear" w:color="auto" w:fill="auto"/>
            <w:vAlign w:val="bottom"/>
          </w:tcPr>
          <w:p w14:paraId="2B296C8E"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C83</w:t>
            </w:r>
          </w:p>
        </w:tc>
      </w:tr>
    </w:tbl>
    <w:p w14:paraId="10CDF140" w14:textId="5AB09ED3" w:rsidR="00D8689E" w:rsidRDefault="00D8689E" w:rsidP="00D8689E">
      <w:pPr>
        <w:pStyle w:val="Beschriftung"/>
      </w:pPr>
      <w:bookmarkStart w:id="190" w:name="_Ref512619024"/>
      <w:bookmarkStart w:id="191" w:name="_Toc150540736"/>
      <w:bookmarkStart w:id="192" w:name="_Toc154606729"/>
      <w:r>
        <w:t xml:space="preserve">Tabelle </w:t>
      </w:r>
      <w:r w:rsidR="00000000">
        <w:fldChar w:fldCharType="begin"/>
      </w:r>
      <w:r w:rsidR="00000000">
        <w:instrText xml:space="preserve"> SEQ Tabelle \* ARABIC </w:instrText>
      </w:r>
      <w:r w:rsidR="00000000">
        <w:fldChar w:fldCharType="separate"/>
      </w:r>
      <w:r w:rsidR="00C9149F">
        <w:rPr>
          <w:noProof/>
        </w:rPr>
        <w:t>12</w:t>
      </w:r>
      <w:r w:rsidR="00000000">
        <w:rPr>
          <w:noProof/>
        </w:rPr>
        <w:fldChar w:fldCharType="end"/>
      </w:r>
      <w:bookmarkEnd w:id="190"/>
      <w:r>
        <w:t xml:space="preserve">: </w:t>
      </w:r>
      <w:r w:rsidRPr="004832F9">
        <w:t>Auf</w:t>
      </w:r>
      <w:r>
        <w:t xml:space="preserve"> Anonymität zu prüfendes </w:t>
      </w:r>
      <w:r w:rsidRPr="004832F9">
        <w:t>Ergebnis</w:t>
      </w:r>
      <w:bookmarkEnd w:id="191"/>
      <w:bookmarkEnd w:id="192"/>
    </w:p>
    <w:tbl>
      <w:tblPr>
        <w:tblW w:w="6859" w:type="dxa"/>
        <w:tblInd w:w="55" w:type="dxa"/>
        <w:tblLayout w:type="fixed"/>
        <w:tblCellMar>
          <w:left w:w="70" w:type="dxa"/>
          <w:right w:w="70" w:type="dxa"/>
        </w:tblCellMar>
        <w:tblLook w:val="04A0" w:firstRow="1" w:lastRow="0" w:firstColumn="1" w:lastColumn="0" w:noHBand="0" w:noVBand="1"/>
      </w:tblPr>
      <w:tblGrid>
        <w:gridCol w:w="1528"/>
        <w:gridCol w:w="1365"/>
        <w:gridCol w:w="1472"/>
        <w:gridCol w:w="1528"/>
        <w:gridCol w:w="966"/>
      </w:tblGrid>
      <w:tr w:rsidR="00D8689E" w14:paraId="6F837DDC" w14:textId="77777777" w:rsidTr="00EE49B7">
        <w:trPr>
          <w:trHeight w:val="315"/>
          <w:tblHeader/>
        </w:trPr>
        <w:tc>
          <w:tcPr>
            <w:tcW w:w="1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ACE669" w14:textId="77777777" w:rsidR="00D8689E" w:rsidRDefault="00D8689E" w:rsidP="00EE49B7">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Vorname</w:t>
            </w:r>
          </w:p>
        </w:tc>
        <w:tc>
          <w:tcPr>
            <w:tcW w:w="1365" w:type="dxa"/>
            <w:tcBorders>
              <w:top w:val="single" w:sz="8" w:space="0" w:color="000000"/>
              <w:bottom w:val="single" w:sz="8" w:space="0" w:color="000000"/>
              <w:right w:val="single" w:sz="8" w:space="0" w:color="000000"/>
            </w:tcBorders>
            <w:shd w:val="clear" w:color="auto" w:fill="auto"/>
            <w:vAlign w:val="center"/>
          </w:tcPr>
          <w:p w14:paraId="4F1032E5" w14:textId="77777777" w:rsidR="00D8689E" w:rsidRDefault="00D8689E" w:rsidP="00EE49B7">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Nachname</w:t>
            </w:r>
          </w:p>
        </w:tc>
        <w:tc>
          <w:tcPr>
            <w:tcW w:w="1472" w:type="dxa"/>
            <w:tcBorders>
              <w:top w:val="single" w:sz="8" w:space="0" w:color="000000"/>
              <w:bottom w:val="single" w:sz="8" w:space="0" w:color="000000"/>
              <w:right w:val="single" w:sz="8" w:space="0" w:color="000000"/>
            </w:tcBorders>
            <w:shd w:val="clear" w:color="auto" w:fill="auto"/>
            <w:vAlign w:val="center"/>
          </w:tcPr>
          <w:p w14:paraId="3B7D527C" w14:textId="77777777" w:rsidR="00D8689E" w:rsidRDefault="00D8689E" w:rsidP="00EE49B7">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Geschlecht</w:t>
            </w:r>
          </w:p>
        </w:tc>
        <w:tc>
          <w:tcPr>
            <w:tcW w:w="1528" w:type="dxa"/>
            <w:tcBorders>
              <w:top w:val="single" w:sz="8" w:space="0" w:color="000000"/>
              <w:bottom w:val="single" w:sz="8" w:space="0" w:color="000000"/>
              <w:right w:val="single" w:sz="8" w:space="0" w:color="000000"/>
            </w:tcBorders>
            <w:shd w:val="clear" w:color="auto" w:fill="auto"/>
            <w:vAlign w:val="center"/>
          </w:tcPr>
          <w:p w14:paraId="51D229F9" w14:textId="77777777" w:rsidR="00D8689E" w:rsidRDefault="00D8689E" w:rsidP="00EE49B7">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Geb.-Datum</w:t>
            </w:r>
          </w:p>
        </w:tc>
        <w:tc>
          <w:tcPr>
            <w:tcW w:w="966" w:type="dxa"/>
            <w:tcBorders>
              <w:top w:val="single" w:sz="8" w:space="0" w:color="000000"/>
              <w:bottom w:val="single" w:sz="8" w:space="0" w:color="000000"/>
              <w:right w:val="single" w:sz="8" w:space="0" w:color="000000"/>
            </w:tcBorders>
            <w:shd w:val="clear" w:color="auto" w:fill="auto"/>
            <w:vAlign w:val="center"/>
          </w:tcPr>
          <w:p w14:paraId="06A127E0" w14:textId="77777777" w:rsidR="00D8689E" w:rsidRDefault="00D8689E" w:rsidP="00EE49B7">
            <w:pPr>
              <w:widowControl w:val="0"/>
              <w:spacing w:after="0" w:line="240" w:lineRule="auto"/>
              <w:jc w:val="center"/>
              <w:rPr>
                <w:rFonts w:ascii="Calibri" w:eastAsia="Times New Roman" w:hAnsi="Calibri" w:cs="Times New Roman"/>
                <w:b/>
                <w:bCs/>
                <w:color w:val="000000"/>
                <w:lang w:eastAsia="de-DE"/>
              </w:rPr>
            </w:pPr>
            <w:r>
              <w:rPr>
                <w:rFonts w:eastAsia="Times New Roman" w:cs="Times New Roman"/>
                <w:b/>
                <w:bCs/>
                <w:color w:val="000000"/>
                <w:lang w:eastAsia="de-DE"/>
              </w:rPr>
              <w:t>PLZ</w:t>
            </w:r>
          </w:p>
        </w:tc>
      </w:tr>
      <w:tr w:rsidR="00D8689E" w14:paraId="1D9548CA"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228057AF"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Heike</w:t>
            </w:r>
          </w:p>
        </w:tc>
        <w:tc>
          <w:tcPr>
            <w:tcW w:w="1365" w:type="dxa"/>
            <w:tcBorders>
              <w:bottom w:val="single" w:sz="8" w:space="0" w:color="000000"/>
              <w:right w:val="single" w:sz="8" w:space="0" w:color="000000"/>
            </w:tcBorders>
            <w:shd w:val="clear" w:color="auto" w:fill="auto"/>
            <w:vAlign w:val="bottom"/>
          </w:tcPr>
          <w:p w14:paraId="30B0AAAB"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Richter</w:t>
            </w:r>
          </w:p>
        </w:tc>
        <w:tc>
          <w:tcPr>
            <w:tcW w:w="1472" w:type="dxa"/>
            <w:tcBorders>
              <w:bottom w:val="single" w:sz="8" w:space="0" w:color="000000"/>
              <w:right w:val="single" w:sz="8" w:space="0" w:color="000000"/>
            </w:tcBorders>
            <w:shd w:val="clear" w:color="auto" w:fill="auto"/>
            <w:vAlign w:val="bottom"/>
          </w:tcPr>
          <w:p w14:paraId="049030A6"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8" w:type="dxa"/>
            <w:tcBorders>
              <w:bottom w:val="single" w:sz="8" w:space="0" w:color="000000"/>
              <w:right w:val="single" w:sz="8" w:space="0" w:color="000000"/>
            </w:tcBorders>
            <w:shd w:val="clear" w:color="auto" w:fill="auto"/>
            <w:vAlign w:val="bottom"/>
          </w:tcPr>
          <w:p w14:paraId="2AA71192"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11.05.1983</w:t>
            </w:r>
          </w:p>
        </w:tc>
        <w:tc>
          <w:tcPr>
            <w:tcW w:w="966" w:type="dxa"/>
            <w:tcBorders>
              <w:bottom w:val="single" w:sz="8" w:space="0" w:color="000000"/>
              <w:right w:val="single" w:sz="8" w:space="0" w:color="000000"/>
            </w:tcBorders>
            <w:shd w:val="clear" w:color="auto" w:fill="auto"/>
            <w:vAlign w:val="bottom"/>
          </w:tcPr>
          <w:p w14:paraId="6659C988"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10115</w:t>
            </w:r>
          </w:p>
        </w:tc>
      </w:tr>
      <w:tr w:rsidR="00D8689E" w14:paraId="68392B40"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031633D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Jan</w:t>
            </w:r>
          </w:p>
        </w:tc>
        <w:tc>
          <w:tcPr>
            <w:tcW w:w="1365" w:type="dxa"/>
            <w:tcBorders>
              <w:bottom w:val="single" w:sz="8" w:space="0" w:color="000000"/>
              <w:right w:val="single" w:sz="8" w:space="0" w:color="000000"/>
            </w:tcBorders>
            <w:shd w:val="clear" w:color="auto" w:fill="auto"/>
            <w:vAlign w:val="bottom"/>
          </w:tcPr>
          <w:p w14:paraId="05CEA8E1"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Schröder</w:t>
            </w:r>
          </w:p>
        </w:tc>
        <w:tc>
          <w:tcPr>
            <w:tcW w:w="1472" w:type="dxa"/>
            <w:tcBorders>
              <w:bottom w:val="single" w:sz="8" w:space="0" w:color="000000"/>
              <w:right w:val="single" w:sz="8" w:space="0" w:color="000000"/>
            </w:tcBorders>
            <w:shd w:val="clear" w:color="auto" w:fill="auto"/>
            <w:vAlign w:val="bottom"/>
          </w:tcPr>
          <w:p w14:paraId="64316BF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8" w:type="dxa"/>
            <w:tcBorders>
              <w:bottom w:val="single" w:sz="8" w:space="0" w:color="000000"/>
              <w:right w:val="single" w:sz="8" w:space="0" w:color="000000"/>
            </w:tcBorders>
            <w:shd w:val="clear" w:color="auto" w:fill="auto"/>
            <w:vAlign w:val="bottom"/>
          </w:tcPr>
          <w:p w14:paraId="57071A30"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03.12.1965</w:t>
            </w:r>
          </w:p>
        </w:tc>
        <w:tc>
          <w:tcPr>
            <w:tcW w:w="966" w:type="dxa"/>
            <w:tcBorders>
              <w:bottom w:val="single" w:sz="8" w:space="0" w:color="000000"/>
              <w:right w:val="single" w:sz="8" w:space="0" w:color="000000"/>
            </w:tcBorders>
            <w:shd w:val="clear" w:color="auto" w:fill="auto"/>
            <w:vAlign w:val="bottom"/>
          </w:tcPr>
          <w:p w14:paraId="46849AF3"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10115</w:t>
            </w:r>
          </w:p>
        </w:tc>
      </w:tr>
      <w:tr w:rsidR="00D8689E" w14:paraId="2436DAC8"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743D215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Hugo-Egon</w:t>
            </w:r>
          </w:p>
        </w:tc>
        <w:tc>
          <w:tcPr>
            <w:tcW w:w="1365" w:type="dxa"/>
            <w:tcBorders>
              <w:bottom w:val="single" w:sz="8" w:space="0" w:color="000000"/>
              <w:right w:val="single" w:sz="8" w:space="0" w:color="000000"/>
            </w:tcBorders>
            <w:shd w:val="clear" w:color="auto" w:fill="auto"/>
            <w:vAlign w:val="bottom"/>
          </w:tcPr>
          <w:p w14:paraId="68343648"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Meyer</w:t>
            </w:r>
          </w:p>
        </w:tc>
        <w:tc>
          <w:tcPr>
            <w:tcW w:w="1472" w:type="dxa"/>
            <w:tcBorders>
              <w:bottom w:val="single" w:sz="8" w:space="0" w:color="000000"/>
              <w:right w:val="single" w:sz="8" w:space="0" w:color="000000"/>
            </w:tcBorders>
            <w:shd w:val="clear" w:color="auto" w:fill="auto"/>
            <w:vAlign w:val="bottom"/>
          </w:tcPr>
          <w:p w14:paraId="36134CC9"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8" w:type="dxa"/>
            <w:tcBorders>
              <w:bottom w:val="single" w:sz="8" w:space="0" w:color="000000"/>
              <w:right w:val="single" w:sz="8" w:space="0" w:color="000000"/>
            </w:tcBorders>
            <w:shd w:val="clear" w:color="auto" w:fill="auto"/>
            <w:vAlign w:val="bottom"/>
          </w:tcPr>
          <w:p w14:paraId="1D7592B0"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27.08.1977</w:t>
            </w:r>
          </w:p>
        </w:tc>
        <w:tc>
          <w:tcPr>
            <w:tcW w:w="966" w:type="dxa"/>
            <w:tcBorders>
              <w:bottom w:val="single" w:sz="8" w:space="0" w:color="000000"/>
              <w:right w:val="single" w:sz="8" w:space="0" w:color="000000"/>
            </w:tcBorders>
            <w:shd w:val="clear" w:color="auto" w:fill="auto"/>
            <w:vAlign w:val="bottom"/>
          </w:tcPr>
          <w:p w14:paraId="42893158"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10178</w:t>
            </w:r>
          </w:p>
        </w:tc>
      </w:tr>
      <w:tr w:rsidR="00D8689E" w14:paraId="4C8CFAA5"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6773EE04"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Eckbert</w:t>
            </w:r>
          </w:p>
        </w:tc>
        <w:tc>
          <w:tcPr>
            <w:tcW w:w="1365" w:type="dxa"/>
            <w:tcBorders>
              <w:bottom w:val="single" w:sz="8" w:space="0" w:color="000000"/>
              <w:right w:val="single" w:sz="8" w:space="0" w:color="000000"/>
            </w:tcBorders>
            <w:shd w:val="clear" w:color="auto" w:fill="auto"/>
            <w:vAlign w:val="bottom"/>
          </w:tcPr>
          <w:p w14:paraId="657EF49B"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Schneider</w:t>
            </w:r>
          </w:p>
        </w:tc>
        <w:tc>
          <w:tcPr>
            <w:tcW w:w="1472" w:type="dxa"/>
            <w:tcBorders>
              <w:bottom w:val="single" w:sz="8" w:space="0" w:color="000000"/>
              <w:right w:val="single" w:sz="8" w:space="0" w:color="000000"/>
            </w:tcBorders>
            <w:shd w:val="clear" w:color="auto" w:fill="auto"/>
            <w:vAlign w:val="bottom"/>
          </w:tcPr>
          <w:p w14:paraId="527AC064"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8" w:type="dxa"/>
            <w:tcBorders>
              <w:bottom w:val="single" w:sz="8" w:space="0" w:color="000000"/>
              <w:right w:val="single" w:sz="8" w:space="0" w:color="000000"/>
            </w:tcBorders>
            <w:shd w:val="clear" w:color="auto" w:fill="auto"/>
            <w:vAlign w:val="bottom"/>
          </w:tcPr>
          <w:p w14:paraId="4A338D40"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23.12.1981</w:t>
            </w:r>
          </w:p>
        </w:tc>
        <w:tc>
          <w:tcPr>
            <w:tcW w:w="966" w:type="dxa"/>
            <w:tcBorders>
              <w:bottom w:val="single" w:sz="8" w:space="0" w:color="000000"/>
              <w:right w:val="single" w:sz="8" w:space="0" w:color="000000"/>
            </w:tcBorders>
            <w:shd w:val="clear" w:color="auto" w:fill="auto"/>
            <w:vAlign w:val="bottom"/>
          </w:tcPr>
          <w:p w14:paraId="36BEB0AF"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10247</w:t>
            </w:r>
          </w:p>
        </w:tc>
      </w:tr>
      <w:tr w:rsidR="00D8689E" w14:paraId="35F4AB87"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57787A4F"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Jürgen</w:t>
            </w:r>
          </w:p>
        </w:tc>
        <w:tc>
          <w:tcPr>
            <w:tcW w:w="1365" w:type="dxa"/>
            <w:tcBorders>
              <w:bottom w:val="single" w:sz="8" w:space="0" w:color="000000"/>
              <w:right w:val="single" w:sz="8" w:space="0" w:color="000000"/>
            </w:tcBorders>
            <w:shd w:val="clear" w:color="auto" w:fill="auto"/>
            <w:vAlign w:val="bottom"/>
          </w:tcPr>
          <w:p w14:paraId="43F917E5"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Stillstand</w:t>
            </w:r>
          </w:p>
        </w:tc>
        <w:tc>
          <w:tcPr>
            <w:tcW w:w="1472" w:type="dxa"/>
            <w:tcBorders>
              <w:bottom w:val="single" w:sz="8" w:space="0" w:color="000000"/>
              <w:right w:val="single" w:sz="8" w:space="0" w:color="000000"/>
            </w:tcBorders>
            <w:shd w:val="clear" w:color="auto" w:fill="auto"/>
            <w:vAlign w:val="bottom"/>
          </w:tcPr>
          <w:p w14:paraId="461674F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8" w:type="dxa"/>
            <w:tcBorders>
              <w:bottom w:val="single" w:sz="8" w:space="0" w:color="000000"/>
              <w:right w:val="single" w:sz="8" w:space="0" w:color="000000"/>
            </w:tcBorders>
            <w:shd w:val="clear" w:color="auto" w:fill="auto"/>
            <w:vAlign w:val="bottom"/>
          </w:tcPr>
          <w:p w14:paraId="66915010"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29.11.1985</w:t>
            </w:r>
          </w:p>
        </w:tc>
        <w:tc>
          <w:tcPr>
            <w:tcW w:w="966" w:type="dxa"/>
            <w:tcBorders>
              <w:bottom w:val="single" w:sz="8" w:space="0" w:color="000000"/>
              <w:right w:val="single" w:sz="8" w:space="0" w:color="000000"/>
            </w:tcBorders>
            <w:shd w:val="clear" w:color="auto" w:fill="auto"/>
            <w:vAlign w:val="bottom"/>
          </w:tcPr>
          <w:p w14:paraId="6FB96215"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10319</w:t>
            </w:r>
          </w:p>
        </w:tc>
      </w:tr>
      <w:tr w:rsidR="00D8689E" w14:paraId="558ED414"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0665231A"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Hiltrud</w:t>
            </w:r>
          </w:p>
        </w:tc>
        <w:tc>
          <w:tcPr>
            <w:tcW w:w="1365" w:type="dxa"/>
            <w:tcBorders>
              <w:bottom w:val="single" w:sz="8" w:space="0" w:color="000000"/>
              <w:right w:val="single" w:sz="8" w:space="0" w:color="000000"/>
            </w:tcBorders>
            <w:shd w:val="clear" w:color="auto" w:fill="auto"/>
            <w:vAlign w:val="bottom"/>
          </w:tcPr>
          <w:p w14:paraId="710053BD"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Niemand</w:t>
            </w:r>
          </w:p>
        </w:tc>
        <w:tc>
          <w:tcPr>
            <w:tcW w:w="1472" w:type="dxa"/>
            <w:tcBorders>
              <w:bottom w:val="single" w:sz="8" w:space="0" w:color="000000"/>
              <w:right w:val="single" w:sz="8" w:space="0" w:color="000000"/>
            </w:tcBorders>
            <w:shd w:val="clear" w:color="auto" w:fill="auto"/>
            <w:vAlign w:val="bottom"/>
          </w:tcPr>
          <w:p w14:paraId="34997BD0"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8" w:type="dxa"/>
            <w:tcBorders>
              <w:bottom w:val="single" w:sz="8" w:space="0" w:color="000000"/>
              <w:right w:val="single" w:sz="8" w:space="0" w:color="000000"/>
            </w:tcBorders>
            <w:shd w:val="clear" w:color="auto" w:fill="auto"/>
            <w:vAlign w:val="bottom"/>
          </w:tcPr>
          <w:p w14:paraId="7F2FA1AA"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15.07.1987</w:t>
            </w:r>
          </w:p>
        </w:tc>
        <w:tc>
          <w:tcPr>
            <w:tcW w:w="966" w:type="dxa"/>
            <w:tcBorders>
              <w:bottom w:val="single" w:sz="8" w:space="0" w:color="000000"/>
              <w:right w:val="single" w:sz="8" w:space="0" w:color="000000"/>
            </w:tcBorders>
            <w:shd w:val="clear" w:color="auto" w:fill="auto"/>
            <w:vAlign w:val="bottom"/>
          </w:tcPr>
          <w:p w14:paraId="615A056B"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10407</w:t>
            </w:r>
          </w:p>
        </w:tc>
      </w:tr>
      <w:tr w:rsidR="00D8689E" w14:paraId="1158B7E6"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636AE6EB"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Uwe</w:t>
            </w:r>
          </w:p>
        </w:tc>
        <w:tc>
          <w:tcPr>
            <w:tcW w:w="1365" w:type="dxa"/>
            <w:tcBorders>
              <w:bottom w:val="single" w:sz="8" w:space="0" w:color="000000"/>
              <w:right w:val="single" w:sz="8" w:space="0" w:color="000000"/>
            </w:tcBorders>
            <w:shd w:val="clear" w:color="auto" w:fill="auto"/>
            <w:vAlign w:val="bottom"/>
          </w:tcPr>
          <w:p w14:paraId="1729B58B"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Müller</w:t>
            </w:r>
          </w:p>
        </w:tc>
        <w:tc>
          <w:tcPr>
            <w:tcW w:w="1472" w:type="dxa"/>
            <w:tcBorders>
              <w:bottom w:val="single" w:sz="8" w:space="0" w:color="000000"/>
              <w:right w:val="single" w:sz="8" w:space="0" w:color="000000"/>
            </w:tcBorders>
            <w:shd w:val="clear" w:color="auto" w:fill="auto"/>
            <w:vAlign w:val="bottom"/>
          </w:tcPr>
          <w:p w14:paraId="362645C0"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8" w:type="dxa"/>
            <w:tcBorders>
              <w:bottom w:val="single" w:sz="8" w:space="0" w:color="000000"/>
              <w:right w:val="single" w:sz="8" w:space="0" w:color="000000"/>
            </w:tcBorders>
            <w:shd w:val="clear" w:color="auto" w:fill="auto"/>
            <w:vAlign w:val="bottom"/>
          </w:tcPr>
          <w:p w14:paraId="754EAFB0"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31.03.1988</w:t>
            </w:r>
          </w:p>
        </w:tc>
        <w:tc>
          <w:tcPr>
            <w:tcW w:w="966" w:type="dxa"/>
            <w:tcBorders>
              <w:bottom w:val="single" w:sz="8" w:space="0" w:color="000000"/>
              <w:right w:val="single" w:sz="8" w:space="0" w:color="000000"/>
            </w:tcBorders>
            <w:shd w:val="clear" w:color="auto" w:fill="auto"/>
            <w:vAlign w:val="bottom"/>
          </w:tcPr>
          <w:p w14:paraId="66B6E414"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10435</w:t>
            </w:r>
          </w:p>
        </w:tc>
      </w:tr>
      <w:tr w:rsidR="00D8689E" w14:paraId="18D4F620"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1393A3DC"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Michael</w:t>
            </w:r>
          </w:p>
        </w:tc>
        <w:tc>
          <w:tcPr>
            <w:tcW w:w="1365" w:type="dxa"/>
            <w:tcBorders>
              <w:bottom w:val="single" w:sz="8" w:space="0" w:color="000000"/>
              <w:right w:val="single" w:sz="8" w:space="0" w:color="000000"/>
            </w:tcBorders>
            <w:shd w:val="clear" w:color="auto" w:fill="auto"/>
            <w:vAlign w:val="bottom"/>
          </w:tcPr>
          <w:p w14:paraId="2201F655"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sidRPr="004832F9">
              <w:rPr>
                <w:rFonts w:eastAsia="Times New Roman" w:cs="Times New Roman"/>
                <w:color w:val="000000"/>
                <w:lang w:eastAsia="de-DE"/>
              </w:rPr>
              <w:t>Matuschek</w:t>
            </w:r>
          </w:p>
        </w:tc>
        <w:tc>
          <w:tcPr>
            <w:tcW w:w="1472" w:type="dxa"/>
            <w:tcBorders>
              <w:bottom w:val="single" w:sz="8" w:space="0" w:color="000000"/>
              <w:right w:val="single" w:sz="8" w:space="0" w:color="000000"/>
            </w:tcBorders>
            <w:shd w:val="clear" w:color="auto" w:fill="auto"/>
            <w:vAlign w:val="bottom"/>
          </w:tcPr>
          <w:p w14:paraId="4053D253"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8" w:type="dxa"/>
            <w:tcBorders>
              <w:bottom w:val="single" w:sz="8" w:space="0" w:color="000000"/>
              <w:right w:val="single" w:sz="8" w:space="0" w:color="000000"/>
            </w:tcBorders>
            <w:shd w:val="clear" w:color="auto" w:fill="auto"/>
            <w:vAlign w:val="bottom"/>
          </w:tcPr>
          <w:p w14:paraId="6AB8A3E0"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13.04.1968</w:t>
            </w:r>
          </w:p>
        </w:tc>
        <w:tc>
          <w:tcPr>
            <w:tcW w:w="966" w:type="dxa"/>
            <w:tcBorders>
              <w:bottom w:val="single" w:sz="8" w:space="0" w:color="000000"/>
              <w:right w:val="single" w:sz="8" w:space="0" w:color="000000"/>
            </w:tcBorders>
            <w:shd w:val="clear" w:color="auto" w:fill="auto"/>
            <w:vAlign w:val="bottom"/>
          </w:tcPr>
          <w:p w14:paraId="4873AD87"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10439</w:t>
            </w:r>
          </w:p>
        </w:tc>
      </w:tr>
      <w:tr w:rsidR="00D8689E" w14:paraId="2B3A744F"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3CF2FA8C"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Anke</w:t>
            </w:r>
          </w:p>
        </w:tc>
        <w:tc>
          <w:tcPr>
            <w:tcW w:w="1365" w:type="dxa"/>
            <w:tcBorders>
              <w:bottom w:val="single" w:sz="8" w:space="0" w:color="000000"/>
              <w:right w:val="single" w:sz="8" w:space="0" w:color="000000"/>
            </w:tcBorders>
            <w:shd w:val="clear" w:color="auto" w:fill="auto"/>
            <w:vAlign w:val="bottom"/>
          </w:tcPr>
          <w:p w14:paraId="5082AD4B"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Schmidt</w:t>
            </w:r>
          </w:p>
        </w:tc>
        <w:tc>
          <w:tcPr>
            <w:tcW w:w="1472" w:type="dxa"/>
            <w:tcBorders>
              <w:bottom w:val="single" w:sz="8" w:space="0" w:color="000000"/>
              <w:right w:val="single" w:sz="8" w:space="0" w:color="000000"/>
            </w:tcBorders>
            <w:shd w:val="clear" w:color="auto" w:fill="auto"/>
            <w:vAlign w:val="bottom"/>
          </w:tcPr>
          <w:p w14:paraId="403EE75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8" w:type="dxa"/>
            <w:tcBorders>
              <w:bottom w:val="single" w:sz="8" w:space="0" w:color="000000"/>
              <w:right w:val="single" w:sz="8" w:space="0" w:color="000000"/>
            </w:tcBorders>
            <w:shd w:val="clear" w:color="auto" w:fill="auto"/>
            <w:vAlign w:val="bottom"/>
          </w:tcPr>
          <w:p w14:paraId="483CFCCC"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01.04.1978</w:t>
            </w:r>
          </w:p>
        </w:tc>
        <w:tc>
          <w:tcPr>
            <w:tcW w:w="966" w:type="dxa"/>
            <w:tcBorders>
              <w:bottom w:val="single" w:sz="8" w:space="0" w:color="000000"/>
              <w:right w:val="single" w:sz="8" w:space="0" w:color="000000"/>
            </w:tcBorders>
            <w:shd w:val="clear" w:color="auto" w:fill="auto"/>
            <w:vAlign w:val="bottom"/>
          </w:tcPr>
          <w:p w14:paraId="66BAE6F0"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10585</w:t>
            </w:r>
          </w:p>
        </w:tc>
      </w:tr>
      <w:tr w:rsidR="00D8689E" w14:paraId="52B07BFF"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7C8CBC7C"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Kunigunde</w:t>
            </w:r>
          </w:p>
        </w:tc>
        <w:tc>
          <w:tcPr>
            <w:tcW w:w="1365" w:type="dxa"/>
            <w:tcBorders>
              <w:bottom w:val="single" w:sz="8" w:space="0" w:color="000000"/>
              <w:right w:val="single" w:sz="8" w:space="0" w:color="000000"/>
            </w:tcBorders>
            <w:shd w:val="clear" w:color="auto" w:fill="auto"/>
            <w:vAlign w:val="bottom"/>
          </w:tcPr>
          <w:p w14:paraId="3E27CD5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Gewaltig</w:t>
            </w:r>
          </w:p>
        </w:tc>
        <w:tc>
          <w:tcPr>
            <w:tcW w:w="1472" w:type="dxa"/>
            <w:tcBorders>
              <w:bottom w:val="single" w:sz="8" w:space="0" w:color="000000"/>
              <w:right w:val="single" w:sz="8" w:space="0" w:color="000000"/>
            </w:tcBorders>
            <w:shd w:val="clear" w:color="auto" w:fill="auto"/>
            <w:vAlign w:val="bottom"/>
          </w:tcPr>
          <w:p w14:paraId="17FC8866"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8" w:type="dxa"/>
            <w:tcBorders>
              <w:bottom w:val="single" w:sz="8" w:space="0" w:color="000000"/>
              <w:right w:val="single" w:sz="8" w:space="0" w:color="000000"/>
            </w:tcBorders>
            <w:shd w:val="clear" w:color="auto" w:fill="auto"/>
            <w:vAlign w:val="bottom"/>
          </w:tcPr>
          <w:p w14:paraId="4E098114"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21.01.1969</w:t>
            </w:r>
          </w:p>
        </w:tc>
        <w:tc>
          <w:tcPr>
            <w:tcW w:w="966" w:type="dxa"/>
            <w:tcBorders>
              <w:bottom w:val="single" w:sz="8" w:space="0" w:color="000000"/>
              <w:right w:val="single" w:sz="8" w:space="0" w:color="000000"/>
            </w:tcBorders>
            <w:shd w:val="clear" w:color="auto" w:fill="auto"/>
            <w:vAlign w:val="bottom"/>
          </w:tcPr>
          <w:p w14:paraId="5DA9B5CE"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10707</w:t>
            </w:r>
          </w:p>
        </w:tc>
      </w:tr>
      <w:tr w:rsidR="00D8689E" w14:paraId="1C4FBEEE"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5791CF8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Franz</w:t>
            </w:r>
          </w:p>
        </w:tc>
        <w:tc>
          <w:tcPr>
            <w:tcW w:w="1365" w:type="dxa"/>
            <w:tcBorders>
              <w:bottom w:val="single" w:sz="8" w:space="0" w:color="000000"/>
              <w:right w:val="single" w:sz="8" w:space="0" w:color="000000"/>
            </w:tcBorders>
            <w:shd w:val="clear" w:color="auto" w:fill="auto"/>
            <w:vAlign w:val="bottom"/>
          </w:tcPr>
          <w:p w14:paraId="0FD2A15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Herrlich</w:t>
            </w:r>
          </w:p>
        </w:tc>
        <w:tc>
          <w:tcPr>
            <w:tcW w:w="1472" w:type="dxa"/>
            <w:tcBorders>
              <w:bottom w:val="single" w:sz="8" w:space="0" w:color="000000"/>
              <w:right w:val="single" w:sz="8" w:space="0" w:color="000000"/>
            </w:tcBorders>
            <w:shd w:val="clear" w:color="auto" w:fill="auto"/>
            <w:vAlign w:val="bottom"/>
          </w:tcPr>
          <w:p w14:paraId="1E837A44"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8" w:type="dxa"/>
            <w:tcBorders>
              <w:bottom w:val="single" w:sz="8" w:space="0" w:color="000000"/>
              <w:right w:val="single" w:sz="8" w:space="0" w:color="000000"/>
            </w:tcBorders>
            <w:shd w:val="clear" w:color="auto" w:fill="auto"/>
            <w:vAlign w:val="bottom"/>
          </w:tcPr>
          <w:p w14:paraId="34F65460"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17.11.1967</w:t>
            </w:r>
          </w:p>
        </w:tc>
        <w:tc>
          <w:tcPr>
            <w:tcW w:w="966" w:type="dxa"/>
            <w:tcBorders>
              <w:bottom w:val="single" w:sz="8" w:space="0" w:color="000000"/>
              <w:right w:val="single" w:sz="8" w:space="0" w:color="000000"/>
            </w:tcBorders>
            <w:shd w:val="clear" w:color="auto" w:fill="auto"/>
            <w:vAlign w:val="bottom"/>
          </w:tcPr>
          <w:p w14:paraId="690FC043"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10717</w:t>
            </w:r>
          </w:p>
        </w:tc>
      </w:tr>
      <w:tr w:rsidR="00D8689E" w14:paraId="3CD567F4"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3A5C7C37"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Berthold</w:t>
            </w:r>
          </w:p>
        </w:tc>
        <w:tc>
          <w:tcPr>
            <w:tcW w:w="1365" w:type="dxa"/>
            <w:tcBorders>
              <w:bottom w:val="single" w:sz="8" w:space="0" w:color="000000"/>
              <w:right w:val="single" w:sz="8" w:space="0" w:color="000000"/>
            </w:tcBorders>
            <w:shd w:val="clear" w:color="auto" w:fill="auto"/>
            <w:vAlign w:val="bottom"/>
          </w:tcPr>
          <w:p w14:paraId="091615F6"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Koch</w:t>
            </w:r>
          </w:p>
        </w:tc>
        <w:tc>
          <w:tcPr>
            <w:tcW w:w="1472" w:type="dxa"/>
            <w:tcBorders>
              <w:bottom w:val="single" w:sz="8" w:space="0" w:color="000000"/>
              <w:right w:val="single" w:sz="8" w:space="0" w:color="000000"/>
            </w:tcBorders>
            <w:shd w:val="clear" w:color="auto" w:fill="auto"/>
            <w:vAlign w:val="bottom"/>
          </w:tcPr>
          <w:p w14:paraId="2F5538E3"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m</w:t>
            </w:r>
          </w:p>
        </w:tc>
        <w:tc>
          <w:tcPr>
            <w:tcW w:w="1528" w:type="dxa"/>
            <w:tcBorders>
              <w:bottom w:val="single" w:sz="8" w:space="0" w:color="000000"/>
              <w:right w:val="single" w:sz="8" w:space="0" w:color="000000"/>
            </w:tcBorders>
            <w:shd w:val="clear" w:color="auto" w:fill="auto"/>
            <w:vAlign w:val="bottom"/>
          </w:tcPr>
          <w:p w14:paraId="737430FB"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28.08.1991</w:t>
            </w:r>
          </w:p>
        </w:tc>
        <w:tc>
          <w:tcPr>
            <w:tcW w:w="966" w:type="dxa"/>
            <w:tcBorders>
              <w:bottom w:val="single" w:sz="8" w:space="0" w:color="000000"/>
              <w:right w:val="single" w:sz="8" w:space="0" w:color="000000"/>
            </w:tcBorders>
            <w:shd w:val="clear" w:color="auto" w:fill="auto"/>
            <w:vAlign w:val="bottom"/>
          </w:tcPr>
          <w:p w14:paraId="4B880931"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10717</w:t>
            </w:r>
          </w:p>
        </w:tc>
      </w:tr>
      <w:tr w:rsidR="00D8689E" w14:paraId="2461BFFD"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6201DC99" w14:textId="473A9A20" w:rsidR="00D8689E" w:rsidRDefault="00B979F5"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Frieda</w:t>
            </w:r>
          </w:p>
        </w:tc>
        <w:tc>
          <w:tcPr>
            <w:tcW w:w="1365" w:type="dxa"/>
            <w:tcBorders>
              <w:bottom w:val="single" w:sz="8" w:space="0" w:color="000000"/>
              <w:right w:val="single" w:sz="8" w:space="0" w:color="000000"/>
            </w:tcBorders>
            <w:shd w:val="clear" w:color="auto" w:fill="auto"/>
            <w:vAlign w:val="bottom"/>
          </w:tcPr>
          <w:p w14:paraId="7C78B511"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Fischer</w:t>
            </w:r>
          </w:p>
        </w:tc>
        <w:tc>
          <w:tcPr>
            <w:tcW w:w="1472" w:type="dxa"/>
            <w:tcBorders>
              <w:bottom w:val="single" w:sz="8" w:space="0" w:color="000000"/>
              <w:right w:val="single" w:sz="8" w:space="0" w:color="000000"/>
            </w:tcBorders>
            <w:shd w:val="clear" w:color="auto" w:fill="auto"/>
            <w:vAlign w:val="bottom"/>
          </w:tcPr>
          <w:p w14:paraId="3DC74510"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8" w:type="dxa"/>
            <w:tcBorders>
              <w:bottom w:val="single" w:sz="8" w:space="0" w:color="000000"/>
              <w:right w:val="single" w:sz="8" w:space="0" w:color="000000"/>
            </w:tcBorders>
            <w:shd w:val="clear" w:color="auto" w:fill="auto"/>
            <w:vAlign w:val="bottom"/>
          </w:tcPr>
          <w:p w14:paraId="20B14244"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15.11.1987</w:t>
            </w:r>
          </w:p>
        </w:tc>
        <w:tc>
          <w:tcPr>
            <w:tcW w:w="966" w:type="dxa"/>
            <w:tcBorders>
              <w:bottom w:val="single" w:sz="8" w:space="0" w:color="000000"/>
              <w:right w:val="single" w:sz="8" w:space="0" w:color="000000"/>
            </w:tcBorders>
            <w:shd w:val="clear" w:color="auto" w:fill="auto"/>
            <w:vAlign w:val="bottom"/>
          </w:tcPr>
          <w:p w14:paraId="4B48012C"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10787</w:t>
            </w:r>
          </w:p>
        </w:tc>
      </w:tr>
      <w:tr w:rsidR="00D8689E" w14:paraId="16FE0C45"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550F1FEE"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Gerfriede</w:t>
            </w:r>
          </w:p>
        </w:tc>
        <w:tc>
          <w:tcPr>
            <w:tcW w:w="1365" w:type="dxa"/>
            <w:tcBorders>
              <w:bottom w:val="single" w:sz="8" w:space="0" w:color="000000"/>
              <w:right w:val="single" w:sz="8" w:space="0" w:color="000000"/>
            </w:tcBorders>
            <w:shd w:val="clear" w:color="auto" w:fill="auto"/>
            <w:vAlign w:val="bottom"/>
          </w:tcPr>
          <w:p w14:paraId="4048D131"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Jensen</w:t>
            </w:r>
          </w:p>
        </w:tc>
        <w:tc>
          <w:tcPr>
            <w:tcW w:w="1472" w:type="dxa"/>
            <w:tcBorders>
              <w:bottom w:val="single" w:sz="8" w:space="0" w:color="000000"/>
              <w:right w:val="single" w:sz="8" w:space="0" w:color="000000"/>
            </w:tcBorders>
            <w:shd w:val="clear" w:color="auto" w:fill="auto"/>
            <w:vAlign w:val="bottom"/>
          </w:tcPr>
          <w:p w14:paraId="448E1593"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8" w:type="dxa"/>
            <w:tcBorders>
              <w:bottom w:val="single" w:sz="8" w:space="0" w:color="000000"/>
              <w:right w:val="single" w:sz="8" w:space="0" w:color="000000"/>
            </w:tcBorders>
            <w:shd w:val="clear" w:color="auto" w:fill="auto"/>
            <w:vAlign w:val="bottom"/>
          </w:tcPr>
          <w:p w14:paraId="19DE7AE7"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23.07.1983</w:t>
            </w:r>
          </w:p>
        </w:tc>
        <w:tc>
          <w:tcPr>
            <w:tcW w:w="966" w:type="dxa"/>
            <w:tcBorders>
              <w:bottom w:val="single" w:sz="8" w:space="0" w:color="000000"/>
              <w:right w:val="single" w:sz="8" w:space="0" w:color="000000"/>
            </w:tcBorders>
            <w:shd w:val="clear" w:color="auto" w:fill="auto"/>
            <w:vAlign w:val="bottom"/>
          </w:tcPr>
          <w:p w14:paraId="071DA2DF"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10827</w:t>
            </w:r>
          </w:p>
        </w:tc>
      </w:tr>
      <w:tr w:rsidR="00D8689E" w14:paraId="66DD0561" w14:textId="77777777" w:rsidTr="00EE49B7">
        <w:trPr>
          <w:trHeight w:val="315"/>
        </w:trPr>
        <w:tc>
          <w:tcPr>
            <w:tcW w:w="1528" w:type="dxa"/>
            <w:tcBorders>
              <w:left w:val="single" w:sz="8" w:space="0" w:color="000000"/>
              <w:bottom w:val="single" w:sz="8" w:space="0" w:color="000000"/>
              <w:right w:val="single" w:sz="8" w:space="0" w:color="000000"/>
            </w:tcBorders>
            <w:shd w:val="clear" w:color="auto" w:fill="auto"/>
            <w:vAlign w:val="bottom"/>
          </w:tcPr>
          <w:p w14:paraId="2B2982F1"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Käthe</w:t>
            </w:r>
          </w:p>
        </w:tc>
        <w:tc>
          <w:tcPr>
            <w:tcW w:w="1365" w:type="dxa"/>
            <w:tcBorders>
              <w:bottom w:val="single" w:sz="8" w:space="0" w:color="000000"/>
              <w:right w:val="single" w:sz="8" w:space="0" w:color="000000"/>
            </w:tcBorders>
            <w:shd w:val="clear" w:color="auto" w:fill="auto"/>
            <w:vAlign w:val="bottom"/>
          </w:tcPr>
          <w:p w14:paraId="72912327"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Albers</w:t>
            </w:r>
          </w:p>
        </w:tc>
        <w:tc>
          <w:tcPr>
            <w:tcW w:w="1472" w:type="dxa"/>
            <w:tcBorders>
              <w:bottom w:val="single" w:sz="8" w:space="0" w:color="000000"/>
              <w:right w:val="single" w:sz="8" w:space="0" w:color="000000"/>
            </w:tcBorders>
            <w:shd w:val="clear" w:color="auto" w:fill="auto"/>
            <w:vAlign w:val="bottom"/>
          </w:tcPr>
          <w:p w14:paraId="44FE7392" w14:textId="77777777" w:rsidR="00D8689E" w:rsidRDefault="00D8689E" w:rsidP="00EE49B7">
            <w:pPr>
              <w:widowControl w:val="0"/>
              <w:spacing w:after="0" w:line="240" w:lineRule="auto"/>
              <w:jc w:val="left"/>
              <w:rPr>
                <w:rFonts w:ascii="Calibri" w:eastAsia="Times New Roman" w:hAnsi="Calibri" w:cs="Times New Roman"/>
                <w:color w:val="000000"/>
                <w:lang w:eastAsia="de-DE"/>
              </w:rPr>
            </w:pPr>
            <w:r>
              <w:rPr>
                <w:rFonts w:eastAsia="Times New Roman" w:cs="Times New Roman"/>
                <w:color w:val="000000"/>
                <w:lang w:eastAsia="de-DE"/>
              </w:rPr>
              <w:t>w</w:t>
            </w:r>
          </w:p>
        </w:tc>
        <w:tc>
          <w:tcPr>
            <w:tcW w:w="1528" w:type="dxa"/>
            <w:tcBorders>
              <w:bottom w:val="single" w:sz="8" w:space="0" w:color="000000"/>
              <w:right w:val="single" w:sz="8" w:space="0" w:color="000000"/>
            </w:tcBorders>
            <w:shd w:val="clear" w:color="auto" w:fill="auto"/>
            <w:vAlign w:val="bottom"/>
          </w:tcPr>
          <w:p w14:paraId="70A49129"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27.05.1975</w:t>
            </w:r>
          </w:p>
        </w:tc>
        <w:tc>
          <w:tcPr>
            <w:tcW w:w="966" w:type="dxa"/>
            <w:tcBorders>
              <w:bottom w:val="single" w:sz="8" w:space="0" w:color="000000"/>
              <w:right w:val="single" w:sz="8" w:space="0" w:color="000000"/>
            </w:tcBorders>
            <w:shd w:val="clear" w:color="auto" w:fill="auto"/>
            <w:vAlign w:val="bottom"/>
          </w:tcPr>
          <w:p w14:paraId="7461CC06" w14:textId="77777777" w:rsidR="00D8689E" w:rsidRDefault="00D8689E" w:rsidP="00EE49B7">
            <w:pPr>
              <w:widowControl w:val="0"/>
              <w:spacing w:after="0" w:line="240" w:lineRule="auto"/>
              <w:jc w:val="right"/>
              <w:rPr>
                <w:rFonts w:ascii="Calibri" w:eastAsia="Times New Roman" w:hAnsi="Calibri" w:cs="Times New Roman"/>
                <w:color w:val="000000"/>
                <w:lang w:eastAsia="de-DE"/>
              </w:rPr>
            </w:pPr>
            <w:r>
              <w:rPr>
                <w:rFonts w:eastAsia="Times New Roman" w:cs="Times New Roman"/>
                <w:color w:val="000000"/>
                <w:lang w:eastAsia="de-DE"/>
              </w:rPr>
              <w:t>10963</w:t>
            </w:r>
          </w:p>
        </w:tc>
      </w:tr>
    </w:tbl>
    <w:p w14:paraId="4824362D" w14:textId="617A6AA1" w:rsidR="00D8689E" w:rsidRDefault="00D8689E" w:rsidP="00D8689E">
      <w:pPr>
        <w:pStyle w:val="Beschriftung"/>
      </w:pPr>
      <w:bookmarkStart w:id="193" w:name="_Ref512619000"/>
      <w:bookmarkStart w:id="194" w:name="_Toc150540737"/>
      <w:bookmarkStart w:id="195" w:name="_Toc154606730"/>
      <w:r>
        <w:t xml:space="preserve">Tabelle </w:t>
      </w:r>
      <w:r w:rsidR="00000000">
        <w:fldChar w:fldCharType="begin"/>
      </w:r>
      <w:r w:rsidR="00000000">
        <w:instrText xml:space="preserve"> SEQ Tabelle \* ARABIC </w:instrText>
      </w:r>
      <w:r w:rsidR="00000000">
        <w:fldChar w:fldCharType="separate"/>
      </w:r>
      <w:r w:rsidR="00C9149F">
        <w:rPr>
          <w:noProof/>
        </w:rPr>
        <w:t>13</w:t>
      </w:r>
      <w:r w:rsidR="00000000">
        <w:rPr>
          <w:noProof/>
        </w:rPr>
        <w:fldChar w:fldCharType="end"/>
      </w:r>
      <w:bookmarkEnd w:id="193"/>
      <w:r>
        <w:t>: Zuordnungsmöglichkeiten durch die Originaldaten</w:t>
      </w:r>
      <w:bookmarkEnd w:id="194"/>
      <w:bookmarkEnd w:id="195"/>
    </w:p>
    <w:p w14:paraId="303F3151" w14:textId="646E4813" w:rsidR="00D8689E" w:rsidRDefault="00D8689E" w:rsidP="00D8689E">
      <w:r>
        <w:t xml:space="preserve">Existiert hingegen auch nur ein teilweise möglicher Zugriff auf die Originaldaten aus </w:t>
      </w:r>
      <w:r>
        <w:fldChar w:fldCharType="begin"/>
      </w:r>
      <w:r>
        <w:instrText xml:space="preserve"> REF _Ref512619000 \h </w:instrText>
      </w:r>
      <w:r>
        <w:fldChar w:fldCharType="separate"/>
      </w:r>
      <w:r w:rsidR="00C9149F">
        <w:t xml:space="preserve">Tabelle </w:t>
      </w:r>
      <w:r w:rsidR="00C9149F">
        <w:rPr>
          <w:noProof/>
        </w:rPr>
        <w:t>13</w:t>
      </w:r>
      <w:r>
        <w:fldChar w:fldCharType="end"/>
      </w:r>
      <w:r>
        <w:t xml:space="preserve">, so ist eine Re-Identifikation der Daten aus </w:t>
      </w:r>
      <w:r>
        <w:fldChar w:fldCharType="begin"/>
      </w:r>
      <w:r>
        <w:instrText xml:space="preserve"> REF _Ref512619024 \h </w:instrText>
      </w:r>
      <w:r>
        <w:fldChar w:fldCharType="separate"/>
      </w:r>
      <w:r w:rsidR="00C9149F">
        <w:t xml:space="preserve">Tabelle </w:t>
      </w:r>
      <w:r w:rsidR="00C9149F">
        <w:rPr>
          <w:noProof/>
        </w:rPr>
        <w:t>12</w:t>
      </w:r>
      <w:r>
        <w:fldChar w:fldCharType="end"/>
      </w:r>
      <w:r>
        <w:t xml:space="preserve"> möglich: Nur Frau Richter und Herr Schröder wohnen in einem Bereich, dessen PLZ mit „1011“ beginnt und durch die Geschlechtsangabe ist eine eindeutige Zuordnung möglich. Die Daten sind also nicht als anonyme Daten anzusehen, sondern als pseudonyme Daten.</w:t>
      </w:r>
    </w:p>
    <w:p w14:paraId="0353C985" w14:textId="5F7D3EDF" w:rsidR="00D8689E" w:rsidRDefault="00E4497D" w:rsidP="00E4497D">
      <w:pPr>
        <w:pStyle w:val="berschrift4"/>
      </w:pPr>
      <w:bookmarkStart w:id="196" w:name="_Toc154652651"/>
      <w:r w:rsidRPr="00E4497D">
        <w:t>Homogenitätsangriff</w:t>
      </w:r>
      <w:bookmarkEnd w:id="196"/>
    </w:p>
    <w:p w14:paraId="0734B894" w14:textId="4BB610F9" w:rsidR="00E4497D" w:rsidRDefault="00E4497D" w:rsidP="00D8689E">
      <w:r>
        <w:t xml:space="preserve">Der </w:t>
      </w:r>
      <w:r w:rsidRPr="00E4497D">
        <w:t>Homogenitätsangriff</w:t>
      </w:r>
      <w:r>
        <w:t xml:space="preserve"> gehört zu den Methoden, wo verfügbare</w:t>
      </w:r>
      <w:r w:rsidR="00B979F5">
        <w:t>s</w:t>
      </w:r>
      <w:r>
        <w:t xml:space="preserve"> Zusatzwissen für einen Angriff auf die </w:t>
      </w:r>
      <w:r w:rsidR="004C1658" w:rsidRPr="004832F9">
        <w:t>D</w:t>
      </w:r>
      <w:r w:rsidRPr="004832F9">
        <w:t>e-Identifikation</w:t>
      </w:r>
      <w:r>
        <w:t xml:space="preserve"> genutzt wird.</w:t>
      </w:r>
    </w:p>
    <w:p w14:paraId="27A4D1C5" w14:textId="052F3A28" w:rsidR="00E4497D" w:rsidRDefault="00E4497D" w:rsidP="00E4497D">
      <w:pPr>
        <w:spacing w:after="0"/>
        <w:ind w:left="567" w:hanging="567"/>
      </w:pPr>
      <w:r>
        <w:t>Beispiel: Max Mustermann ist 1983 geboren. Ist bekannt, dass er zu einem bestimmten Zeitpunkt in einer bestimmten Klinik in Behandlung war, so ist er mit diesem Zusatzwissen bei Zugriff auf (ggf. öffentlich gemachte) Daten ggf. re-identifizierbar.</w:t>
      </w:r>
    </w:p>
    <w:tbl>
      <w:tblPr>
        <w:tblW w:w="666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4"/>
        <w:gridCol w:w="1487"/>
        <w:gridCol w:w="1134"/>
        <w:gridCol w:w="2268"/>
      </w:tblGrid>
      <w:tr w:rsidR="00E4497D" w14:paraId="55170C2A" w14:textId="77777777" w:rsidTr="00F759B1">
        <w:trPr>
          <w:trHeight w:val="315"/>
          <w:tblHeader/>
        </w:trPr>
        <w:tc>
          <w:tcPr>
            <w:tcW w:w="1774" w:type="dxa"/>
            <w:shd w:val="clear" w:color="auto" w:fill="auto"/>
            <w:vAlign w:val="center"/>
          </w:tcPr>
          <w:p w14:paraId="6A27D187"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Geschlecht</w:t>
            </w:r>
          </w:p>
        </w:tc>
        <w:tc>
          <w:tcPr>
            <w:tcW w:w="1487" w:type="dxa"/>
            <w:shd w:val="clear" w:color="auto" w:fill="auto"/>
            <w:vAlign w:val="center"/>
          </w:tcPr>
          <w:p w14:paraId="149E1644" w14:textId="54A7AAEE"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Geb.-Jahr</w:t>
            </w:r>
          </w:p>
        </w:tc>
        <w:tc>
          <w:tcPr>
            <w:tcW w:w="1134" w:type="dxa"/>
            <w:shd w:val="clear" w:color="auto" w:fill="auto"/>
            <w:vAlign w:val="center"/>
          </w:tcPr>
          <w:p w14:paraId="0FC8E99A" w14:textId="77777777" w:rsidR="00E4497D" w:rsidRDefault="00E4497D"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PLZ</w:t>
            </w:r>
          </w:p>
        </w:tc>
        <w:tc>
          <w:tcPr>
            <w:tcW w:w="2268" w:type="dxa"/>
          </w:tcPr>
          <w:p w14:paraId="29B66395" w14:textId="77777777" w:rsidR="00E4497D" w:rsidRDefault="00E4497D" w:rsidP="009C4D24">
            <w:pPr>
              <w:widowControl w:val="0"/>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Diagnose</w:t>
            </w:r>
          </w:p>
        </w:tc>
      </w:tr>
      <w:tr w:rsidR="00E4497D" w14:paraId="7BD3A058" w14:textId="77777777" w:rsidTr="00F759B1">
        <w:trPr>
          <w:trHeight w:val="315"/>
        </w:trPr>
        <w:tc>
          <w:tcPr>
            <w:tcW w:w="1774" w:type="dxa"/>
            <w:shd w:val="clear" w:color="auto" w:fill="auto"/>
          </w:tcPr>
          <w:p w14:paraId="703A9A92"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W</w:t>
            </w:r>
          </w:p>
        </w:tc>
        <w:tc>
          <w:tcPr>
            <w:tcW w:w="1487" w:type="dxa"/>
            <w:shd w:val="clear" w:color="auto" w:fill="auto"/>
          </w:tcPr>
          <w:p w14:paraId="1348C1C9" w14:textId="73E585F0" w:rsidR="00E4497D" w:rsidRDefault="00E4497D"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1983</w:t>
            </w:r>
          </w:p>
        </w:tc>
        <w:tc>
          <w:tcPr>
            <w:tcW w:w="1134" w:type="dxa"/>
            <w:shd w:val="clear" w:color="auto" w:fill="auto"/>
          </w:tcPr>
          <w:p w14:paraId="693F017A" w14:textId="41DE650E"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31288DC6"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E4497D" w14:paraId="5EED5DA1" w14:textId="77777777" w:rsidTr="00F759B1">
        <w:trPr>
          <w:trHeight w:val="315"/>
        </w:trPr>
        <w:tc>
          <w:tcPr>
            <w:tcW w:w="1774" w:type="dxa"/>
            <w:shd w:val="clear" w:color="auto" w:fill="auto"/>
          </w:tcPr>
          <w:p w14:paraId="00BB51C0"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487" w:type="dxa"/>
            <w:shd w:val="clear" w:color="auto" w:fill="auto"/>
          </w:tcPr>
          <w:p w14:paraId="2D3BD6F1" w14:textId="629B97CD" w:rsidR="00E4497D" w:rsidRDefault="00E4497D"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1981</w:t>
            </w:r>
          </w:p>
        </w:tc>
        <w:tc>
          <w:tcPr>
            <w:tcW w:w="1134" w:type="dxa"/>
            <w:shd w:val="clear" w:color="auto" w:fill="auto"/>
          </w:tcPr>
          <w:p w14:paraId="6BB1AB20" w14:textId="2F6FAB21"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19FECC39" w14:textId="5870D5E1"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r w:rsidR="00E4497D" w14:paraId="4AA4FC36" w14:textId="77777777" w:rsidTr="00F759B1">
        <w:trPr>
          <w:trHeight w:val="315"/>
        </w:trPr>
        <w:tc>
          <w:tcPr>
            <w:tcW w:w="1774" w:type="dxa"/>
            <w:shd w:val="clear" w:color="auto" w:fill="auto"/>
          </w:tcPr>
          <w:p w14:paraId="532DC8CC" w14:textId="77777777"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487" w:type="dxa"/>
            <w:shd w:val="clear" w:color="auto" w:fill="auto"/>
          </w:tcPr>
          <w:p w14:paraId="1E7D15C0" w14:textId="53DFFEE5" w:rsidR="00E4497D" w:rsidRDefault="00E4497D"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1983</w:t>
            </w:r>
          </w:p>
        </w:tc>
        <w:tc>
          <w:tcPr>
            <w:tcW w:w="1134" w:type="dxa"/>
            <w:shd w:val="clear" w:color="auto" w:fill="auto"/>
          </w:tcPr>
          <w:p w14:paraId="3FB81FD9" w14:textId="09B6755D" w:rsidR="00E4497D" w:rsidRDefault="00E4497D" w:rsidP="009C4D2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15AA8B0C"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E4497D" w14:paraId="48BCC344" w14:textId="77777777" w:rsidTr="00F759B1">
        <w:trPr>
          <w:trHeight w:val="315"/>
        </w:trPr>
        <w:tc>
          <w:tcPr>
            <w:tcW w:w="1774" w:type="dxa"/>
            <w:shd w:val="clear" w:color="auto" w:fill="auto"/>
          </w:tcPr>
          <w:p w14:paraId="366C8DF1" w14:textId="45818F74"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W</w:t>
            </w:r>
          </w:p>
        </w:tc>
        <w:tc>
          <w:tcPr>
            <w:tcW w:w="1487" w:type="dxa"/>
            <w:shd w:val="clear" w:color="auto" w:fill="auto"/>
          </w:tcPr>
          <w:p w14:paraId="7D8E26B8" w14:textId="66152F09" w:rsidR="00E4497D" w:rsidRPr="00E4497D" w:rsidRDefault="00E4497D"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1981</w:t>
            </w:r>
          </w:p>
        </w:tc>
        <w:tc>
          <w:tcPr>
            <w:tcW w:w="1134" w:type="dxa"/>
            <w:shd w:val="clear" w:color="auto" w:fill="auto"/>
          </w:tcPr>
          <w:p w14:paraId="51706EAF" w14:textId="68E726F9" w:rsidR="00E4497D" w:rsidRPr="00E4497D" w:rsidRDefault="00E4497D" w:rsidP="009C4D2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61530391" w14:textId="77777777" w:rsidR="00E4497D" w:rsidRDefault="00E4497D" w:rsidP="009C4D2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Wahnvorstellungen</w:t>
            </w:r>
          </w:p>
        </w:tc>
      </w:tr>
    </w:tbl>
    <w:p w14:paraId="24385B15" w14:textId="2373BEE5" w:rsidR="00E4497D" w:rsidRDefault="00E4497D" w:rsidP="00E4497D">
      <w:pPr>
        <w:ind w:left="567"/>
      </w:pPr>
      <w:r>
        <w:t>In obiger Tabelle ist Max Mustermann trotz der k-Anonymität von k=2 sofort zu identifizieren</w:t>
      </w:r>
      <w:r w:rsidR="00176A64">
        <w:t xml:space="preserve"> und damit ist seine Diagnose bekannt</w:t>
      </w:r>
      <w:r>
        <w:t>.</w:t>
      </w:r>
    </w:p>
    <w:p w14:paraId="434897B8" w14:textId="2B486722" w:rsidR="00E4497D" w:rsidRDefault="00176A64" w:rsidP="00176A64">
      <w:pPr>
        <w:spacing w:after="0"/>
      </w:pPr>
      <w:r>
        <w:t>In größeren Tabellen werden Werte ggf. nicht nur auf eine Person zutreffen. Aber selbst</w:t>
      </w:r>
      <w:r w:rsidR="00404AB5">
        <w:t>,</w:t>
      </w:r>
      <w:r>
        <w:t xml:space="preserve"> wenn aufgrund der großen Datenmenge </w:t>
      </w:r>
      <w:r w:rsidR="005B1D56">
        <w:t>sechs</w:t>
      </w:r>
      <w:r>
        <w:t xml:space="preserve"> </w:t>
      </w:r>
      <w:r w:rsidR="005B1D56">
        <w:t>Personen</w:t>
      </w:r>
      <w:r>
        <w:t xml:space="preserve"> die</w:t>
      </w:r>
      <w:r w:rsidR="005B1D56">
        <w:t xml:space="preserve"> gleichen</w:t>
      </w:r>
      <w:r>
        <w:t xml:space="preserve"> </w:t>
      </w:r>
      <w:r w:rsidR="005B1D56">
        <w:t>Werte</w:t>
      </w:r>
      <w:r>
        <w:t xml:space="preserve"> aufweisen, ist die Diagnose für Max Mustermann immer noch eindeutig – auch wenn man nicht weiß, welcher der </w:t>
      </w:r>
      <w:r w:rsidR="005B1D56">
        <w:t>sechs</w:t>
      </w:r>
      <w:r>
        <w:t xml:space="preserve"> Einträge für </w:t>
      </w:r>
      <w:r w:rsidR="004C1658" w:rsidRPr="004C1658">
        <w:t>M</w:t>
      </w:r>
      <w:r w:rsidRPr="004C1658">
        <w:t>ax</w:t>
      </w:r>
      <w:r>
        <w:t xml:space="preserve"> Mustermann richtig ist:</w:t>
      </w:r>
    </w:p>
    <w:tbl>
      <w:tblPr>
        <w:tblW w:w="666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4"/>
        <w:gridCol w:w="1487"/>
        <w:gridCol w:w="1134"/>
        <w:gridCol w:w="2268"/>
      </w:tblGrid>
      <w:tr w:rsidR="00176A64" w14:paraId="1EBA45D0" w14:textId="77777777" w:rsidTr="00F759B1">
        <w:trPr>
          <w:trHeight w:val="315"/>
          <w:tblHeader/>
        </w:trPr>
        <w:tc>
          <w:tcPr>
            <w:tcW w:w="1774" w:type="dxa"/>
            <w:shd w:val="clear" w:color="auto" w:fill="auto"/>
            <w:vAlign w:val="center"/>
          </w:tcPr>
          <w:p w14:paraId="2686EAA0" w14:textId="77777777" w:rsidR="00176A64" w:rsidRDefault="00176A64"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Geschlecht</w:t>
            </w:r>
          </w:p>
        </w:tc>
        <w:tc>
          <w:tcPr>
            <w:tcW w:w="1487" w:type="dxa"/>
            <w:shd w:val="clear" w:color="auto" w:fill="auto"/>
            <w:vAlign w:val="center"/>
          </w:tcPr>
          <w:p w14:paraId="20E3BFF0" w14:textId="77777777" w:rsidR="00176A64" w:rsidRDefault="00176A64"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Geb.-Jahr</w:t>
            </w:r>
          </w:p>
        </w:tc>
        <w:tc>
          <w:tcPr>
            <w:tcW w:w="1134" w:type="dxa"/>
            <w:shd w:val="clear" w:color="auto" w:fill="auto"/>
            <w:vAlign w:val="center"/>
          </w:tcPr>
          <w:p w14:paraId="5C471C6C" w14:textId="77777777" w:rsidR="00176A64" w:rsidRDefault="00176A64" w:rsidP="009C4D24">
            <w:pPr>
              <w:widowControl w:val="0"/>
              <w:spacing w:after="0" w:line="240" w:lineRule="auto"/>
              <w:jc w:val="center"/>
              <w:rPr>
                <w:rFonts w:ascii="Calibri" w:eastAsia="Times New Roman" w:hAnsi="Calibri" w:cs="Times New Roman"/>
                <w:b/>
                <w:bCs/>
                <w:color w:val="000000"/>
                <w:sz w:val="20"/>
                <w:szCs w:val="20"/>
                <w:lang w:eastAsia="de-DE"/>
              </w:rPr>
            </w:pPr>
            <w:r>
              <w:rPr>
                <w:rFonts w:eastAsia="Times New Roman" w:cs="Times New Roman"/>
                <w:b/>
                <w:bCs/>
                <w:color w:val="000000"/>
                <w:sz w:val="20"/>
                <w:szCs w:val="20"/>
                <w:lang w:eastAsia="de-DE"/>
              </w:rPr>
              <w:t>PLZ</w:t>
            </w:r>
          </w:p>
        </w:tc>
        <w:tc>
          <w:tcPr>
            <w:tcW w:w="2268" w:type="dxa"/>
          </w:tcPr>
          <w:p w14:paraId="2F1A4AF4" w14:textId="77777777" w:rsidR="00176A64" w:rsidRDefault="00176A64" w:rsidP="009C4D24">
            <w:pPr>
              <w:widowControl w:val="0"/>
              <w:spacing w:after="0" w:line="240" w:lineRule="auto"/>
              <w:jc w:val="center"/>
              <w:rPr>
                <w:rFonts w:eastAsia="Times New Roman" w:cs="Times New Roman"/>
                <w:b/>
                <w:bCs/>
                <w:color w:val="000000"/>
                <w:sz w:val="20"/>
                <w:szCs w:val="20"/>
                <w:lang w:eastAsia="de-DE"/>
              </w:rPr>
            </w:pPr>
            <w:r>
              <w:rPr>
                <w:rFonts w:eastAsia="Times New Roman" w:cs="Times New Roman"/>
                <w:b/>
                <w:bCs/>
                <w:color w:val="000000"/>
                <w:sz w:val="20"/>
                <w:szCs w:val="20"/>
                <w:lang w:eastAsia="de-DE"/>
              </w:rPr>
              <w:t>Diagnose</w:t>
            </w:r>
          </w:p>
        </w:tc>
      </w:tr>
      <w:tr w:rsidR="00176A64" w14:paraId="2B0BD434" w14:textId="77777777" w:rsidTr="00F759B1">
        <w:trPr>
          <w:trHeight w:val="315"/>
        </w:trPr>
        <w:tc>
          <w:tcPr>
            <w:tcW w:w="1774" w:type="dxa"/>
            <w:shd w:val="clear" w:color="auto" w:fill="auto"/>
          </w:tcPr>
          <w:p w14:paraId="6B1507DD" w14:textId="511DDE8C" w:rsidR="00176A64" w:rsidRDefault="00176A64" w:rsidP="00176A6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M</w:t>
            </w:r>
          </w:p>
        </w:tc>
        <w:tc>
          <w:tcPr>
            <w:tcW w:w="1487" w:type="dxa"/>
            <w:shd w:val="clear" w:color="auto" w:fill="auto"/>
          </w:tcPr>
          <w:p w14:paraId="20DB982E" w14:textId="5CBB85C2" w:rsidR="00176A64" w:rsidRDefault="00176A64" w:rsidP="00F759B1">
            <w:pPr>
              <w:widowControl w:val="0"/>
              <w:spacing w:after="0" w:line="240" w:lineRule="auto"/>
              <w:jc w:val="righ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1983</w:t>
            </w:r>
          </w:p>
        </w:tc>
        <w:tc>
          <w:tcPr>
            <w:tcW w:w="1134" w:type="dxa"/>
            <w:shd w:val="clear" w:color="auto" w:fill="auto"/>
          </w:tcPr>
          <w:p w14:paraId="2369EFF5" w14:textId="2D4C9AAA" w:rsidR="00176A64" w:rsidRDefault="00176A64" w:rsidP="00176A64">
            <w:pPr>
              <w:widowControl w:val="0"/>
              <w:spacing w:after="0" w:line="240" w:lineRule="auto"/>
              <w:jc w:val="left"/>
              <w:rPr>
                <w:rFonts w:ascii="Calibri" w:eastAsia="Times New Roman" w:hAnsi="Calibri"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32275C47" w14:textId="299B39E6" w:rsidR="00176A64"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176A64" w14:paraId="0B1B4069" w14:textId="77777777" w:rsidTr="00F759B1">
        <w:trPr>
          <w:trHeight w:val="315"/>
        </w:trPr>
        <w:tc>
          <w:tcPr>
            <w:tcW w:w="1774" w:type="dxa"/>
            <w:shd w:val="clear" w:color="auto" w:fill="auto"/>
          </w:tcPr>
          <w:p w14:paraId="42F470D8" w14:textId="3103D896"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M</w:t>
            </w:r>
          </w:p>
        </w:tc>
        <w:tc>
          <w:tcPr>
            <w:tcW w:w="1487" w:type="dxa"/>
            <w:shd w:val="clear" w:color="auto" w:fill="auto"/>
          </w:tcPr>
          <w:p w14:paraId="3699EF6D" w14:textId="7B98B7A6" w:rsidR="00176A64" w:rsidRDefault="00176A64"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1983</w:t>
            </w:r>
          </w:p>
        </w:tc>
        <w:tc>
          <w:tcPr>
            <w:tcW w:w="1134" w:type="dxa"/>
            <w:shd w:val="clear" w:color="auto" w:fill="auto"/>
          </w:tcPr>
          <w:p w14:paraId="4A830416" w14:textId="2CCA4E3F"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1F409184" w14:textId="682892F0" w:rsidR="00176A64" w:rsidRPr="00E4497D"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176A64" w14:paraId="13CFCDDE" w14:textId="77777777" w:rsidTr="00F759B1">
        <w:trPr>
          <w:trHeight w:val="315"/>
        </w:trPr>
        <w:tc>
          <w:tcPr>
            <w:tcW w:w="1774" w:type="dxa"/>
            <w:shd w:val="clear" w:color="auto" w:fill="auto"/>
          </w:tcPr>
          <w:p w14:paraId="324F9638" w14:textId="6BD4852A"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M</w:t>
            </w:r>
          </w:p>
        </w:tc>
        <w:tc>
          <w:tcPr>
            <w:tcW w:w="1487" w:type="dxa"/>
            <w:shd w:val="clear" w:color="auto" w:fill="auto"/>
          </w:tcPr>
          <w:p w14:paraId="3242B54A" w14:textId="53059664" w:rsidR="00176A64" w:rsidRDefault="00176A64"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1983</w:t>
            </w:r>
          </w:p>
        </w:tc>
        <w:tc>
          <w:tcPr>
            <w:tcW w:w="1134" w:type="dxa"/>
            <w:shd w:val="clear" w:color="auto" w:fill="auto"/>
          </w:tcPr>
          <w:p w14:paraId="4431B4A5" w14:textId="1867572B"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41EBF2D6" w14:textId="4F87C21F" w:rsidR="00176A64" w:rsidRPr="00E4497D"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176A64" w14:paraId="6B088AF6" w14:textId="77777777" w:rsidTr="00F759B1">
        <w:trPr>
          <w:trHeight w:val="315"/>
        </w:trPr>
        <w:tc>
          <w:tcPr>
            <w:tcW w:w="1774" w:type="dxa"/>
            <w:shd w:val="clear" w:color="auto" w:fill="auto"/>
          </w:tcPr>
          <w:p w14:paraId="4954CEDB" w14:textId="116B94F3"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M</w:t>
            </w:r>
          </w:p>
        </w:tc>
        <w:tc>
          <w:tcPr>
            <w:tcW w:w="1487" w:type="dxa"/>
            <w:shd w:val="clear" w:color="auto" w:fill="auto"/>
          </w:tcPr>
          <w:p w14:paraId="5590963A" w14:textId="673DDA2F" w:rsidR="00176A64" w:rsidRDefault="00176A64"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1983</w:t>
            </w:r>
          </w:p>
        </w:tc>
        <w:tc>
          <w:tcPr>
            <w:tcW w:w="1134" w:type="dxa"/>
            <w:shd w:val="clear" w:color="auto" w:fill="auto"/>
          </w:tcPr>
          <w:p w14:paraId="26E013C7" w14:textId="4AE827D9"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7D637190" w14:textId="474D8374" w:rsidR="00176A64" w:rsidRPr="00E4497D"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176A64" w14:paraId="07FE9D65" w14:textId="77777777" w:rsidTr="00F759B1">
        <w:trPr>
          <w:trHeight w:val="315"/>
        </w:trPr>
        <w:tc>
          <w:tcPr>
            <w:tcW w:w="1774" w:type="dxa"/>
            <w:shd w:val="clear" w:color="auto" w:fill="auto"/>
          </w:tcPr>
          <w:p w14:paraId="2F435562" w14:textId="19A1E5AC"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M</w:t>
            </w:r>
          </w:p>
        </w:tc>
        <w:tc>
          <w:tcPr>
            <w:tcW w:w="1487" w:type="dxa"/>
            <w:shd w:val="clear" w:color="auto" w:fill="auto"/>
          </w:tcPr>
          <w:p w14:paraId="452F4EF1" w14:textId="72F4C46F" w:rsidR="00176A64" w:rsidRDefault="00176A64"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1983</w:t>
            </w:r>
          </w:p>
        </w:tc>
        <w:tc>
          <w:tcPr>
            <w:tcW w:w="1134" w:type="dxa"/>
            <w:shd w:val="clear" w:color="auto" w:fill="auto"/>
          </w:tcPr>
          <w:p w14:paraId="42F4522F" w14:textId="3320C512"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3201BEB9" w14:textId="0B350900" w:rsidR="00176A64" w:rsidRPr="00E4497D"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r w:rsidR="00176A64" w14:paraId="71457DCB" w14:textId="77777777" w:rsidTr="00F759B1">
        <w:trPr>
          <w:trHeight w:val="315"/>
        </w:trPr>
        <w:tc>
          <w:tcPr>
            <w:tcW w:w="1774" w:type="dxa"/>
            <w:shd w:val="clear" w:color="auto" w:fill="auto"/>
          </w:tcPr>
          <w:p w14:paraId="06710ED4" w14:textId="707D3C96"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M</w:t>
            </w:r>
          </w:p>
        </w:tc>
        <w:tc>
          <w:tcPr>
            <w:tcW w:w="1487" w:type="dxa"/>
            <w:shd w:val="clear" w:color="auto" w:fill="auto"/>
          </w:tcPr>
          <w:p w14:paraId="3A529217" w14:textId="0F8A27D4" w:rsidR="00176A64" w:rsidRDefault="00176A64" w:rsidP="00F759B1">
            <w:pPr>
              <w:widowControl w:val="0"/>
              <w:spacing w:after="0" w:line="240" w:lineRule="auto"/>
              <w:jc w:val="right"/>
              <w:rPr>
                <w:rFonts w:eastAsia="Times New Roman" w:cs="Times New Roman"/>
                <w:color w:val="000000"/>
                <w:sz w:val="20"/>
                <w:szCs w:val="20"/>
                <w:lang w:eastAsia="de-DE"/>
              </w:rPr>
            </w:pPr>
            <w:r>
              <w:rPr>
                <w:rFonts w:eastAsia="Times New Roman" w:cs="Times New Roman"/>
                <w:color w:val="000000"/>
                <w:sz w:val="20"/>
                <w:szCs w:val="20"/>
                <w:lang w:eastAsia="de-DE"/>
              </w:rPr>
              <w:t>1983</w:t>
            </w:r>
          </w:p>
        </w:tc>
        <w:tc>
          <w:tcPr>
            <w:tcW w:w="1134" w:type="dxa"/>
            <w:shd w:val="clear" w:color="auto" w:fill="auto"/>
          </w:tcPr>
          <w:p w14:paraId="0CBB433E" w14:textId="4226A1B1" w:rsidR="00176A64" w:rsidRDefault="00176A64" w:rsidP="00176A64">
            <w:pPr>
              <w:widowControl w:val="0"/>
              <w:spacing w:after="0" w:line="240" w:lineRule="auto"/>
              <w:jc w:val="left"/>
              <w:rPr>
                <w:rFonts w:eastAsia="Times New Roman" w:cs="Times New Roman"/>
                <w:color w:val="000000"/>
                <w:sz w:val="20"/>
                <w:szCs w:val="20"/>
                <w:lang w:eastAsia="de-DE"/>
              </w:rPr>
            </w:pPr>
            <w:r>
              <w:rPr>
                <w:rFonts w:eastAsia="Times New Roman" w:cs="Times New Roman"/>
                <w:color w:val="000000"/>
                <w:sz w:val="20"/>
                <w:szCs w:val="20"/>
                <w:lang w:eastAsia="de-DE"/>
              </w:rPr>
              <w:t>101*</w:t>
            </w:r>
          </w:p>
        </w:tc>
        <w:tc>
          <w:tcPr>
            <w:tcW w:w="2268" w:type="dxa"/>
          </w:tcPr>
          <w:p w14:paraId="070F4E8F" w14:textId="5F15ED8C" w:rsidR="00176A64" w:rsidRPr="00E4497D" w:rsidRDefault="00176A64" w:rsidP="00176A64">
            <w:pPr>
              <w:widowControl w:val="0"/>
              <w:spacing w:after="0" w:line="240" w:lineRule="auto"/>
              <w:jc w:val="left"/>
              <w:rPr>
                <w:rFonts w:eastAsia="Times New Roman" w:cs="Times New Roman"/>
                <w:color w:val="000000"/>
                <w:sz w:val="20"/>
                <w:szCs w:val="20"/>
                <w:lang w:eastAsia="de-DE"/>
              </w:rPr>
            </w:pPr>
            <w:r w:rsidRPr="00E4497D">
              <w:rPr>
                <w:rFonts w:eastAsia="Times New Roman" w:cs="Times New Roman"/>
                <w:color w:val="000000"/>
                <w:sz w:val="20"/>
                <w:szCs w:val="20"/>
                <w:lang w:eastAsia="de-DE"/>
              </w:rPr>
              <w:t>Depression</w:t>
            </w:r>
          </w:p>
        </w:tc>
      </w:tr>
    </w:tbl>
    <w:p w14:paraId="6E41F862" w14:textId="77777777" w:rsidR="00176A64" w:rsidRDefault="00176A64" w:rsidP="00D8689E"/>
    <w:p w14:paraId="0C5BFA0D" w14:textId="12EE9C28" w:rsidR="00AE4EA7" w:rsidRDefault="00000000">
      <w:pPr>
        <w:pStyle w:val="berschrift3"/>
      </w:pPr>
      <w:bookmarkStart w:id="197" w:name="_Toc154652652"/>
      <w:r>
        <w:t>Grundbedingung</w:t>
      </w:r>
      <w:r w:rsidR="00027508">
        <w:t>en</w:t>
      </w:r>
      <w:r>
        <w:t xml:space="preserve"> für eine Prüfung</w:t>
      </w:r>
      <w:bookmarkEnd w:id="197"/>
    </w:p>
    <w:p w14:paraId="3F9475F3" w14:textId="4BC3EBD9" w:rsidR="00AE4EA7" w:rsidRDefault="00000000">
      <w:pPr>
        <w:spacing w:after="0"/>
      </w:pPr>
      <w:r>
        <w:t xml:space="preserve">Bei einer Prüfung des Ergebnisses einer Pseudonymisierung/Anonymisierung muss sowohl </w:t>
      </w:r>
      <w:r w:rsidR="00497C33">
        <w:t>der Prozess</w:t>
      </w:r>
      <w:r>
        <w:t xml:space="preserve"> der Verarbeitung, </w:t>
      </w:r>
      <w:r w:rsidR="00497C33">
        <w:t>d. h.</w:t>
      </w:r>
      <w:r>
        <w:t xml:space="preserve"> die Methodik und d</w:t>
      </w:r>
      <w:r w:rsidR="00027508">
        <w:t>i</w:t>
      </w:r>
      <w:r>
        <w:t>e Umsetzung der Methodik</w:t>
      </w:r>
      <w:r w:rsidR="00027508">
        <w:t>,</w:t>
      </w:r>
      <w:r>
        <w:t xml:space="preserve"> wie </w:t>
      </w:r>
      <w:r w:rsidR="00027508">
        <w:t xml:space="preserve">auch </w:t>
      </w:r>
      <w:r>
        <w:t>das vorhandene Ergebnis</w:t>
      </w:r>
      <w:r w:rsidR="00497C33" w:rsidRPr="00497C33">
        <w:t xml:space="preserve"> </w:t>
      </w:r>
      <w:r w:rsidR="00497C33">
        <w:t>beurteilt werden</w:t>
      </w:r>
      <w:r>
        <w:t xml:space="preserve">. </w:t>
      </w:r>
      <w:r w:rsidR="00027508">
        <w:t>Voraussetzung d</w:t>
      </w:r>
      <w:r>
        <w:t>afür ist</w:t>
      </w:r>
      <w:r w:rsidR="00027508">
        <w:t xml:space="preserve"> eine Dokumentation</w:t>
      </w:r>
      <w:r>
        <w:t xml:space="preserve">, </w:t>
      </w:r>
      <w:r w:rsidR="00027508">
        <w:t>die in ihrer Gesamtheit nachvollziehbar ist</w:t>
      </w:r>
      <w:r>
        <w:t>. Die/</w:t>
      </w:r>
      <w:r w:rsidR="004C1658" w:rsidRPr="004C1658">
        <w:t>d</w:t>
      </w:r>
      <w:r w:rsidRPr="004C1658">
        <w:t>er</w:t>
      </w:r>
      <w:r>
        <w:t xml:space="preserve"> Prüfende benötigt:</w:t>
      </w:r>
    </w:p>
    <w:p w14:paraId="3D7DD214" w14:textId="26D8AC82" w:rsidR="00AE4EA7" w:rsidRDefault="004C1658">
      <w:pPr>
        <w:pStyle w:val="Listenabsatz"/>
        <w:numPr>
          <w:ilvl w:val="0"/>
          <w:numId w:val="5"/>
        </w:numPr>
      </w:pPr>
      <w:r w:rsidRPr="004832F9">
        <w:t>eine</w:t>
      </w:r>
      <w:r>
        <w:t xml:space="preserve"> ausführliche Dokumentation der Methodik,</w:t>
      </w:r>
    </w:p>
    <w:p w14:paraId="1EF12B33" w14:textId="77777777" w:rsidR="00AE4EA7" w:rsidRDefault="00000000">
      <w:pPr>
        <w:pStyle w:val="Listenabsatz"/>
        <w:numPr>
          <w:ilvl w:val="0"/>
          <w:numId w:val="5"/>
        </w:numPr>
      </w:pPr>
      <w:r w:rsidRPr="004832F9">
        <w:t>eine</w:t>
      </w:r>
      <w:r>
        <w:t xml:space="preserve"> detaillierte Darstellung der Umsetzung der Methodik,</w:t>
      </w:r>
    </w:p>
    <w:p w14:paraId="25130684" w14:textId="77777777" w:rsidR="00AE4EA7" w:rsidRDefault="00000000">
      <w:pPr>
        <w:pStyle w:val="Listenabsatz"/>
        <w:numPr>
          <w:ilvl w:val="0"/>
          <w:numId w:val="5"/>
        </w:numPr>
      </w:pPr>
      <w:r w:rsidRPr="004832F9">
        <w:t>die</w:t>
      </w:r>
      <w:r>
        <w:t xml:space="preserve"> Ergebnistabellen.</w:t>
      </w:r>
    </w:p>
    <w:p w14:paraId="65EDB843" w14:textId="77777777" w:rsidR="00AE4EA7" w:rsidRDefault="00000000">
      <w:pPr>
        <w:spacing w:after="0"/>
      </w:pPr>
      <w:r>
        <w:t>Bei den Ergebnissen ist darauf zu achten, dass auch statistische Kennzahlen Informationen zu einzelnen Individuen beinhalten können:</w:t>
      </w:r>
    </w:p>
    <w:p w14:paraId="6BC2D906" w14:textId="595EFEEE" w:rsidR="00AE4EA7" w:rsidRDefault="00000000">
      <w:pPr>
        <w:pStyle w:val="Listenabsatz"/>
        <w:numPr>
          <w:ilvl w:val="0"/>
          <w:numId w:val="5"/>
        </w:numPr>
      </w:pPr>
      <w:r>
        <w:t>Ein Mittelwert</w:t>
      </w:r>
      <w:r w:rsidR="004F4854">
        <w:t>,</w:t>
      </w:r>
      <w:r>
        <w:t xml:space="preserve"> basierend auf wenigen Beobachtungen</w:t>
      </w:r>
      <w:r w:rsidR="004F4854">
        <w:t>,</w:t>
      </w:r>
      <w:r>
        <w:t xml:space="preserve"> kann ggf. Rückschlüsse bzgl. gering besetzter Gruppen beinhalten. Um diese Randgruppen identifizieren und diese bzgl. einer Möglichkeit des Rückschlusses auf einzelne Individuen prüfen zu können, muss neben der Fallzahl immer auch Minimum, Maximum und Standardabweichung angegeben werden.</w:t>
      </w:r>
    </w:p>
    <w:p w14:paraId="2D0CB098" w14:textId="67F8C94A" w:rsidR="00AE4EA7" w:rsidRDefault="00000000">
      <w:pPr>
        <w:pStyle w:val="Listenabsatz"/>
        <w:numPr>
          <w:ilvl w:val="0"/>
          <w:numId w:val="5"/>
        </w:numPr>
      </w:pPr>
      <w:r>
        <w:t>Die Angabe von Perzentilen (Prozentränge) bei einer geringen Fallzahl beinhaltet nahezu immer die Möglichkeit von Rückschlüssen auf einzelne</w:t>
      </w:r>
      <w:r w:rsidR="00A64241">
        <w:t xml:space="preserve"> </w:t>
      </w:r>
      <w:r w:rsidR="00A64241" w:rsidRPr="00A64241">
        <w:t>Individuen</w:t>
      </w:r>
      <w:r>
        <w:t>.</w:t>
      </w:r>
    </w:p>
    <w:p w14:paraId="5ADF82F8" w14:textId="77777777" w:rsidR="00AE4EA7" w:rsidRDefault="00000000">
      <w:pPr>
        <w:pStyle w:val="Listenabsatz"/>
        <w:ind w:left="0"/>
      </w:pPr>
      <w:r w:rsidRPr="004832F9">
        <w:t>Hochfellner</w:t>
      </w:r>
      <w:r>
        <w:t xml:space="preserve"> </w:t>
      </w:r>
      <w:r>
        <w:rPr>
          <w:rStyle w:val="Funotenanker"/>
        </w:rPr>
        <w:footnoteReference w:id="108"/>
      </w:r>
      <w:r>
        <w:t xml:space="preserve"> empfiehlt als Mindestgrößen:</w:t>
      </w:r>
    </w:p>
    <w:p w14:paraId="4BB0566F" w14:textId="77777777" w:rsidR="00AE4EA7" w:rsidRDefault="00000000">
      <w:pPr>
        <w:pStyle w:val="Listenabsatz"/>
        <w:numPr>
          <w:ilvl w:val="0"/>
          <w:numId w:val="5"/>
        </w:numPr>
      </w:pPr>
      <w:r>
        <w:t>Mindestens 20 Beobachtungen für die Ausgabe von Mittelwerten</w:t>
      </w:r>
    </w:p>
    <w:p w14:paraId="46F0C135" w14:textId="77777777" w:rsidR="00AE4EA7" w:rsidRDefault="00000000">
      <w:pPr>
        <w:pStyle w:val="Listenabsatz"/>
        <w:numPr>
          <w:ilvl w:val="0"/>
          <w:numId w:val="5"/>
        </w:numPr>
      </w:pPr>
      <w:r>
        <w:t xml:space="preserve">Mindestens 40 Beobachtungen für die Ausgabe von </w:t>
      </w:r>
      <w:r w:rsidRPr="004832F9">
        <w:t>50%</w:t>
      </w:r>
      <w:r>
        <w:t>-Perzentilen</w:t>
      </w:r>
    </w:p>
    <w:p w14:paraId="1D30E2C7" w14:textId="77777777" w:rsidR="00AE4EA7" w:rsidRDefault="00000000">
      <w:pPr>
        <w:pStyle w:val="Listenabsatz"/>
        <w:numPr>
          <w:ilvl w:val="0"/>
          <w:numId w:val="5"/>
        </w:numPr>
      </w:pPr>
      <w:r>
        <w:t xml:space="preserve">Mindestens 80 Beobachtungen für die Ausgabe von </w:t>
      </w:r>
      <w:r w:rsidRPr="004832F9">
        <w:t>25%</w:t>
      </w:r>
      <w:r>
        <w:t xml:space="preserve">- oder </w:t>
      </w:r>
      <w:r w:rsidRPr="004832F9">
        <w:t>75%</w:t>
      </w:r>
      <w:r>
        <w:t>-Perzentilen</w:t>
      </w:r>
    </w:p>
    <w:p w14:paraId="77789B92" w14:textId="77777777" w:rsidR="00AE4EA7" w:rsidRDefault="00000000">
      <w:pPr>
        <w:pStyle w:val="Listenabsatz"/>
        <w:numPr>
          <w:ilvl w:val="0"/>
          <w:numId w:val="5"/>
        </w:numPr>
      </w:pPr>
      <w:r>
        <w:t xml:space="preserve">Mindestens 200 Beobachtungen für die Ausgabe von </w:t>
      </w:r>
      <w:r w:rsidRPr="004832F9">
        <w:t>10%</w:t>
      </w:r>
      <w:r>
        <w:t xml:space="preserve">- oder </w:t>
      </w:r>
      <w:r w:rsidRPr="004832F9">
        <w:t>90%</w:t>
      </w:r>
      <w:r>
        <w:t>-Perzentilen</w:t>
      </w:r>
    </w:p>
    <w:p w14:paraId="68F5217A" w14:textId="77777777" w:rsidR="00AE4EA7" w:rsidRDefault="00000000">
      <w:pPr>
        <w:pStyle w:val="Listenabsatz"/>
        <w:numPr>
          <w:ilvl w:val="0"/>
          <w:numId w:val="5"/>
        </w:numPr>
      </w:pPr>
      <w:r>
        <w:t xml:space="preserve">Mindestens 400 Beobachtungen für die Ausgabe von </w:t>
      </w:r>
      <w:r w:rsidRPr="004832F9">
        <w:t>5%</w:t>
      </w:r>
      <w:r>
        <w:t xml:space="preserve">- oder </w:t>
      </w:r>
      <w:r w:rsidRPr="004832F9">
        <w:t>95%</w:t>
      </w:r>
      <w:r>
        <w:t>-Perzentilen</w:t>
      </w:r>
    </w:p>
    <w:p w14:paraId="1F1245D3" w14:textId="3CEC595E" w:rsidR="00AE4EA7" w:rsidRDefault="00000000">
      <w:pPr>
        <w:pStyle w:val="Listenabsatz"/>
        <w:numPr>
          <w:ilvl w:val="0"/>
          <w:numId w:val="5"/>
        </w:numPr>
      </w:pPr>
      <w:r>
        <w:t>Mindestens 2</w:t>
      </w:r>
      <w:r w:rsidR="00497C33">
        <w:t>.</w:t>
      </w:r>
      <w:r>
        <w:t xml:space="preserve">000 Beobachtungen für die Ausgabe von </w:t>
      </w:r>
      <w:r w:rsidRPr="004832F9">
        <w:t>1%</w:t>
      </w:r>
      <w:r>
        <w:t xml:space="preserve">- oder </w:t>
      </w:r>
      <w:r w:rsidRPr="004832F9">
        <w:t>99%</w:t>
      </w:r>
      <w:r>
        <w:t>-Perzentilen</w:t>
      </w:r>
    </w:p>
    <w:p w14:paraId="07693EC2" w14:textId="22E544ED" w:rsidR="00AE4EA7" w:rsidRDefault="007B24B9">
      <w:pPr>
        <w:pStyle w:val="berschrift3"/>
      </w:pPr>
      <w:bookmarkStart w:id="198" w:name="__RefHeading___Toc264271_2036787679"/>
      <w:bookmarkStart w:id="199" w:name="_Toc154652653"/>
      <w:bookmarkEnd w:id="198"/>
      <w:r>
        <w:t>Risikobewertung ist erforderlich</w:t>
      </w:r>
      <w:bookmarkEnd w:id="199"/>
    </w:p>
    <w:p w14:paraId="6B9958D6" w14:textId="4F0DE080" w:rsidR="00AE4EA7" w:rsidRDefault="00000000">
      <w:pPr>
        <w:spacing w:after="198"/>
      </w:pPr>
      <w:r>
        <w:t xml:space="preserve">Aus den </w:t>
      </w:r>
      <w:r w:rsidR="007B24B9">
        <w:t xml:space="preserve">in den vorhergehenden Kapiteln </w:t>
      </w:r>
      <w:r>
        <w:t xml:space="preserve">dargestellten Gründen muss </w:t>
      </w:r>
      <w:r w:rsidR="007B24B9">
        <w:t xml:space="preserve">also </w:t>
      </w:r>
      <w:r>
        <w:t xml:space="preserve">eine Risikobewertung erfolgen. Diese setzt zweierlei voraus: Einerseits die Abschätzung der Wahrscheinlichkeit einer Re-Identifikation, andererseits die </w:t>
      </w:r>
      <w:r w:rsidR="004F4854">
        <w:t xml:space="preserve">Betrachtung der </w:t>
      </w:r>
      <w:r>
        <w:t>Gefahren, die</w:t>
      </w:r>
      <w:r w:rsidR="007B24B9">
        <w:t xml:space="preserve"> </w:t>
      </w:r>
      <w:r>
        <w:t>aus einer Re-Identifikation erwachsen könnten.</w:t>
      </w:r>
    </w:p>
    <w:p w14:paraId="74F20B11" w14:textId="77777777" w:rsidR="00AE4EA7" w:rsidRDefault="00000000">
      <w:pPr>
        <w:spacing w:after="0"/>
      </w:pPr>
      <w:r>
        <w:t xml:space="preserve">Dazu werden Risiken am besten einerseits in Kategorien eingeteilt, welche eine Zuordnung der Risiken in individuelle und </w:t>
      </w:r>
      <w:r w:rsidRPr="004832F9">
        <w:t>Individuen übergreifende</w:t>
      </w:r>
      <w:r>
        <w:t xml:space="preserve"> Risiken erlaubt, z. B.</w:t>
      </w:r>
      <w:r>
        <w:rPr>
          <w:rStyle w:val="Funotenanker"/>
        </w:rPr>
        <w:footnoteReference w:id="109"/>
      </w:r>
      <w:r>
        <w:t>:</w:t>
      </w:r>
    </w:p>
    <w:p w14:paraId="049F78CD" w14:textId="77777777" w:rsidR="00AE4EA7" w:rsidRDefault="00000000">
      <w:pPr>
        <w:pStyle w:val="Listenabsatz"/>
        <w:numPr>
          <w:ilvl w:val="0"/>
          <w:numId w:val="16"/>
        </w:numPr>
      </w:pPr>
      <w:r>
        <w:t>Strukturelle Risiken, beispielsweise gesellschaftlich-politische Risiken (wie z. B. die Informationsmacht, die gegenüber einem Individuum gewonnen wird) oder wirtschaftliche Risiken;</w:t>
      </w:r>
    </w:p>
    <w:p w14:paraId="74E9FA0E" w14:textId="77777777" w:rsidR="00AE4EA7" w:rsidRDefault="00000000">
      <w:pPr>
        <w:pStyle w:val="Listenabsatz"/>
        <w:numPr>
          <w:ilvl w:val="0"/>
          <w:numId w:val="16"/>
        </w:numPr>
      </w:pPr>
      <w:r>
        <w:t>Individuelle Risiken, wie z. B. die Erhöhung individueller Verletzlichkeit für Straftaten, da jemand erfährt, wo betroffene Personen angreifbar sind;</w:t>
      </w:r>
    </w:p>
    <w:p w14:paraId="4F2AE405" w14:textId="77777777" w:rsidR="00AE4EA7" w:rsidRDefault="00000000">
      <w:pPr>
        <w:pStyle w:val="Listenabsatz"/>
        <w:numPr>
          <w:ilvl w:val="0"/>
          <w:numId w:val="16"/>
        </w:numPr>
      </w:pPr>
      <w:r>
        <w:t>Risiken für Gesellschaft und Individuum, z. B. durch Bildung von Persönlichkeitsprofilen oder Fremdbestimmung oder auch die Enttäuschung von Vertraulichkeitserwartungen.</w:t>
      </w:r>
    </w:p>
    <w:p w14:paraId="3B7A7440" w14:textId="6B6B014C" w:rsidR="00AE4EA7" w:rsidRDefault="00497C33">
      <w:r>
        <w:t>Andererseits müssen Risiken hinsichtlich der Bedeutung erfasst werden, d. h. eine Quantifizierung vorgenommen werden.</w:t>
      </w:r>
      <w:r w:rsidR="006D01EC">
        <w:rPr>
          <w:rStyle w:val="Funotenzeichen"/>
        </w:rPr>
        <w:footnoteReference w:id="110"/>
      </w:r>
      <w:r>
        <w:t xml:space="preserve"> </w:t>
      </w:r>
      <w:r w:rsidR="00027508">
        <w:t xml:space="preserve">Es liegt in der Natur der Sache, dass </w:t>
      </w:r>
      <w:r>
        <w:t>das jeweilige Risiko nur abgeschätzt werden k</w:t>
      </w:r>
      <w:r w:rsidR="00027508">
        <w:t>a</w:t>
      </w:r>
      <w:r>
        <w:t xml:space="preserve">nn, sodass </w:t>
      </w:r>
      <w:r w:rsidR="00027508">
        <w:t xml:space="preserve">eine Einstufung </w:t>
      </w:r>
      <w:r>
        <w:t>d</w:t>
      </w:r>
      <w:r w:rsidR="00027508">
        <w:t>e</w:t>
      </w:r>
      <w:r>
        <w:t>s Risiko</w:t>
      </w:r>
      <w:r w:rsidR="00027508">
        <w:t>s</w:t>
      </w:r>
      <w:r>
        <w:t xml:space="preserve"> entsprechend eine</w:t>
      </w:r>
      <w:r w:rsidR="00027508">
        <w:t>r</w:t>
      </w:r>
      <w:r>
        <w:t xml:space="preserve"> zuvor definierten Skal</w:t>
      </w:r>
      <w:r w:rsidR="00027508">
        <w:t>a möglich ist, somit ein Skal</w:t>
      </w:r>
      <w:r>
        <w:t xml:space="preserve">enniveau </w:t>
      </w:r>
      <w:r w:rsidR="00027508">
        <w:t>für das vorhandene Risiko einer Re-Identifizierung angegeben wird</w:t>
      </w:r>
      <w:r>
        <w:t>, z. B.:</w:t>
      </w:r>
    </w:p>
    <w:tbl>
      <w:tblPr>
        <w:tblStyle w:val="Tabellenraster"/>
        <w:tblW w:w="8930" w:type="dxa"/>
        <w:tblInd w:w="250" w:type="dxa"/>
        <w:tblLayout w:type="fixed"/>
        <w:tblLook w:val="04A0" w:firstRow="1" w:lastRow="0" w:firstColumn="1" w:lastColumn="0" w:noHBand="0" w:noVBand="1"/>
      </w:tblPr>
      <w:tblGrid>
        <w:gridCol w:w="3260"/>
        <w:gridCol w:w="3683"/>
        <w:gridCol w:w="1987"/>
      </w:tblGrid>
      <w:tr w:rsidR="00AE4EA7" w14:paraId="01B07554" w14:textId="77777777">
        <w:tc>
          <w:tcPr>
            <w:tcW w:w="3260" w:type="dxa"/>
          </w:tcPr>
          <w:p w14:paraId="63CA8C52" w14:textId="77777777" w:rsidR="00AE4EA7" w:rsidRDefault="00000000">
            <w:pPr>
              <w:widowControl w:val="0"/>
              <w:spacing w:after="0" w:line="240" w:lineRule="auto"/>
              <w:jc w:val="center"/>
              <w:rPr>
                <w:rFonts w:ascii="Calibri" w:eastAsia="Calibri" w:hAnsi="Calibri"/>
              </w:rPr>
            </w:pPr>
            <w:r>
              <w:rPr>
                <w:rFonts w:eastAsia="Calibri"/>
              </w:rPr>
              <w:t>Bewertung</w:t>
            </w:r>
          </w:p>
        </w:tc>
        <w:tc>
          <w:tcPr>
            <w:tcW w:w="3683" w:type="dxa"/>
          </w:tcPr>
          <w:p w14:paraId="6C761428" w14:textId="77777777" w:rsidR="00AE4EA7" w:rsidRDefault="00000000">
            <w:pPr>
              <w:widowControl w:val="0"/>
              <w:spacing w:after="0" w:line="240" w:lineRule="auto"/>
              <w:jc w:val="center"/>
              <w:rPr>
                <w:rFonts w:ascii="Calibri" w:eastAsia="Calibri" w:hAnsi="Calibri"/>
              </w:rPr>
            </w:pPr>
            <w:r>
              <w:rPr>
                <w:rFonts w:eastAsia="Calibri"/>
              </w:rPr>
              <w:t>Kriterien</w:t>
            </w:r>
          </w:p>
        </w:tc>
        <w:tc>
          <w:tcPr>
            <w:tcW w:w="1987" w:type="dxa"/>
          </w:tcPr>
          <w:p w14:paraId="08F031BB" w14:textId="77777777" w:rsidR="00AE4EA7" w:rsidRDefault="00000000">
            <w:pPr>
              <w:widowControl w:val="0"/>
              <w:spacing w:after="0" w:line="240" w:lineRule="auto"/>
              <w:jc w:val="center"/>
              <w:rPr>
                <w:rFonts w:ascii="Calibri" w:eastAsia="Calibri" w:hAnsi="Calibri"/>
              </w:rPr>
            </w:pPr>
            <w:r>
              <w:rPr>
                <w:rFonts w:eastAsia="Calibri"/>
              </w:rPr>
              <w:t>Geschätzte Kosten</w:t>
            </w:r>
          </w:p>
        </w:tc>
      </w:tr>
      <w:tr w:rsidR="00AE4EA7" w14:paraId="7D58F195" w14:textId="77777777">
        <w:tc>
          <w:tcPr>
            <w:tcW w:w="3260" w:type="dxa"/>
          </w:tcPr>
          <w:p w14:paraId="6991D94D" w14:textId="77777777" w:rsidR="00AE4EA7" w:rsidRDefault="00000000">
            <w:pPr>
              <w:widowControl w:val="0"/>
              <w:spacing w:after="0" w:line="240" w:lineRule="auto"/>
              <w:jc w:val="left"/>
              <w:rPr>
                <w:rFonts w:ascii="Calibri" w:eastAsia="Calibri" w:hAnsi="Calibri"/>
              </w:rPr>
            </w:pPr>
            <w:r>
              <w:rPr>
                <w:rFonts w:eastAsia="Calibri"/>
              </w:rPr>
              <w:t>Katastrophal</w:t>
            </w:r>
          </w:p>
        </w:tc>
        <w:tc>
          <w:tcPr>
            <w:tcW w:w="3683" w:type="dxa"/>
          </w:tcPr>
          <w:p w14:paraId="1B4A4B40" w14:textId="77777777" w:rsidR="00AE4EA7" w:rsidRDefault="00000000">
            <w:pPr>
              <w:widowControl w:val="0"/>
              <w:spacing w:after="0" w:line="240" w:lineRule="auto"/>
              <w:jc w:val="left"/>
              <w:rPr>
                <w:rFonts w:ascii="Calibri" w:eastAsia="Calibri" w:hAnsi="Calibri"/>
              </w:rPr>
            </w:pPr>
            <w:r>
              <w:rPr>
                <w:rFonts w:eastAsia="Calibri"/>
              </w:rPr>
              <w:t>Keine Kontrolle möglich</w:t>
            </w:r>
          </w:p>
        </w:tc>
        <w:tc>
          <w:tcPr>
            <w:tcW w:w="1987" w:type="dxa"/>
          </w:tcPr>
          <w:p w14:paraId="0C358C6D" w14:textId="77777777" w:rsidR="00AE4EA7" w:rsidRDefault="00000000">
            <w:pPr>
              <w:widowControl w:val="0"/>
              <w:spacing w:after="0" w:line="240" w:lineRule="auto"/>
              <w:jc w:val="right"/>
              <w:rPr>
                <w:rFonts w:ascii="Calibri" w:eastAsia="Calibri" w:hAnsi="Calibri"/>
              </w:rPr>
            </w:pPr>
            <w:r>
              <w:rPr>
                <w:rFonts w:eastAsia="Calibri"/>
              </w:rPr>
              <w:t>&gt; 1 Mill. €</w:t>
            </w:r>
          </w:p>
        </w:tc>
      </w:tr>
      <w:tr w:rsidR="00AE4EA7" w14:paraId="6F24E0B8" w14:textId="77777777">
        <w:tc>
          <w:tcPr>
            <w:tcW w:w="3260" w:type="dxa"/>
          </w:tcPr>
          <w:p w14:paraId="5838E5FA" w14:textId="77777777" w:rsidR="00AE4EA7" w:rsidRDefault="00000000">
            <w:pPr>
              <w:widowControl w:val="0"/>
              <w:spacing w:after="0" w:line="240" w:lineRule="auto"/>
              <w:jc w:val="left"/>
              <w:rPr>
                <w:rFonts w:ascii="Calibri" w:eastAsia="Calibri" w:hAnsi="Calibri"/>
              </w:rPr>
            </w:pPr>
            <w:r>
              <w:rPr>
                <w:rFonts w:eastAsia="Calibri"/>
              </w:rPr>
              <w:t>Kritisch</w:t>
            </w:r>
          </w:p>
        </w:tc>
        <w:tc>
          <w:tcPr>
            <w:tcW w:w="3683" w:type="dxa"/>
          </w:tcPr>
          <w:p w14:paraId="19DB839C" w14:textId="77777777" w:rsidR="00AE4EA7" w:rsidRDefault="00000000">
            <w:pPr>
              <w:widowControl w:val="0"/>
              <w:spacing w:after="0" w:line="240" w:lineRule="auto"/>
              <w:jc w:val="left"/>
              <w:rPr>
                <w:rFonts w:ascii="Calibri" w:eastAsia="Calibri" w:hAnsi="Calibri"/>
              </w:rPr>
            </w:pPr>
            <w:r>
              <w:rPr>
                <w:rFonts w:eastAsia="Calibri"/>
              </w:rPr>
              <w:t xml:space="preserve">Gravierende Mängel / </w:t>
            </w:r>
            <w:r w:rsidRPr="004832F9">
              <w:rPr>
                <w:rFonts w:eastAsia="Calibri"/>
              </w:rPr>
              <w:t>Schäden</w:t>
            </w:r>
          </w:p>
        </w:tc>
        <w:tc>
          <w:tcPr>
            <w:tcW w:w="1987" w:type="dxa"/>
          </w:tcPr>
          <w:p w14:paraId="1554BEB5" w14:textId="5C2813D7" w:rsidR="00AE4EA7" w:rsidRDefault="00000000">
            <w:pPr>
              <w:widowControl w:val="0"/>
              <w:spacing w:after="0" w:line="240" w:lineRule="auto"/>
              <w:jc w:val="right"/>
              <w:rPr>
                <w:rFonts w:ascii="Calibri" w:eastAsia="Calibri" w:hAnsi="Calibri"/>
              </w:rPr>
            </w:pPr>
            <w:r>
              <w:rPr>
                <w:rFonts w:eastAsia="Calibri"/>
              </w:rPr>
              <w:t>≤ 1 Mill. €</w:t>
            </w:r>
          </w:p>
        </w:tc>
      </w:tr>
      <w:tr w:rsidR="00AE4EA7" w14:paraId="7114396A" w14:textId="77777777">
        <w:tc>
          <w:tcPr>
            <w:tcW w:w="3260" w:type="dxa"/>
          </w:tcPr>
          <w:p w14:paraId="74CDF12C" w14:textId="77777777" w:rsidR="00AE4EA7" w:rsidRDefault="00000000">
            <w:pPr>
              <w:widowControl w:val="0"/>
              <w:spacing w:after="0" w:line="240" w:lineRule="auto"/>
              <w:jc w:val="left"/>
              <w:rPr>
                <w:rFonts w:ascii="Calibri" w:eastAsia="Calibri" w:hAnsi="Calibri"/>
              </w:rPr>
            </w:pPr>
            <w:r>
              <w:rPr>
                <w:rFonts w:eastAsia="Calibri"/>
              </w:rPr>
              <w:t>Mittelmäßige Auswirkungen</w:t>
            </w:r>
          </w:p>
        </w:tc>
        <w:tc>
          <w:tcPr>
            <w:tcW w:w="3683" w:type="dxa"/>
          </w:tcPr>
          <w:p w14:paraId="1BAA086B" w14:textId="77777777" w:rsidR="00AE4EA7" w:rsidRDefault="00000000">
            <w:pPr>
              <w:widowControl w:val="0"/>
              <w:spacing w:after="0" w:line="240" w:lineRule="auto"/>
              <w:jc w:val="left"/>
              <w:rPr>
                <w:rFonts w:ascii="Calibri" w:eastAsia="Calibri" w:hAnsi="Calibri"/>
              </w:rPr>
            </w:pPr>
            <w:r>
              <w:rPr>
                <w:rFonts w:eastAsia="Calibri"/>
              </w:rPr>
              <w:t>Beträchtliche Abweichungen vom Soll</w:t>
            </w:r>
          </w:p>
        </w:tc>
        <w:tc>
          <w:tcPr>
            <w:tcW w:w="1987" w:type="dxa"/>
          </w:tcPr>
          <w:p w14:paraId="6511A5D8" w14:textId="77777777" w:rsidR="00AE4EA7" w:rsidRDefault="00000000">
            <w:pPr>
              <w:widowControl w:val="0"/>
              <w:spacing w:after="0" w:line="240" w:lineRule="auto"/>
              <w:jc w:val="right"/>
              <w:rPr>
                <w:rFonts w:ascii="Calibri" w:eastAsia="Calibri" w:hAnsi="Calibri"/>
              </w:rPr>
            </w:pPr>
            <w:r>
              <w:rPr>
                <w:rFonts w:eastAsia="Calibri"/>
              </w:rPr>
              <w:t>50 – 100.000 €</w:t>
            </w:r>
          </w:p>
        </w:tc>
      </w:tr>
      <w:tr w:rsidR="00AE4EA7" w14:paraId="47241B6B" w14:textId="77777777">
        <w:tc>
          <w:tcPr>
            <w:tcW w:w="3260" w:type="dxa"/>
          </w:tcPr>
          <w:p w14:paraId="2FEB9191" w14:textId="77777777" w:rsidR="00AE4EA7" w:rsidRDefault="00000000">
            <w:pPr>
              <w:widowControl w:val="0"/>
              <w:spacing w:after="0" w:line="240" w:lineRule="auto"/>
              <w:jc w:val="left"/>
              <w:rPr>
                <w:rFonts w:ascii="Calibri" w:eastAsia="Calibri" w:hAnsi="Calibri"/>
              </w:rPr>
            </w:pPr>
            <w:r>
              <w:rPr>
                <w:rFonts w:eastAsia="Calibri"/>
              </w:rPr>
              <w:t>Geringe Auswirkungen</w:t>
            </w:r>
          </w:p>
        </w:tc>
        <w:tc>
          <w:tcPr>
            <w:tcW w:w="3683" w:type="dxa"/>
          </w:tcPr>
          <w:p w14:paraId="7B3C3D77" w14:textId="77777777" w:rsidR="00AE4EA7" w:rsidRDefault="00000000">
            <w:pPr>
              <w:widowControl w:val="0"/>
              <w:spacing w:after="0" w:line="240" w:lineRule="auto"/>
              <w:jc w:val="left"/>
              <w:rPr>
                <w:rFonts w:ascii="Calibri" w:eastAsia="Calibri" w:hAnsi="Calibri"/>
              </w:rPr>
            </w:pPr>
            <w:r>
              <w:rPr>
                <w:rFonts w:eastAsia="Calibri"/>
              </w:rPr>
              <w:t>Geringe Folgen</w:t>
            </w:r>
          </w:p>
        </w:tc>
        <w:tc>
          <w:tcPr>
            <w:tcW w:w="1987" w:type="dxa"/>
          </w:tcPr>
          <w:p w14:paraId="510EFD9C" w14:textId="77777777" w:rsidR="00AE4EA7" w:rsidRDefault="00000000">
            <w:pPr>
              <w:widowControl w:val="0"/>
              <w:spacing w:after="0" w:line="240" w:lineRule="auto"/>
              <w:jc w:val="right"/>
              <w:rPr>
                <w:rFonts w:ascii="Calibri" w:eastAsia="Calibri" w:hAnsi="Calibri"/>
              </w:rPr>
            </w:pPr>
            <w:r>
              <w:rPr>
                <w:rFonts w:eastAsia="Calibri"/>
              </w:rPr>
              <w:t>&lt; 50.000 €</w:t>
            </w:r>
          </w:p>
        </w:tc>
      </w:tr>
      <w:tr w:rsidR="00AE4EA7" w14:paraId="6D2425CB" w14:textId="77777777">
        <w:tc>
          <w:tcPr>
            <w:tcW w:w="3260" w:type="dxa"/>
          </w:tcPr>
          <w:p w14:paraId="4F3CB83A" w14:textId="77777777" w:rsidR="00AE4EA7" w:rsidRDefault="00000000">
            <w:pPr>
              <w:widowControl w:val="0"/>
              <w:spacing w:after="0" w:line="240" w:lineRule="auto"/>
              <w:jc w:val="left"/>
              <w:rPr>
                <w:rFonts w:ascii="Calibri" w:eastAsia="Calibri" w:hAnsi="Calibri"/>
              </w:rPr>
            </w:pPr>
            <w:r>
              <w:rPr>
                <w:rFonts w:eastAsia="Calibri"/>
              </w:rPr>
              <w:t>Vernachlässigbare Auswirkungen</w:t>
            </w:r>
          </w:p>
        </w:tc>
        <w:tc>
          <w:tcPr>
            <w:tcW w:w="3683" w:type="dxa"/>
          </w:tcPr>
          <w:p w14:paraId="67747989" w14:textId="77777777" w:rsidR="00AE4EA7" w:rsidRDefault="00000000">
            <w:pPr>
              <w:widowControl w:val="0"/>
              <w:spacing w:after="0" w:line="240" w:lineRule="auto"/>
              <w:jc w:val="left"/>
              <w:rPr>
                <w:rFonts w:ascii="Calibri" w:eastAsia="Calibri" w:hAnsi="Calibri"/>
              </w:rPr>
            </w:pPr>
            <w:r>
              <w:rPr>
                <w:rFonts w:eastAsia="Calibri"/>
              </w:rPr>
              <w:t>Unbedeutende Folgen</w:t>
            </w:r>
          </w:p>
        </w:tc>
        <w:tc>
          <w:tcPr>
            <w:tcW w:w="1987" w:type="dxa"/>
          </w:tcPr>
          <w:p w14:paraId="7A676F42" w14:textId="77777777" w:rsidR="00AE4EA7" w:rsidRDefault="00000000">
            <w:pPr>
              <w:widowControl w:val="0"/>
              <w:spacing w:after="0" w:line="240" w:lineRule="auto"/>
              <w:jc w:val="right"/>
              <w:rPr>
                <w:rFonts w:ascii="Calibri" w:eastAsia="Calibri" w:hAnsi="Calibri"/>
              </w:rPr>
            </w:pPr>
            <w:r>
              <w:rPr>
                <w:rFonts w:eastAsia="Calibri"/>
              </w:rPr>
              <w:t>Keine</w:t>
            </w:r>
          </w:p>
        </w:tc>
      </w:tr>
    </w:tbl>
    <w:p w14:paraId="1ECACF77" w14:textId="39A3D3B4" w:rsidR="00AE4EA7" w:rsidRDefault="00000000">
      <w:pPr>
        <w:spacing w:before="200"/>
      </w:pPr>
      <w:r>
        <w:t xml:space="preserve">Die </w:t>
      </w:r>
      <w:r w:rsidR="00027508" w:rsidRPr="004832F9">
        <w:t>DSK</w:t>
      </w:r>
      <w:r>
        <w:t xml:space="preserve"> veröffentlichte ein Kurzpapier </w:t>
      </w:r>
      <w:r w:rsidR="00497C33">
        <w:t xml:space="preserve">Nr. 18 </w:t>
      </w:r>
      <w:r>
        <w:t>„Risiko für die Rechte und Freiheiten natürlicher Personen“</w:t>
      </w:r>
      <w:r>
        <w:rPr>
          <w:rStyle w:val="Funotenanker"/>
        </w:rPr>
        <w:footnoteReference w:id="111"/>
      </w:r>
      <w:r>
        <w:t>, welches auch Hinweise bzgl. der Schweregradbeurteilung aus Sicht der deutschen Aufsichtsbehörden enthält.</w:t>
      </w:r>
    </w:p>
    <w:p w14:paraId="7D330720" w14:textId="6746F61C" w:rsidR="00D720C3" w:rsidRDefault="00D720C3" w:rsidP="00D720C3">
      <w:pPr>
        <w:pStyle w:val="berschrift3"/>
      </w:pPr>
      <w:bookmarkStart w:id="200" w:name="_Toc154652654"/>
      <w:r>
        <w:t>Angreifermodell</w:t>
      </w:r>
      <w:bookmarkEnd w:id="200"/>
    </w:p>
    <w:p w14:paraId="4F708DF6" w14:textId="26A2325A" w:rsidR="00D720C3" w:rsidRDefault="00D720C3">
      <w:pPr>
        <w:spacing w:before="200"/>
      </w:pPr>
      <w:r>
        <w:t xml:space="preserve">Verantwortliche, welche eine Anonymisierung </w:t>
      </w:r>
      <w:r w:rsidR="00497C33">
        <w:t>oder</w:t>
      </w:r>
      <w:r>
        <w:t xml:space="preserve"> Pseudonymisierung durchführen, müssen also letztlich eine Wahrscheinlichkeit </w:t>
      </w:r>
      <w:r w:rsidR="00497C33">
        <w:t>für</w:t>
      </w:r>
      <w:r>
        <w:t xml:space="preserve"> d</w:t>
      </w:r>
      <w:r w:rsidR="00497C33">
        <w:t>a</w:t>
      </w:r>
      <w:r>
        <w:t xml:space="preserve">s Risiko einer Re-Identifikation angeben. Dabei ist es hilfreich, die Wahrscheinlichkeit für verschiedene potenzielle Angreifer darzustellen. Einige Angreifer </w:t>
      </w:r>
      <w:r w:rsidR="00045A16">
        <w:t>verfügen über zusätzliches Wissen</w:t>
      </w:r>
      <w:r>
        <w:t xml:space="preserve">, andere Angreifer </w:t>
      </w:r>
      <w:r w:rsidR="00045A16">
        <w:t xml:space="preserve">über </w:t>
      </w:r>
      <w:r>
        <w:t>besondere Ressourcen wie Rechenkapazitäten usw.</w:t>
      </w:r>
    </w:p>
    <w:p w14:paraId="2D918B86" w14:textId="7BF09A49" w:rsidR="00D720C3" w:rsidRDefault="00D720C3">
      <w:pPr>
        <w:spacing w:before="200"/>
      </w:pPr>
      <w:r>
        <w:t>Für jeden potenziellen Angreifertyp wird vor Beginn der Anonymisierung festgelegt, welches Risiko einer Re-Identifikation seitens des Verantwortlichen als tragbar beurteilt wird; dieses Risiko muss insbesondere bei einer Anonymisierung auch aus Sicht der betroffenen Personen als angemessen bewertet werden können, denn im Falle einer Re-Identifi</w:t>
      </w:r>
      <w:r w:rsidR="00045A16">
        <w:t>kation</w:t>
      </w:r>
      <w:r>
        <w:t xml:space="preserve"> und einer daraus resultierenden </w:t>
      </w:r>
      <w:r w:rsidR="00B979F5">
        <w:t>K</w:t>
      </w:r>
      <w:r>
        <w:t>lage wird im Rahmen eines Gerichtsprozesses die Höhe des vom Verantwortlichen akzeptierten Risikos letztlich mit entscheiden, ob die Daten überhaupt als „anonym“ anzusehen waren und somit ohne datenschutzrechtliche Rahmenbedingungen verarbeitet werden durften.</w:t>
      </w:r>
    </w:p>
    <w:p w14:paraId="6AB94E4D" w14:textId="45F77B53" w:rsidR="00D720C3" w:rsidRDefault="00D720C3">
      <w:pPr>
        <w:spacing w:before="200"/>
      </w:pPr>
      <w:r>
        <w:t>Typische Kennzahlen werden im folgenden Kapitel besprochen.</w:t>
      </w:r>
    </w:p>
    <w:p w14:paraId="1D2A04E5" w14:textId="63170AC3" w:rsidR="00D27765" w:rsidRDefault="00D27765" w:rsidP="00D27765">
      <w:pPr>
        <w:pStyle w:val="berschrift3"/>
      </w:pPr>
      <w:bookmarkStart w:id="201" w:name="_Ref151537095"/>
      <w:bookmarkStart w:id="202" w:name="_Toc154652655"/>
      <w:r>
        <w:t>Kennzahlen</w:t>
      </w:r>
      <w:r w:rsidR="00473C2C">
        <w:t xml:space="preserve"> zur Beurteilung der Güte einer Pseudonymisierung/Anonymisierung</w:t>
      </w:r>
      <w:bookmarkEnd w:id="201"/>
      <w:bookmarkEnd w:id="202"/>
    </w:p>
    <w:p w14:paraId="5605ACCA" w14:textId="4C301C44" w:rsidR="00D27765" w:rsidRDefault="00D27765" w:rsidP="00D27765">
      <w:pPr>
        <w:spacing w:after="0"/>
      </w:pPr>
      <w:r w:rsidRPr="00D27765">
        <w:t xml:space="preserve">Zur Bestimmung des Erfolgs von </w:t>
      </w:r>
      <w:r>
        <w:t xml:space="preserve">Pseudonymisierungs- bzw. </w:t>
      </w:r>
      <w:r w:rsidRPr="00D27765">
        <w:t>Anonymisierungsmaßnahmen</w:t>
      </w:r>
      <w:r>
        <w:t xml:space="preserve"> gibt es eine Reihe von Kennzahlen. Zu den bekanntesten Kennzahlen zählen:</w:t>
      </w:r>
    </w:p>
    <w:p w14:paraId="05FC3AC0" w14:textId="05263ACA" w:rsidR="00D27765" w:rsidRDefault="00D27765" w:rsidP="00084FD6">
      <w:pPr>
        <w:pStyle w:val="Listenabsatz"/>
        <w:numPr>
          <w:ilvl w:val="0"/>
          <w:numId w:val="5"/>
        </w:numPr>
      </w:pPr>
      <w:r w:rsidRPr="00D27765">
        <w:t>k-Anonymität</w:t>
      </w:r>
      <w:r>
        <w:t>: Die Kennzahl k stellt eine Untergrenze für die Anzahl der Personen mit der gleichen Wertekombination dar. Je höher der Wert k ist, desto größer sind die Gruppen der gemeinsam betrachteten Personen und umso geringer ist die Wahrscheinlichkeit einer Re-Identifizierung einer Person.</w:t>
      </w:r>
    </w:p>
    <w:p w14:paraId="1B66AE2D" w14:textId="585BEB30" w:rsidR="00D27765" w:rsidRDefault="00D27765" w:rsidP="00DA22F1">
      <w:pPr>
        <w:pStyle w:val="Listenabsatz"/>
        <w:numPr>
          <w:ilvl w:val="0"/>
          <w:numId w:val="5"/>
        </w:numPr>
      </w:pPr>
      <w:r w:rsidRPr="00D27765">
        <w:t>I-Diversität</w:t>
      </w:r>
      <w:r>
        <w:t>: Eine Äquivalenzklasse heißt l-divers, wenn für jedes sensitive Merkmal mindestens l „gut repräsentierte“ Ausprägungen in der mittels k-Anonymität gebildeten Klasse enthalten sind. Gilt dies für alle im Datensatz enthaltenen Klassen, so ist der Datensatz „l-divers“. Damit ergänzt die l-Diversität die k-Anonymität und verhindert, dass durch in Ausprägungen indirekt enthaltenes Wissen die k-Anonymität durchbrochen wird.</w:t>
      </w:r>
    </w:p>
    <w:p w14:paraId="17086CDB" w14:textId="62573013" w:rsidR="00D27765" w:rsidRDefault="00D27765" w:rsidP="00D27765">
      <w:pPr>
        <w:pStyle w:val="Listenabsatz"/>
        <w:spacing w:after="0"/>
      </w:pPr>
      <w:r>
        <w:t>Ein Beispiel:</w:t>
      </w:r>
    </w:p>
    <w:tbl>
      <w:tblPr>
        <w:tblStyle w:val="Tabellenraster"/>
        <w:tblW w:w="6095" w:type="dxa"/>
        <w:tblInd w:w="1101" w:type="dxa"/>
        <w:tblLayout w:type="fixed"/>
        <w:tblLook w:val="04A0" w:firstRow="1" w:lastRow="0" w:firstColumn="1" w:lastColumn="0" w:noHBand="0" w:noVBand="1"/>
      </w:tblPr>
      <w:tblGrid>
        <w:gridCol w:w="1275"/>
        <w:gridCol w:w="1701"/>
        <w:gridCol w:w="1276"/>
        <w:gridCol w:w="1843"/>
      </w:tblGrid>
      <w:tr w:rsidR="00D27765" w14:paraId="36F9231C" w14:textId="1B58E3C4" w:rsidTr="00D27765">
        <w:tc>
          <w:tcPr>
            <w:tcW w:w="1275" w:type="dxa"/>
          </w:tcPr>
          <w:p w14:paraId="4CD4A9B5" w14:textId="22312686" w:rsidR="00D27765" w:rsidRDefault="00D27765" w:rsidP="00711A69">
            <w:pPr>
              <w:widowControl w:val="0"/>
              <w:spacing w:after="0" w:line="240" w:lineRule="auto"/>
              <w:jc w:val="center"/>
              <w:rPr>
                <w:rFonts w:ascii="Calibri" w:eastAsia="Calibri" w:hAnsi="Calibri"/>
              </w:rPr>
            </w:pPr>
            <w:r>
              <w:rPr>
                <w:rFonts w:ascii="Calibri" w:eastAsia="Calibri" w:hAnsi="Calibri"/>
              </w:rPr>
              <w:t>Alter</w:t>
            </w:r>
          </w:p>
        </w:tc>
        <w:tc>
          <w:tcPr>
            <w:tcW w:w="1701" w:type="dxa"/>
          </w:tcPr>
          <w:p w14:paraId="157F5B74" w14:textId="6EE4129C" w:rsidR="00D27765" w:rsidRDefault="00D27765" w:rsidP="00711A69">
            <w:pPr>
              <w:widowControl w:val="0"/>
              <w:spacing w:after="0" w:line="240" w:lineRule="auto"/>
              <w:jc w:val="center"/>
              <w:rPr>
                <w:rFonts w:ascii="Calibri" w:eastAsia="Calibri" w:hAnsi="Calibri"/>
              </w:rPr>
            </w:pPr>
            <w:r>
              <w:rPr>
                <w:rFonts w:ascii="Calibri" w:eastAsia="Calibri" w:hAnsi="Calibri"/>
              </w:rPr>
              <w:t>PLZ</w:t>
            </w:r>
          </w:p>
        </w:tc>
        <w:tc>
          <w:tcPr>
            <w:tcW w:w="1276" w:type="dxa"/>
          </w:tcPr>
          <w:p w14:paraId="51E41B53" w14:textId="2D2C7E91" w:rsidR="00D27765" w:rsidRDefault="00D27765" w:rsidP="00711A69">
            <w:pPr>
              <w:widowControl w:val="0"/>
              <w:spacing w:after="0" w:line="240" w:lineRule="auto"/>
              <w:jc w:val="center"/>
              <w:rPr>
                <w:rFonts w:ascii="Calibri" w:eastAsia="Calibri" w:hAnsi="Calibri"/>
              </w:rPr>
            </w:pPr>
            <w:r>
              <w:rPr>
                <w:rFonts w:ascii="Calibri" w:eastAsia="Calibri" w:hAnsi="Calibri"/>
              </w:rPr>
              <w:t>Geschlecht</w:t>
            </w:r>
          </w:p>
        </w:tc>
        <w:tc>
          <w:tcPr>
            <w:tcW w:w="1843" w:type="dxa"/>
          </w:tcPr>
          <w:p w14:paraId="3C269C09" w14:textId="68B07F8E" w:rsidR="00D27765" w:rsidRDefault="00D27765" w:rsidP="00711A69">
            <w:pPr>
              <w:widowControl w:val="0"/>
              <w:spacing w:after="0" w:line="240" w:lineRule="auto"/>
              <w:jc w:val="center"/>
              <w:rPr>
                <w:rFonts w:ascii="Calibri" w:eastAsia="Calibri" w:hAnsi="Calibri"/>
              </w:rPr>
            </w:pPr>
            <w:r>
              <w:rPr>
                <w:rFonts w:ascii="Calibri" w:eastAsia="Calibri" w:hAnsi="Calibri"/>
              </w:rPr>
              <w:t>Diagnose</w:t>
            </w:r>
          </w:p>
        </w:tc>
      </w:tr>
      <w:tr w:rsidR="00D27765" w14:paraId="28517AE2" w14:textId="303CEA33" w:rsidTr="00D27765">
        <w:tc>
          <w:tcPr>
            <w:tcW w:w="1275" w:type="dxa"/>
          </w:tcPr>
          <w:p w14:paraId="0EC4A87D" w14:textId="60A1C102" w:rsidR="00D27765" w:rsidRDefault="00D27765" w:rsidP="00D27765">
            <w:pPr>
              <w:widowControl w:val="0"/>
              <w:spacing w:after="0" w:line="240" w:lineRule="auto"/>
              <w:jc w:val="center"/>
              <w:rPr>
                <w:rFonts w:ascii="Calibri" w:eastAsia="Calibri" w:hAnsi="Calibri"/>
              </w:rPr>
            </w:pPr>
            <w:r>
              <w:rPr>
                <w:rFonts w:ascii="Calibri" w:eastAsia="Calibri" w:hAnsi="Calibri"/>
              </w:rPr>
              <w:t>40-50</w:t>
            </w:r>
          </w:p>
        </w:tc>
        <w:tc>
          <w:tcPr>
            <w:tcW w:w="1701" w:type="dxa"/>
          </w:tcPr>
          <w:p w14:paraId="2980898B" w14:textId="5178654A" w:rsidR="00D27765" w:rsidRDefault="00D27765" w:rsidP="00711A69">
            <w:pPr>
              <w:widowControl w:val="0"/>
              <w:spacing w:after="0" w:line="240" w:lineRule="auto"/>
              <w:jc w:val="left"/>
              <w:rPr>
                <w:rFonts w:ascii="Calibri" w:eastAsia="Calibri" w:hAnsi="Calibri"/>
              </w:rPr>
            </w:pPr>
            <w:r>
              <w:rPr>
                <w:rFonts w:ascii="Calibri" w:eastAsia="Calibri" w:hAnsi="Calibri"/>
              </w:rPr>
              <w:t>405</w:t>
            </w:r>
            <w:r w:rsidRPr="004832F9">
              <w:rPr>
                <w:rFonts w:ascii="Calibri" w:eastAsia="Calibri" w:hAnsi="Calibri"/>
              </w:rPr>
              <w:t>**</w:t>
            </w:r>
          </w:p>
        </w:tc>
        <w:tc>
          <w:tcPr>
            <w:tcW w:w="1276" w:type="dxa"/>
          </w:tcPr>
          <w:p w14:paraId="432973EF" w14:textId="3E920A10" w:rsidR="00D27765" w:rsidRDefault="00D27765" w:rsidP="00D27765">
            <w:pPr>
              <w:widowControl w:val="0"/>
              <w:spacing w:after="0" w:line="240" w:lineRule="auto"/>
              <w:jc w:val="center"/>
              <w:rPr>
                <w:rFonts w:ascii="Calibri" w:eastAsia="Calibri" w:hAnsi="Calibri"/>
              </w:rPr>
            </w:pPr>
            <w:r>
              <w:rPr>
                <w:rFonts w:ascii="Calibri" w:eastAsia="Calibri" w:hAnsi="Calibri"/>
              </w:rPr>
              <w:t>-</w:t>
            </w:r>
          </w:p>
        </w:tc>
        <w:tc>
          <w:tcPr>
            <w:tcW w:w="1843" w:type="dxa"/>
          </w:tcPr>
          <w:p w14:paraId="2BF173B4" w14:textId="2700FC2B" w:rsidR="00D27765" w:rsidRDefault="00D27765" w:rsidP="00D27765">
            <w:pPr>
              <w:widowControl w:val="0"/>
              <w:spacing w:after="0" w:line="240" w:lineRule="auto"/>
              <w:jc w:val="left"/>
              <w:rPr>
                <w:rFonts w:ascii="Calibri" w:eastAsia="Calibri" w:hAnsi="Calibri"/>
              </w:rPr>
            </w:pPr>
            <w:r>
              <w:rPr>
                <w:rFonts w:ascii="Calibri" w:eastAsia="Calibri" w:hAnsi="Calibri"/>
              </w:rPr>
              <w:t>Bluthochdruck</w:t>
            </w:r>
          </w:p>
        </w:tc>
      </w:tr>
      <w:tr w:rsidR="00D27765" w14:paraId="7914FADF" w14:textId="68F09DAD" w:rsidTr="00D27765">
        <w:tc>
          <w:tcPr>
            <w:tcW w:w="1275" w:type="dxa"/>
          </w:tcPr>
          <w:p w14:paraId="58E3E885" w14:textId="25292909" w:rsidR="00D27765" w:rsidRDefault="00D27765" w:rsidP="00D27765">
            <w:pPr>
              <w:widowControl w:val="0"/>
              <w:spacing w:after="0" w:line="240" w:lineRule="auto"/>
              <w:jc w:val="center"/>
              <w:rPr>
                <w:rFonts w:ascii="Calibri" w:eastAsia="Calibri" w:hAnsi="Calibri"/>
              </w:rPr>
            </w:pPr>
            <w:r>
              <w:rPr>
                <w:rFonts w:ascii="Calibri" w:eastAsia="Calibri" w:hAnsi="Calibri"/>
              </w:rPr>
              <w:t>50-60</w:t>
            </w:r>
          </w:p>
        </w:tc>
        <w:tc>
          <w:tcPr>
            <w:tcW w:w="1701" w:type="dxa"/>
          </w:tcPr>
          <w:p w14:paraId="3A5C2DE7" w14:textId="23FABD69" w:rsidR="00D27765" w:rsidRDefault="00D27765" w:rsidP="00711A69">
            <w:pPr>
              <w:widowControl w:val="0"/>
              <w:spacing w:after="0" w:line="240" w:lineRule="auto"/>
              <w:jc w:val="left"/>
              <w:rPr>
                <w:rFonts w:ascii="Calibri" w:eastAsia="Calibri" w:hAnsi="Calibri"/>
              </w:rPr>
            </w:pPr>
            <w:r>
              <w:rPr>
                <w:rFonts w:ascii="Calibri" w:eastAsia="Calibri" w:hAnsi="Calibri"/>
              </w:rPr>
              <w:t>405</w:t>
            </w:r>
            <w:r w:rsidRPr="004832F9">
              <w:rPr>
                <w:rFonts w:ascii="Calibri" w:eastAsia="Calibri" w:hAnsi="Calibri"/>
              </w:rPr>
              <w:t>**</w:t>
            </w:r>
          </w:p>
        </w:tc>
        <w:tc>
          <w:tcPr>
            <w:tcW w:w="1276" w:type="dxa"/>
          </w:tcPr>
          <w:p w14:paraId="7D59CCDB" w14:textId="29A96FF0" w:rsidR="00D27765" w:rsidRDefault="00D27765" w:rsidP="00D27765">
            <w:pPr>
              <w:widowControl w:val="0"/>
              <w:spacing w:after="0" w:line="240" w:lineRule="auto"/>
              <w:jc w:val="center"/>
              <w:rPr>
                <w:rFonts w:ascii="Calibri" w:eastAsia="Calibri" w:hAnsi="Calibri"/>
              </w:rPr>
            </w:pPr>
            <w:r>
              <w:rPr>
                <w:rFonts w:ascii="Calibri" w:eastAsia="Calibri" w:hAnsi="Calibri"/>
              </w:rPr>
              <w:t>-</w:t>
            </w:r>
          </w:p>
        </w:tc>
        <w:tc>
          <w:tcPr>
            <w:tcW w:w="1843" w:type="dxa"/>
          </w:tcPr>
          <w:p w14:paraId="71DDD527" w14:textId="18556567" w:rsidR="00D27765" w:rsidRDefault="00D27765" w:rsidP="00D27765">
            <w:pPr>
              <w:widowControl w:val="0"/>
              <w:spacing w:after="0" w:line="240" w:lineRule="auto"/>
              <w:jc w:val="left"/>
              <w:rPr>
                <w:rFonts w:ascii="Calibri" w:eastAsia="Calibri" w:hAnsi="Calibri"/>
              </w:rPr>
            </w:pPr>
            <w:r>
              <w:rPr>
                <w:rFonts w:ascii="Calibri" w:eastAsia="Calibri" w:hAnsi="Calibri"/>
              </w:rPr>
              <w:t>Schwangerschaft</w:t>
            </w:r>
          </w:p>
        </w:tc>
      </w:tr>
      <w:tr w:rsidR="00D27765" w14:paraId="44C623EB" w14:textId="66473B2B" w:rsidTr="00D27765">
        <w:tc>
          <w:tcPr>
            <w:tcW w:w="1275" w:type="dxa"/>
          </w:tcPr>
          <w:p w14:paraId="34E92D08" w14:textId="1A4B81A9" w:rsidR="00D27765" w:rsidRDefault="00D27765" w:rsidP="00D27765">
            <w:pPr>
              <w:widowControl w:val="0"/>
              <w:spacing w:after="0" w:line="240" w:lineRule="auto"/>
              <w:jc w:val="center"/>
              <w:rPr>
                <w:rFonts w:ascii="Calibri" w:eastAsia="Calibri" w:hAnsi="Calibri"/>
              </w:rPr>
            </w:pPr>
            <w:r>
              <w:rPr>
                <w:rFonts w:ascii="Calibri" w:eastAsia="Calibri" w:hAnsi="Calibri"/>
              </w:rPr>
              <w:t>40-50</w:t>
            </w:r>
          </w:p>
        </w:tc>
        <w:tc>
          <w:tcPr>
            <w:tcW w:w="1701" w:type="dxa"/>
          </w:tcPr>
          <w:p w14:paraId="707154A9" w14:textId="7DE7A83B" w:rsidR="00D27765" w:rsidRDefault="00D27765" w:rsidP="00711A69">
            <w:pPr>
              <w:widowControl w:val="0"/>
              <w:spacing w:after="0" w:line="240" w:lineRule="auto"/>
              <w:jc w:val="left"/>
              <w:rPr>
                <w:rFonts w:ascii="Calibri" w:eastAsia="Calibri" w:hAnsi="Calibri"/>
              </w:rPr>
            </w:pPr>
            <w:r>
              <w:rPr>
                <w:rFonts w:ascii="Calibri" w:eastAsia="Calibri" w:hAnsi="Calibri"/>
              </w:rPr>
              <w:t>405</w:t>
            </w:r>
            <w:r w:rsidRPr="004832F9">
              <w:rPr>
                <w:rFonts w:ascii="Calibri" w:eastAsia="Calibri" w:hAnsi="Calibri"/>
              </w:rPr>
              <w:t>**</w:t>
            </w:r>
          </w:p>
        </w:tc>
        <w:tc>
          <w:tcPr>
            <w:tcW w:w="1276" w:type="dxa"/>
          </w:tcPr>
          <w:p w14:paraId="46C9BF8B" w14:textId="2E2DE455" w:rsidR="00D27765" w:rsidRDefault="00D27765" w:rsidP="00D27765">
            <w:pPr>
              <w:widowControl w:val="0"/>
              <w:spacing w:after="0" w:line="240" w:lineRule="auto"/>
              <w:jc w:val="center"/>
              <w:rPr>
                <w:rFonts w:ascii="Calibri" w:eastAsia="Calibri" w:hAnsi="Calibri"/>
              </w:rPr>
            </w:pPr>
            <w:r>
              <w:rPr>
                <w:rFonts w:ascii="Calibri" w:eastAsia="Calibri" w:hAnsi="Calibri"/>
              </w:rPr>
              <w:t>-</w:t>
            </w:r>
          </w:p>
        </w:tc>
        <w:tc>
          <w:tcPr>
            <w:tcW w:w="1843" w:type="dxa"/>
          </w:tcPr>
          <w:p w14:paraId="55B5C027" w14:textId="1F4DEDE2" w:rsidR="00D27765" w:rsidRDefault="00D27765" w:rsidP="00D27765">
            <w:pPr>
              <w:widowControl w:val="0"/>
              <w:spacing w:after="0" w:line="240" w:lineRule="auto"/>
              <w:jc w:val="left"/>
              <w:rPr>
                <w:rFonts w:ascii="Calibri" w:eastAsia="Calibri" w:hAnsi="Calibri"/>
              </w:rPr>
            </w:pPr>
            <w:r>
              <w:rPr>
                <w:rFonts w:ascii="Calibri" w:eastAsia="Calibri" w:hAnsi="Calibri"/>
              </w:rPr>
              <w:t>Bluthochdruck</w:t>
            </w:r>
          </w:p>
        </w:tc>
      </w:tr>
      <w:tr w:rsidR="00D27765" w14:paraId="4892C1CB" w14:textId="389988B6" w:rsidTr="00D27765">
        <w:tc>
          <w:tcPr>
            <w:tcW w:w="1275" w:type="dxa"/>
          </w:tcPr>
          <w:p w14:paraId="005CC1D8" w14:textId="47DF31DE" w:rsidR="00D27765" w:rsidRDefault="00D27765" w:rsidP="00D27765">
            <w:pPr>
              <w:widowControl w:val="0"/>
              <w:spacing w:after="0" w:line="240" w:lineRule="auto"/>
              <w:jc w:val="center"/>
              <w:rPr>
                <w:rFonts w:ascii="Calibri" w:eastAsia="Calibri" w:hAnsi="Calibri"/>
              </w:rPr>
            </w:pPr>
            <w:r>
              <w:rPr>
                <w:rFonts w:ascii="Calibri" w:eastAsia="Calibri" w:hAnsi="Calibri"/>
              </w:rPr>
              <w:t>40-50</w:t>
            </w:r>
          </w:p>
        </w:tc>
        <w:tc>
          <w:tcPr>
            <w:tcW w:w="1701" w:type="dxa"/>
          </w:tcPr>
          <w:p w14:paraId="01853C49" w14:textId="71AA737D" w:rsidR="00D27765" w:rsidRDefault="00D27765" w:rsidP="00711A69">
            <w:pPr>
              <w:widowControl w:val="0"/>
              <w:spacing w:after="0" w:line="240" w:lineRule="auto"/>
              <w:jc w:val="left"/>
              <w:rPr>
                <w:rFonts w:ascii="Calibri" w:eastAsia="Calibri" w:hAnsi="Calibri"/>
              </w:rPr>
            </w:pPr>
            <w:r>
              <w:rPr>
                <w:rFonts w:ascii="Calibri" w:eastAsia="Calibri" w:hAnsi="Calibri"/>
              </w:rPr>
              <w:t>405</w:t>
            </w:r>
            <w:r w:rsidRPr="004832F9">
              <w:rPr>
                <w:rFonts w:ascii="Calibri" w:eastAsia="Calibri" w:hAnsi="Calibri"/>
              </w:rPr>
              <w:t>**</w:t>
            </w:r>
          </w:p>
        </w:tc>
        <w:tc>
          <w:tcPr>
            <w:tcW w:w="1276" w:type="dxa"/>
          </w:tcPr>
          <w:p w14:paraId="6F667491" w14:textId="0B7C5195" w:rsidR="00D27765" w:rsidRDefault="00D27765" w:rsidP="00D27765">
            <w:pPr>
              <w:widowControl w:val="0"/>
              <w:spacing w:after="0" w:line="240" w:lineRule="auto"/>
              <w:jc w:val="center"/>
              <w:rPr>
                <w:rFonts w:ascii="Calibri" w:eastAsia="Calibri" w:hAnsi="Calibri"/>
              </w:rPr>
            </w:pPr>
            <w:r>
              <w:rPr>
                <w:rFonts w:ascii="Calibri" w:eastAsia="Calibri" w:hAnsi="Calibri"/>
              </w:rPr>
              <w:t>-</w:t>
            </w:r>
          </w:p>
        </w:tc>
        <w:tc>
          <w:tcPr>
            <w:tcW w:w="1843" w:type="dxa"/>
          </w:tcPr>
          <w:p w14:paraId="751E8136" w14:textId="3323187C" w:rsidR="00D27765" w:rsidRDefault="00D27765" w:rsidP="00D27765">
            <w:pPr>
              <w:widowControl w:val="0"/>
              <w:spacing w:after="0" w:line="240" w:lineRule="auto"/>
              <w:jc w:val="left"/>
              <w:rPr>
                <w:rFonts w:ascii="Calibri" w:eastAsia="Calibri" w:hAnsi="Calibri"/>
              </w:rPr>
            </w:pPr>
            <w:r w:rsidRPr="004832F9">
              <w:rPr>
                <w:rFonts w:ascii="Calibri" w:eastAsia="Calibri" w:hAnsi="Calibri"/>
              </w:rPr>
              <w:t>Diab</w:t>
            </w:r>
            <w:r>
              <w:rPr>
                <w:rFonts w:ascii="Calibri" w:eastAsia="Calibri" w:hAnsi="Calibri"/>
              </w:rPr>
              <w:t xml:space="preserve">. </w:t>
            </w:r>
            <w:r w:rsidRPr="004832F9">
              <w:rPr>
                <w:rFonts w:ascii="Calibri" w:eastAsia="Calibri" w:hAnsi="Calibri"/>
              </w:rPr>
              <w:t>Mellitus</w:t>
            </w:r>
          </w:p>
        </w:tc>
      </w:tr>
      <w:tr w:rsidR="00D27765" w14:paraId="14DDDA28" w14:textId="2E4FDF51" w:rsidTr="00D27765">
        <w:tc>
          <w:tcPr>
            <w:tcW w:w="1275" w:type="dxa"/>
          </w:tcPr>
          <w:p w14:paraId="4121632F" w14:textId="2F457FFA" w:rsidR="00D27765" w:rsidRDefault="00D27765" w:rsidP="00D27765">
            <w:pPr>
              <w:widowControl w:val="0"/>
              <w:spacing w:after="0" w:line="240" w:lineRule="auto"/>
              <w:jc w:val="center"/>
              <w:rPr>
                <w:rFonts w:ascii="Calibri" w:eastAsia="Calibri" w:hAnsi="Calibri"/>
              </w:rPr>
            </w:pPr>
            <w:r>
              <w:rPr>
                <w:rFonts w:ascii="Calibri" w:eastAsia="Calibri" w:hAnsi="Calibri"/>
              </w:rPr>
              <w:t>50-60</w:t>
            </w:r>
          </w:p>
        </w:tc>
        <w:tc>
          <w:tcPr>
            <w:tcW w:w="1701" w:type="dxa"/>
          </w:tcPr>
          <w:p w14:paraId="38E6E521" w14:textId="440731D0" w:rsidR="00D27765" w:rsidRDefault="00D27765" w:rsidP="00711A69">
            <w:pPr>
              <w:widowControl w:val="0"/>
              <w:spacing w:after="0" w:line="240" w:lineRule="auto"/>
              <w:jc w:val="left"/>
              <w:rPr>
                <w:rFonts w:ascii="Calibri" w:eastAsia="Calibri" w:hAnsi="Calibri"/>
              </w:rPr>
            </w:pPr>
            <w:r>
              <w:rPr>
                <w:rFonts w:ascii="Calibri" w:eastAsia="Calibri" w:hAnsi="Calibri"/>
              </w:rPr>
              <w:t>405</w:t>
            </w:r>
            <w:r w:rsidRPr="004832F9">
              <w:rPr>
                <w:rFonts w:ascii="Calibri" w:eastAsia="Calibri" w:hAnsi="Calibri"/>
              </w:rPr>
              <w:t>**</w:t>
            </w:r>
          </w:p>
        </w:tc>
        <w:tc>
          <w:tcPr>
            <w:tcW w:w="1276" w:type="dxa"/>
          </w:tcPr>
          <w:p w14:paraId="0CF101C7" w14:textId="05861EEF" w:rsidR="00D27765" w:rsidRDefault="00D27765" w:rsidP="00D27765">
            <w:pPr>
              <w:widowControl w:val="0"/>
              <w:spacing w:after="0" w:line="240" w:lineRule="auto"/>
              <w:jc w:val="center"/>
              <w:rPr>
                <w:rFonts w:ascii="Calibri" w:eastAsia="Calibri" w:hAnsi="Calibri"/>
              </w:rPr>
            </w:pPr>
            <w:r>
              <w:rPr>
                <w:rFonts w:ascii="Calibri" w:eastAsia="Calibri" w:hAnsi="Calibri"/>
              </w:rPr>
              <w:t>-</w:t>
            </w:r>
          </w:p>
        </w:tc>
        <w:tc>
          <w:tcPr>
            <w:tcW w:w="1843" w:type="dxa"/>
          </w:tcPr>
          <w:p w14:paraId="4936F314" w14:textId="07089FB1" w:rsidR="00D27765" w:rsidRDefault="00D27765" w:rsidP="00D27765">
            <w:pPr>
              <w:widowControl w:val="0"/>
              <w:spacing w:after="0" w:line="240" w:lineRule="auto"/>
              <w:jc w:val="left"/>
              <w:rPr>
                <w:rFonts w:ascii="Calibri" w:eastAsia="Calibri" w:hAnsi="Calibri"/>
              </w:rPr>
            </w:pPr>
            <w:r w:rsidRPr="004832F9">
              <w:rPr>
                <w:rFonts w:ascii="Calibri" w:eastAsia="Calibri" w:hAnsi="Calibri"/>
              </w:rPr>
              <w:t>Diab</w:t>
            </w:r>
            <w:r>
              <w:rPr>
                <w:rFonts w:ascii="Calibri" w:eastAsia="Calibri" w:hAnsi="Calibri"/>
              </w:rPr>
              <w:t xml:space="preserve">. </w:t>
            </w:r>
            <w:r w:rsidRPr="004832F9">
              <w:rPr>
                <w:rFonts w:ascii="Calibri" w:eastAsia="Calibri" w:hAnsi="Calibri"/>
              </w:rPr>
              <w:t>Mellitus</w:t>
            </w:r>
          </w:p>
        </w:tc>
      </w:tr>
    </w:tbl>
    <w:p w14:paraId="62BD8E0F" w14:textId="10E9925B" w:rsidR="00D27765" w:rsidRDefault="00D27765" w:rsidP="00D27765">
      <w:pPr>
        <w:pStyle w:val="Listenabsatz"/>
      </w:pPr>
      <w:r>
        <w:t xml:space="preserve">Obwohl die Tabelle k-anonym ist, kann das Geschlecht aus der Diagnose „Schwangerschaft“ abgeleitet und bei allen Personen mit dieser Diagnose ergänzt werden. Die Anforderung der l-Diversität verlangt, dass mindestens „l“ verschiedene Werte für als „sensitiv“ bewertete Felder </w:t>
      </w:r>
      <w:r w:rsidRPr="004C1658">
        <w:t>existieren</w:t>
      </w:r>
      <w:r w:rsidR="004C1658" w:rsidRPr="004C1658">
        <w:t>.</w:t>
      </w:r>
    </w:p>
    <w:p w14:paraId="534E7826" w14:textId="3FB647F3" w:rsidR="00D27765" w:rsidRDefault="00D27765" w:rsidP="00D27765">
      <w:pPr>
        <w:pStyle w:val="Listenabsatz"/>
      </w:pPr>
      <w:r>
        <w:t>„G</w:t>
      </w:r>
      <w:r w:rsidRPr="00D27765">
        <w:t>ut repräsentierte“ Ausprägungen</w:t>
      </w:r>
      <w:r>
        <w:t xml:space="preserve"> werden in der Literatur</w:t>
      </w:r>
      <w:r>
        <w:rPr>
          <w:rStyle w:val="Funotenzeichen"/>
        </w:rPr>
        <w:footnoteReference w:id="112"/>
      </w:r>
      <w:r>
        <w:t xml:space="preserve"> wie folgt beschrieben:</w:t>
      </w:r>
    </w:p>
    <w:p w14:paraId="1E231FEE" w14:textId="279C76E4" w:rsidR="00D27765" w:rsidRDefault="00D27765">
      <w:pPr>
        <w:pStyle w:val="Listenabsatz"/>
        <w:numPr>
          <w:ilvl w:val="0"/>
          <w:numId w:val="33"/>
        </w:numPr>
      </w:pPr>
      <w:r w:rsidRPr="004C1658">
        <w:t>Distinkte</w:t>
      </w:r>
      <w:r>
        <w:t xml:space="preserve"> </w:t>
      </w:r>
      <w:r w:rsidRPr="00D27765">
        <w:t>l-Diversität</w:t>
      </w:r>
      <w:r>
        <w:t>:</w:t>
      </w:r>
      <w:r w:rsidRPr="00D27765">
        <w:t xml:space="preserve"> Die einfachste Festlegung stellt sicher, dass mindestens l verschiedene Werte für das sensitive Feld in jeder Äquivalenzklasse existieren.</w:t>
      </w:r>
    </w:p>
    <w:p w14:paraId="683922F3" w14:textId="0210F652" w:rsidR="00D27765" w:rsidRDefault="00D27765">
      <w:pPr>
        <w:pStyle w:val="Listenabsatz"/>
        <w:numPr>
          <w:ilvl w:val="0"/>
          <w:numId w:val="33"/>
        </w:numPr>
      </w:pPr>
      <w:r w:rsidRPr="004832F9">
        <w:t>Entropische</w:t>
      </w:r>
      <w:r w:rsidRPr="00D27765">
        <w:t xml:space="preserve"> l-Diversität</w:t>
      </w:r>
      <w:r>
        <w:t xml:space="preserve">: </w:t>
      </w:r>
      <w:r w:rsidRPr="00D27765">
        <w:t>Die komplexeste Festlegung definiert die Entropie einer Äquivalenzklasse E als die negative Summe von s über den Bereich des sensiblen Attributs</w:t>
      </w:r>
      <w:r>
        <w:t xml:space="preserve">. </w:t>
      </w:r>
      <w:r w:rsidRPr="00D27765">
        <w:t>Eine Tabelle hat Entropie l-Diversität, wenn für jede Äquivalenzklasse E</w:t>
      </w:r>
      <w:r>
        <w:t xml:space="preserve"> gilt: </w:t>
      </w:r>
      <w:r w:rsidRPr="00D27765">
        <w:t>Entropie(E) ≥ log(l).</w:t>
      </w:r>
    </w:p>
    <w:p w14:paraId="79B30C59" w14:textId="40FDA0DB" w:rsidR="00D27765" w:rsidRDefault="00D27765">
      <w:pPr>
        <w:pStyle w:val="Listenabsatz"/>
        <w:numPr>
          <w:ilvl w:val="0"/>
          <w:numId w:val="33"/>
        </w:numPr>
      </w:pPr>
      <w:r w:rsidRPr="00D27765">
        <w:t>Rekursive (c-l) Diversität</w:t>
      </w:r>
      <w:r>
        <w:t>:</w:t>
      </w:r>
      <w:r w:rsidRPr="00D27765">
        <w:t xml:space="preserve"> Ein</w:t>
      </w:r>
      <w:r>
        <w:t>e</w:t>
      </w:r>
      <w:r w:rsidRPr="00D27765">
        <w:t xml:space="preserve"> Kompromissdefinition, </w:t>
      </w:r>
      <w:r>
        <w:t>welche</w:t>
      </w:r>
      <w:r w:rsidRPr="00D27765">
        <w:t xml:space="preserve"> sicherstellt, dass der häufigste Wert nicht zu oft vorkommt während weniger häufige Werte nicht zu selten vorkommen.</w:t>
      </w:r>
    </w:p>
    <w:p w14:paraId="5C64085C" w14:textId="0D338327" w:rsidR="00D27765" w:rsidRDefault="00D27765" w:rsidP="00871666">
      <w:pPr>
        <w:pStyle w:val="Listenabsatz"/>
        <w:numPr>
          <w:ilvl w:val="0"/>
          <w:numId w:val="5"/>
        </w:numPr>
      </w:pPr>
      <w:r w:rsidRPr="004832F9">
        <w:t>t-Closeness</w:t>
      </w:r>
      <w:r>
        <w:t>: Bei</w:t>
      </w:r>
      <w:r w:rsidR="005B1D56">
        <w:t xml:space="preserve"> der</w:t>
      </w:r>
      <w:r>
        <w:t xml:space="preserve"> </w:t>
      </w:r>
      <w:r w:rsidRPr="004832F9">
        <w:t>t-Closeness</w:t>
      </w:r>
      <w:r>
        <w:t xml:space="preserve"> wird ergänzend noch die statistische Verteilung </w:t>
      </w:r>
      <w:r w:rsidR="005B1D56">
        <w:t>der</w:t>
      </w:r>
      <w:r>
        <w:t xml:space="preserve"> sensitiven Merkmale berücksichtigt, d. h. die Verteilung soll nicht zu </w:t>
      </w:r>
      <w:r w:rsidR="005B1D56">
        <w:t>stark</w:t>
      </w:r>
      <w:r>
        <w:t xml:space="preserve"> von der Verteilung im </w:t>
      </w:r>
      <w:r w:rsidR="005B1D56">
        <w:t>Original-</w:t>
      </w:r>
      <w:r>
        <w:t>Datenbestand abweichen. Dies soll gewährleisten, dass aus der Zugehörigkeit zu einer bestimmten Äquivalenzklasse möglichst keine Rückschlüsse gezogen werden können, die nicht auch aus der gesamten Tabelle hätte</w:t>
      </w:r>
      <w:r w:rsidR="004F4854">
        <w:t>n</w:t>
      </w:r>
      <w:r>
        <w:t xml:space="preserve"> gezogen werden können. Eine mittels k-Anonymität gebildete Äquivalenzklasse besitzt die </w:t>
      </w:r>
      <w:r w:rsidRPr="004832F9">
        <w:t>t-Closeness-Eigenschaft</w:t>
      </w:r>
      <w:r>
        <w:t xml:space="preserve">, wenn die Verteilung eines sensitiven Merkmals höchstens den Abstand t </w:t>
      </w:r>
      <w:r w:rsidR="005B1D56">
        <w:t>von der</w:t>
      </w:r>
      <w:r>
        <w:t xml:space="preserve"> Verteilung des sensitiven Merkmals im ursprünglichen Datenbestand </w:t>
      </w:r>
      <w:r w:rsidR="005B1D56">
        <w:t>hat</w:t>
      </w:r>
      <w:r>
        <w:t xml:space="preserve">. I. d. R. kann davon ausgegangen werden, dass kleinere </w:t>
      </w:r>
      <w:r w:rsidRPr="004832F9">
        <w:t>t-Werte</w:t>
      </w:r>
      <w:r>
        <w:t xml:space="preserve"> eine größere Ähnlichkeit der Verteilungen in der ursprünglichen Datenbasis bedeutet, was wiederum auf einen höheren Grad der Anonymisierung hindeutet.</w:t>
      </w:r>
    </w:p>
    <w:p w14:paraId="31568785" w14:textId="18306610" w:rsidR="00D27765" w:rsidRDefault="00D27765" w:rsidP="00D27765">
      <w:pPr>
        <w:pStyle w:val="Listenabsatz"/>
      </w:pPr>
      <w:r w:rsidRPr="00D27765">
        <w:t>k-Anonymität</w:t>
      </w:r>
      <w:r>
        <w:t xml:space="preserve">, </w:t>
      </w:r>
      <w:r w:rsidRPr="00D27765">
        <w:t>I-Diversität</w:t>
      </w:r>
      <w:r>
        <w:t xml:space="preserve"> und </w:t>
      </w:r>
      <w:r w:rsidRPr="004832F9">
        <w:t>t-Closeness</w:t>
      </w:r>
      <w:r>
        <w:t xml:space="preserve"> ergänzen sich: Wird alles drei angewendet, so </w:t>
      </w:r>
      <w:r w:rsidR="00B544F6">
        <w:t>„</w:t>
      </w:r>
      <w:r w:rsidR="00B544F6" w:rsidRPr="00B544F6">
        <w:t>müssen nicht nur mindestens l verschiedene Werte in jeder Äquivalenzklasse vertreten sein, es ist auch erforderlich, dass jeder Wert so oft vertreten ist, dass die ursprüngliche Verteilung für jedes einzelne Merkmal abgebildet wird</w:t>
      </w:r>
      <w:r w:rsidR="00B544F6">
        <w:t>“</w:t>
      </w:r>
      <w:r w:rsidR="00B544F6">
        <w:rPr>
          <w:rStyle w:val="Funotenzeichen"/>
        </w:rPr>
        <w:footnoteReference w:id="113"/>
      </w:r>
      <w:r w:rsidR="00B544F6">
        <w:t>.</w:t>
      </w:r>
    </w:p>
    <w:p w14:paraId="35EF7E13" w14:textId="52EF83AF" w:rsidR="00EA22D2" w:rsidRDefault="00EA22D2" w:rsidP="00EA22D2">
      <w:pPr>
        <w:pStyle w:val="Listenabsatz"/>
        <w:numPr>
          <w:ilvl w:val="0"/>
          <w:numId w:val="5"/>
        </w:numPr>
      </w:pPr>
      <w:r w:rsidRPr="004832F9">
        <w:t>δ-Presence</w:t>
      </w:r>
      <w:r>
        <w:t xml:space="preserve">: Ist </w:t>
      </w:r>
      <w:r w:rsidRPr="00EA22D2">
        <w:t xml:space="preserve">die </w:t>
      </w:r>
      <w:r>
        <w:t>Ableitung von Mitgliedern einer Gruppe (</w:t>
      </w:r>
      <w:r w:rsidRPr="004832F9">
        <w:t>Membership</w:t>
      </w:r>
      <w:r>
        <w:t xml:space="preserve"> </w:t>
      </w:r>
      <w:r w:rsidRPr="004832F9">
        <w:t>Disclosure</w:t>
      </w:r>
      <w:r>
        <w:t>) möglich</w:t>
      </w:r>
      <w:r w:rsidR="00462357">
        <w:rPr>
          <w:rStyle w:val="Funotenzeichen"/>
        </w:rPr>
        <w:footnoteReference w:id="114"/>
      </w:r>
      <w:r>
        <w:t>, so kann die</w:t>
      </w:r>
      <w:r w:rsidRPr="00EA22D2">
        <w:t xml:space="preserve"> Tatsache</w:t>
      </w:r>
      <w:r>
        <w:t>, dass sich eine bestimmte/bestimmbare Person in einem Datensatz befindet, aus der Tatsache abgeleitet werden, dass eine bestimmte Gruppe von Personen im Datensatz enthalten sind.</w:t>
      </w:r>
    </w:p>
    <w:p w14:paraId="3494D9F2" w14:textId="13434A55" w:rsidR="00EA22D2" w:rsidRDefault="00EA22D2" w:rsidP="00EA22D2">
      <w:pPr>
        <w:pStyle w:val="Listenabsatz"/>
      </w:pPr>
      <w:r>
        <w:t xml:space="preserve">Um vor derartigen Angriffen zu schützen, wurde das Kriterium der </w:t>
      </w:r>
      <w:r w:rsidRPr="004832F9">
        <w:t>δ-Presence</w:t>
      </w:r>
      <w:r>
        <w:t xml:space="preserve"> entwickelt. </w:t>
      </w:r>
      <w:r w:rsidRPr="004832F9">
        <w:t>δ-Presence</w:t>
      </w:r>
      <w:r w:rsidRPr="00EA22D2">
        <w:t xml:space="preserve"> </w:t>
      </w:r>
      <w:r>
        <w:t>i</w:t>
      </w:r>
      <w:r w:rsidRPr="00EA22D2">
        <w:t>st ein Messwert zur Quantifizierung der Wahrscheinlichkeit, dass eine Person zu einem analysierten Datensatz gehört</w:t>
      </w:r>
      <w:r>
        <w:t>.</w:t>
      </w:r>
    </w:p>
    <w:p w14:paraId="791AF14A" w14:textId="457E60E0" w:rsidR="00EA22D2" w:rsidRDefault="00EA22D2" w:rsidP="00EA22D2">
      <w:pPr>
        <w:pStyle w:val="Listenabsatz"/>
      </w:pPr>
      <w:r>
        <w:t xml:space="preserve">Bei der </w:t>
      </w:r>
      <w:r w:rsidRPr="004832F9">
        <w:t>δ-Presence</w:t>
      </w:r>
      <w:r>
        <w:t xml:space="preserve"> werden zwei unterschiedliche Datenbanken benutzt: </w:t>
      </w:r>
      <w:r w:rsidRPr="00EA22D2">
        <w:t>Im</w:t>
      </w:r>
      <w:r>
        <w:t xml:space="preserve"> ersten Datensatz befinden sich </w:t>
      </w:r>
      <w:r w:rsidRPr="00EA22D2">
        <w:t>öffentlich verfügbare Informatione</w:t>
      </w:r>
      <w:r>
        <w:t xml:space="preserve">n, während im zweiten Datensatz sich die Informationen befinden, welche </w:t>
      </w:r>
      <w:r w:rsidRPr="00EA22D2">
        <w:t>Angriffspotenzial</w:t>
      </w:r>
      <w:r>
        <w:t xml:space="preserve"> beinhalten. Daten aus dem zweiten Datensatz werden nur aggregiert/generalisiert veröffentlicht, </w:t>
      </w:r>
      <w:r w:rsidRPr="00EA22D2">
        <w:t>der Parameter δ</w:t>
      </w:r>
      <w:r>
        <w:t xml:space="preserve"> gibt dabei die Wahrscheinlichkeit an, dass ein Angreifer trotz der Generalisierung auf die geschützten Merkmale der zweiten Datenbank zugreifen kann.</w:t>
      </w:r>
    </w:p>
    <w:p w14:paraId="6E45C682" w14:textId="6D4D595F" w:rsidR="00661DFB" w:rsidRDefault="00661DFB" w:rsidP="00EA22D2">
      <w:pPr>
        <w:pStyle w:val="Listenabsatz"/>
      </w:pPr>
      <w:r>
        <w:t xml:space="preserve">Alternativ werden Gruppenzugehörigkeitsattribute verwendet. Die sensiblen Daten der zweiten Gruppe erhalten Gruppen-IDs, in der öffentlichen Tabelle werden </w:t>
      </w:r>
      <w:r w:rsidRPr="00661DFB">
        <w:t>Daten</w:t>
      </w:r>
      <w:r>
        <w:t xml:space="preserve"> die den Gruppen zugehörige IDs zugeordnet. Bei Nutzung der Gruppen-IDs muss die </w:t>
      </w:r>
      <w:r w:rsidRPr="00661DFB">
        <w:t>k-Anonymität</w:t>
      </w:r>
      <w:r>
        <w:t xml:space="preserve"> gewährleistet werden, </w:t>
      </w:r>
      <w:r w:rsidRPr="00661DFB">
        <w:t>d. h.</w:t>
      </w:r>
      <w:r>
        <w:t xml:space="preserve"> in der öffentlichen Tabelle muss jede Gruppen-ID mindestens k-mal vorhanden sein. Dieses Verfahren ist in der Literatur auch unter dem Begriff „</w:t>
      </w:r>
      <w:r w:rsidRPr="004832F9">
        <w:t>Anatomy</w:t>
      </w:r>
      <w:r>
        <w:t>“</w:t>
      </w:r>
      <w:r>
        <w:rPr>
          <w:rStyle w:val="Funotenzeichen"/>
        </w:rPr>
        <w:footnoteReference w:id="115"/>
      </w:r>
      <w:r>
        <w:t xml:space="preserve"> zu finden.</w:t>
      </w:r>
    </w:p>
    <w:p w14:paraId="12BD027C" w14:textId="71B648FC" w:rsidR="00EA22D2" w:rsidRDefault="00EA22D2" w:rsidP="00EA22D2">
      <w:pPr>
        <w:pStyle w:val="Listenabsatz"/>
      </w:pPr>
      <w:r>
        <w:t xml:space="preserve">Grundvoraussetzung für den Einsatz der </w:t>
      </w:r>
      <w:r w:rsidRPr="004832F9">
        <w:t>δ-Presence</w:t>
      </w:r>
      <w:r>
        <w:t xml:space="preserve"> ist somit, dass das </w:t>
      </w:r>
      <w:r w:rsidRPr="00EA22D2">
        <w:t>Angriffspotenzial bekannt</w:t>
      </w:r>
      <w:r>
        <w:t xml:space="preserve"> ist.</w:t>
      </w:r>
    </w:p>
    <w:p w14:paraId="7FBDA239" w14:textId="552D0FE9" w:rsidR="00D27765" w:rsidRPr="00D27765" w:rsidRDefault="00D27765" w:rsidP="00D8467B">
      <w:pPr>
        <w:pStyle w:val="Listenabsatz"/>
        <w:numPr>
          <w:ilvl w:val="0"/>
          <w:numId w:val="5"/>
        </w:numPr>
      </w:pPr>
      <w:r>
        <w:t>(n</w:t>
      </w:r>
      <w:r w:rsidRPr="004832F9">
        <w:t>,k</w:t>
      </w:r>
      <w:r>
        <w:t>)-Dominanzregel: Die Regel besagt, dass bei einer gegebenen Summe die größten n Beiträge nicht mehr als k Prozent der Summe ausmachen dürfen.</w:t>
      </w:r>
    </w:p>
    <w:p w14:paraId="6585BF4D" w14:textId="77777777" w:rsidR="00AE4EA7" w:rsidRDefault="00000000">
      <w:pPr>
        <w:pStyle w:val="berschrift2"/>
      </w:pPr>
      <w:bookmarkStart w:id="203" w:name="_Toc154652656"/>
      <w:r>
        <w:t>Aufbau und Struktur einer Verfahrensbeschreibung</w:t>
      </w:r>
      <w:bookmarkEnd w:id="203"/>
    </w:p>
    <w:p w14:paraId="5708DA38" w14:textId="45D310FC" w:rsidR="00AE4EA7" w:rsidRDefault="005B1D56">
      <w:r>
        <w:t xml:space="preserve">Gemäß Art. 30 DS-GVO sind Verarbeitungstätigkeiten in einem Verzeichnis zu führen. Dies gilt selbstverständlich auch für die Verarbeitung im Rahmen einer Pseudonymisierung oder Anonymisierung. Darüber hinaus enthält Art. 32 Abs. 3 DS-GVO eine implizite Anforderung, dass die ergriffenen technischen und organisatorischen Maßnahmen, zu denen sowohl die Pseudonymisierung als auch die Anonymisierung gehören, nachweisbar sein müssen (siehe auch Kapitel </w:t>
      </w:r>
      <w:r>
        <w:fldChar w:fldCharType="begin"/>
      </w:r>
      <w:r>
        <w:instrText xml:space="preserve"> REF _Ref154641216 \r \h </w:instrText>
      </w:r>
      <w:r>
        <w:fldChar w:fldCharType="separate"/>
      </w:r>
      <w:r w:rsidR="00C9149F">
        <w:t>5.2</w:t>
      </w:r>
      <w:r>
        <w:fldChar w:fldCharType="end"/>
      </w:r>
      <w:r>
        <w:t>). Es ist daher erforderlich, dass die Verfahren hinreichend genau beschrieben werden.</w:t>
      </w:r>
    </w:p>
    <w:p w14:paraId="09A869BE" w14:textId="77777777" w:rsidR="00AE4EA7" w:rsidRDefault="00000000">
      <w:pPr>
        <w:spacing w:after="0"/>
      </w:pPr>
      <w:r>
        <w:t>Eine entsprechende Beschreibung der Durchführung einer Pseudonymisierung bzw. Anonymisierung sollte folgende Informationen enthalten</w:t>
      </w:r>
      <w:r w:rsidRPr="004832F9">
        <w:rPr>
          <w:rStyle w:val="Funotenanker"/>
        </w:rPr>
        <w:footnoteReference w:id="116"/>
      </w:r>
      <w:r w:rsidRPr="004832F9">
        <w:rPr>
          <w:vertAlign w:val="superscript"/>
        </w:rPr>
        <w:t xml:space="preserve">, </w:t>
      </w:r>
      <w:r w:rsidRPr="004832F9">
        <w:rPr>
          <w:rStyle w:val="Funotenanker"/>
        </w:rPr>
        <w:footnoteReference w:id="117"/>
      </w:r>
      <w:r w:rsidRPr="004832F9">
        <w:t>:</w:t>
      </w:r>
    </w:p>
    <w:p w14:paraId="1CED57DF" w14:textId="6CB350FC" w:rsidR="00AE4EA7" w:rsidRDefault="00F37D05">
      <w:pPr>
        <w:pStyle w:val="Listenabsatz"/>
        <w:numPr>
          <w:ilvl w:val="0"/>
          <w:numId w:val="5"/>
        </w:numPr>
      </w:pPr>
      <w:r>
        <w:t xml:space="preserve">ID des für die Verarbeitung der personenbezogenen Daten Verantwortlichen, wobei sowohl an dieser Stelle wie auch an folgenden Punkten der Aufzählung ID für „Identifikationsdatum“ steht, </w:t>
      </w:r>
      <w:r w:rsidRPr="004832F9">
        <w:t>d.</w:t>
      </w:r>
      <w:r w:rsidR="004832F9" w:rsidRPr="004832F9">
        <w:t> </w:t>
      </w:r>
      <w:r w:rsidRPr="004832F9">
        <w:t>h.</w:t>
      </w:r>
      <w:r>
        <w:t xml:space="preserve"> ein Datum wie beispielsweise eine Personalnummer, anhand dessen eine Person identifiziert werden kann;</w:t>
      </w:r>
    </w:p>
    <w:p w14:paraId="4F688CF1" w14:textId="77777777" w:rsidR="00F37D05" w:rsidRDefault="00000000" w:rsidP="00F37D05">
      <w:pPr>
        <w:pStyle w:val="Listenabsatz"/>
        <w:numPr>
          <w:ilvl w:val="0"/>
          <w:numId w:val="5"/>
        </w:numPr>
      </w:pPr>
      <w:r>
        <w:t xml:space="preserve">ID des für die Verarbeitung der anonymisierten oder </w:t>
      </w:r>
      <w:r w:rsidRPr="004832F9">
        <w:t>pseudonymisierten</w:t>
      </w:r>
      <w:r>
        <w:t xml:space="preserve"> Daten </w:t>
      </w:r>
      <w:bookmarkStart w:id="204" w:name="_Hlk153612498"/>
      <w:bookmarkStart w:id="205" w:name="_Hlk153612508"/>
      <w:r w:rsidR="00F37D05">
        <w:t>Verantwortlichen</w:t>
      </w:r>
      <w:bookmarkEnd w:id="204"/>
      <w:r w:rsidR="00F37D05">
        <w:t>;</w:t>
      </w:r>
      <w:bookmarkEnd w:id="205"/>
    </w:p>
    <w:p w14:paraId="2D363315" w14:textId="795054DF" w:rsidR="00AE4EA7" w:rsidRDefault="00000000" w:rsidP="00370236">
      <w:pPr>
        <w:pStyle w:val="Listenabsatz"/>
        <w:numPr>
          <w:ilvl w:val="0"/>
          <w:numId w:val="5"/>
        </w:numPr>
      </w:pPr>
      <w:r>
        <w:t>Beschreibung der Verarbeitung</w:t>
      </w:r>
      <w:r w:rsidR="00F37D05">
        <w:t xml:space="preserve"> (Zwecke der Verarbeitung, Art der verarbeiteten Daten, Verarbeitungsmethoden usw.)</w:t>
      </w:r>
      <w:r>
        <w:t xml:space="preserve">, für welche die Daten </w:t>
      </w:r>
      <w:r w:rsidR="00404AB5">
        <w:t xml:space="preserve">ursprünglich </w:t>
      </w:r>
      <w:r>
        <w:t>erhoben wurden;</w:t>
      </w:r>
    </w:p>
    <w:p w14:paraId="606C797B" w14:textId="4EDC412B" w:rsidR="00404AB5" w:rsidRDefault="00000000" w:rsidP="00404AB5">
      <w:pPr>
        <w:pStyle w:val="Listenabsatz"/>
        <w:numPr>
          <w:ilvl w:val="0"/>
          <w:numId w:val="5"/>
        </w:numPr>
      </w:pPr>
      <w:r>
        <w:t>Beschreibung der Verarbeitung</w:t>
      </w:r>
      <w:r w:rsidR="00F37D05">
        <w:t xml:space="preserve"> (Zwecke der Verarbeitung, Art der verarbeiteten Daten, Verarbeitungsmethoden usw.)</w:t>
      </w:r>
      <w:r>
        <w:t>, für welche die Anonymisierung oder Pseudonymisierung benötigt wird;</w:t>
      </w:r>
    </w:p>
    <w:p w14:paraId="13527457" w14:textId="41FF69E8" w:rsidR="00AE4EA7" w:rsidRDefault="00404AB5" w:rsidP="00404AB5">
      <w:pPr>
        <w:pStyle w:val="Listenabsatz"/>
        <w:numPr>
          <w:ilvl w:val="0"/>
          <w:numId w:val="5"/>
        </w:numPr>
      </w:pPr>
      <w:r w:rsidRPr="004832F9">
        <w:t>ggf.</w:t>
      </w:r>
      <w:r>
        <w:t xml:space="preserve"> Darstellung der Vereinbarkeit von ursprünglichem und neue</w:t>
      </w:r>
      <w:r w:rsidR="00C10BB0">
        <w:t>m</w:t>
      </w:r>
      <w:r>
        <w:t xml:space="preserve"> Zweck;</w:t>
      </w:r>
    </w:p>
    <w:p w14:paraId="1B4E71CC" w14:textId="2AF8BB0B" w:rsidR="00404AB5" w:rsidRDefault="00000000" w:rsidP="00404AB5">
      <w:pPr>
        <w:pStyle w:val="Listenabsatz"/>
        <w:numPr>
          <w:ilvl w:val="0"/>
          <w:numId w:val="5"/>
        </w:numPr>
      </w:pPr>
      <w:r>
        <w:t>Darstellung der Rechtsgrundlage für die Anonymisierung oder Pseudonymisierung;</w:t>
      </w:r>
    </w:p>
    <w:p w14:paraId="5BDE9F8D" w14:textId="77777777" w:rsidR="00AE4EA7" w:rsidRDefault="00000000">
      <w:pPr>
        <w:pStyle w:val="Listenabsatz"/>
        <w:numPr>
          <w:ilvl w:val="0"/>
          <w:numId w:val="5"/>
        </w:numPr>
      </w:pPr>
      <w:r>
        <w:t xml:space="preserve">Beschreibung des Verfahrens, mit welchem eine Anonymisierung oder Pseudonymisierung durchgeführt wird, u. a. </w:t>
      </w:r>
      <w:r w:rsidRPr="004832F9">
        <w:t>beinhaltend</w:t>
      </w:r>
    </w:p>
    <w:p w14:paraId="069BCAE1" w14:textId="77777777" w:rsidR="00AE4EA7" w:rsidRDefault="00000000">
      <w:pPr>
        <w:pStyle w:val="Listenabsatz"/>
        <w:numPr>
          <w:ilvl w:val="1"/>
          <w:numId w:val="5"/>
        </w:numPr>
      </w:pPr>
      <w:r>
        <w:t>Kontext der Anonymisierung bzw. Pseudonymisierung,</w:t>
      </w:r>
    </w:p>
    <w:p w14:paraId="21C2C75F" w14:textId="77777777" w:rsidR="00AE4EA7" w:rsidRDefault="00000000">
      <w:pPr>
        <w:pStyle w:val="Listenabsatz"/>
        <w:numPr>
          <w:ilvl w:val="1"/>
          <w:numId w:val="5"/>
        </w:numPr>
      </w:pPr>
      <w:r>
        <w:t>Methode/Verfahren der Anonymisierung bzw. Pseudonymisierung,</w:t>
      </w:r>
    </w:p>
    <w:p w14:paraId="486752BD" w14:textId="7F779D85" w:rsidR="00AE4EA7" w:rsidRDefault="00000000">
      <w:pPr>
        <w:pStyle w:val="Listenabsatz"/>
        <w:numPr>
          <w:ilvl w:val="1"/>
          <w:numId w:val="5"/>
        </w:numPr>
      </w:pPr>
      <w:r>
        <w:t xml:space="preserve">Beschreibung, welche </w:t>
      </w:r>
      <w:r w:rsidR="00D27765">
        <w:t xml:space="preserve">Datenarten/-kategorien </w:t>
      </w:r>
      <w:r>
        <w:t>für die Anonymisierung oder Pseudonymisierung ausgewählt wurden sowie eine Begründung, warum diese Daten relevant bzgl. einer Identifikationsmöglichkeit waren, andere nicht,</w:t>
      </w:r>
    </w:p>
    <w:p w14:paraId="317C00B5" w14:textId="2C1F1BC7" w:rsidR="00D27765" w:rsidRDefault="00D27765">
      <w:pPr>
        <w:pStyle w:val="Listenabsatz"/>
        <w:numPr>
          <w:ilvl w:val="1"/>
          <w:numId w:val="5"/>
        </w:numPr>
      </w:pPr>
      <w:r w:rsidRPr="004832F9">
        <w:t>je</w:t>
      </w:r>
      <w:r>
        <w:t xml:space="preserve"> nach</w:t>
      </w:r>
      <w:r w:rsidR="00D97F03">
        <w:t xml:space="preserve"> </w:t>
      </w:r>
      <w:r>
        <w:t xml:space="preserve">gewähltem Verfahren sind zu allen Datenarten/-kategorien </w:t>
      </w:r>
      <w:r w:rsidRPr="00D27765">
        <w:t>alle Ersetzungen, Zusammenfassungen (Aggregationen)</w:t>
      </w:r>
      <w:r>
        <w:t>,</w:t>
      </w:r>
      <w:r w:rsidRPr="00D27765">
        <w:t xml:space="preserve"> Löschungen</w:t>
      </w:r>
      <w:r>
        <w:t xml:space="preserve"> usw. festzuhalten, z. B.</w:t>
      </w:r>
      <w:r w:rsidR="00CA19C4">
        <w:t>:</w:t>
      </w:r>
    </w:p>
    <w:p w14:paraId="51BA93F3" w14:textId="61DBFACF" w:rsidR="00D27765" w:rsidRDefault="00CA19C4" w:rsidP="00D27765">
      <w:pPr>
        <w:pStyle w:val="Listenabsatz"/>
        <w:numPr>
          <w:ilvl w:val="2"/>
          <w:numId w:val="5"/>
        </w:numPr>
      </w:pPr>
      <w:r>
        <w:t>A</w:t>
      </w:r>
      <w:r w:rsidR="00D27765" w:rsidRPr="004C1658">
        <w:t>lle</w:t>
      </w:r>
      <w:r w:rsidR="00D27765">
        <w:t xml:space="preserve"> männlichen Vornamen wurden durch „Adam“ ersetzt, alle weiblichen Vornamen durch „Eva“</w:t>
      </w:r>
      <w:r>
        <w:t>.</w:t>
      </w:r>
    </w:p>
    <w:p w14:paraId="02F81C1F" w14:textId="2D576C1C" w:rsidR="00FB7264" w:rsidRDefault="00FB7264" w:rsidP="00D27765">
      <w:pPr>
        <w:pStyle w:val="Listenabsatz"/>
        <w:numPr>
          <w:ilvl w:val="2"/>
          <w:numId w:val="5"/>
        </w:numPr>
      </w:pPr>
      <w:r>
        <w:t xml:space="preserve">Bildaufnahmen liegen im medizinischen Kontext häufig im </w:t>
      </w:r>
      <w:r w:rsidRPr="00FB7264">
        <w:t>DICOM-Format</w:t>
      </w:r>
      <w:r>
        <w:rPr>
          <w:rStyle w:val="Funotenzeichen"/>
        </w:rPr>
        <w:footnoteReference w:id="118"/>
      </w:r>
      <w:r>
        <w:t xml:space="preserve"> vor. Im </w:t>
      </w:r>
      <w:r w:rsidRPr="00FB7264">
        <w:t>DICOM-Format</w:t>
      </w:r>
      <w:r>
        <w:t xml:space="preserve"> liegen einerseits die Bilddaten selbst vor, andererseits auch Metadaten wie Untersucher, untersuchende Einrichtung, Patientenname usw. Auch ist es möglich, </w:t>
      </w:r>
      <w:r w:rsidR="004F4854">
        <w:t>B</w:t>
      </w:r>
      <w:r>
        <w:t xml:space="preserve">efunde mit abzuspeichern. Metadaten wie auch </w:t>
      </w:r>
      <w:r w:rsidR="004F4854">
        <w:t>B</w:t>
      </w:r>
      <w:r>
        <w:t xml:space="preserve">efunde </w:t>
      </w:r>
      <w:r w:rsidR="005B1D56">
        <w:t>können, wie andere Texte auch,</w:t>
      </w:r>
      <w:r>
        <w:t xml:space="preserve"> pseudo</w:t>
      </w:r>
      <w:r w:rsidR="005B1D56">
        <w:t>nymisiert</w:t>
      </w:r>
      <w:r>
        <w:t xml:space="preserve"> oder auch anonymisier</w:t>
      </w:r>
      <w:r w:rsidR="005B1D56">
        <w:t>t werden</w:t>
      </w:r>
      <w:r>
        <w:t xml:space="preserve">. In </w:t>
      </w:r>
      <w:r w:rsidRPr="00FB7264">
        <w:t>DICOM</w:t>
      </w:r>
      <w:r>
        <w:t xml:space="preserve"> Supplement 55</w:t>
      </w:r>
      <w:r>
        <w:rPr>
          <w:rStyle w:val="Funotenzeichen"/>
        </w:rPr>
        <w:footnoteReference w:id="119"/>
      </w:r>
      <w:r>
        <w:t xml:space="preserve"> findet sich eine Beschreibung zur </w:t>
      </w:r>
      <w:r w:rsidRPr="00FB7264">
        <w:t>De-Identifizierung</w:t>
      </w:r>
      <w:r>
        <w:t>, allerdings stammt das Supplement aus dem Jahr 2002, sodass nicht zwingend alle Identifier, insbesondere indirekte Identifier, gelistet sind.</w:t>
      </w:r>
    </w:p>
    <w:p w14:paraId="5691E4A1" w14:textId="2CD441FF" w:rsidR="00FB7264" w:rsidRDefault="00FB7264" w:rsidP="00FB7264">
      <w:pPr>
        <w:pStyle w:val="Listenabsatz"/>
        <w:ind w:left="2160"/>
      </w:pPr>
      <w:r>
        <w:t xml:space="preserve">Diese Möglichkeit zur Anonymisierung/Pseudonymisierung gilt für die Bilddaten nur eingeschränkt, denn ggf. ist aus den Bilddaten eine Identifizierung möglich, z. B. durch eine </w:t>
      </w:r>
      <w:r w:rsidRPr="004832F9">
        <w:t>3D-Rekonstruktion</w:t>
      </w:r>
      <w:r>
        <w:t xml:space="preserve"> des Kopfes. Somit müssen evtl. die Bilddaten selbst auch geändert werden, um eine Pseudonymisierung/Anonymisierung zu erzielen.</w:t>
      </w:r>
    </w:p>
    <w:p w14:paraId="0FCEF1EB" w14:textId="1CB79A80" w:rsidR="00D27765" w:rsidRDefault="00CA19C4" w:rsidP="00D27765">
      <w:pPr>
        <w:pStyle w:val="Listenabsatz"/>
        <w:numPr>
          <w:ilvl w:val="2"/>
          <w:numId w:val="5"/>
        </w:numPr>
      </w:pPr>
      <w:r>
        <w:t>I</w:t>
      </w:r>
      <w:r w:rsidR="00D27765" w:rsidRPr="004C1658">
        <w:t>n</w:t>
      </w:r>
      <w:r w:rsidR="00D27765">
        <w:t xml:space="preserve"> Audioaufnahmen wurden alle Namen durch einen Piepton </w:t>
      </w:r>
      <w:r w:rsidR="005B1D56">
        <w:t>ersetzt</w:t>
      </w:r>
      <w:r w:rsidR="00D27765">
        <w:t>, einer Stimmenidentifizierung durch Hinzufügung von Rauschsignalen sowie Tonhöhenveränderungen begegnet</w:t>
      </w:r>
      <w:r>
        <w:t>.</w:t>
      </w:r>
    </w:p>
    <w:p w14:paraId="60B25FB0" w14:textId="77777777" w:rsidR="00CA19C4" w:rsidRDefault="00CA19C4" w:rsidP="00CA19C4">
      <w:pPr>
        <w:pStyle w:val="Listenabsatz"/>
        <w:ind w:left="2160"/>
      </w:pPr>
      <w:r>
        <w:t>Hinweise:</w:t>
      </w:r>
    </w:p>
    <w:p w14:paraId="553F299A" w14:textId="3BDD0AA3" w:rsidR="00CA19C4" w:rsidRDefault="00CA19C4">
      <w:pPr>
        <w:pStyle w:val="Listenabsatz"/>
        <w:numPr>
          <w:ilvl w:val="0"/>
          <w:numId w:val="38"/>
        </w:numPr>
      </w:pPr>
      <w:r>
        <w:t>Die Stimme eines Menschen ist individuell, Personen können allein anhand ihrer Stimmer identifiziert werden. Somit sind in Tonaufnahmen Menschen, welche sprechen, in der Regel als identifizierbar anzusehen. Mittel</w:t>
      </w:r>
      <w:r w:rsidR="004F4854">
        <w:t>s</w:t>
      </w:r>
      <w:r>
        <w:t xml:space="preserve"> moderner Methoden der Mustererkennung können Stimmen ausgetauscht werden und so auch dieses </w:t>
      </w:r>
      <w:r w:rsidR="00D84386" w:rsidRPr="00D84386">
        <w:t>Risiko</w:t>
      </w:r>
      <w:r>
        <w:t xml:space="preserve"> einer ungewollten Identifikation minimiert werden.</w:t>
      </w:r>
    </w:p>
    <w:p w14:paraId="1F823470" w14:textId="00719594" w:rsidR="00CA19C4" w:rsidRDefault="00CA19C4">
      <w:pPr>
        <w:pStyle w:val="Listenabsatz"/>
        <w:numPr>
          <w:ilvl w:val="0"/>
          <w:numId w:val="38"/>
        </w:numPr>
      </w:pPr>
      <w:r>
        <w:t xml:space="preserve">In einer aktuellen Studie fanden Forscher heraus, dass sich Personen auch </w:t>
      </w:r>
      <w:r w:rsidRPr="00CA19C4">
        <w:t xml:space="preserve">anhand </w:t>
      </w:r>
      <w:r w:rsidRPr="00D84386">
        <w:t>des Häsitationsverhalten</w:t>
      </w:r>
      <w:r w:rsidR="00D84386" w:rsidRPr="00D84386">
        <w:t>s</w:t>
      </w:r>
      <w:r>
        <w:t>, also der Verwendung</w:t>
      </w:r>
      <w:r w:rsidRPr="00CA19C4">
        <w:t xml:space="preserve"> von Füllwörtern und anderer Verzögerungsphänomene</w:t>
      </w:r>
      <w:r>
        <w:t>,</w:t>
      </w:r>
      <w:r w:rsidRPr="00CA19C4">
        <w:t xml:space="preserve"> identifizieren lassen</w:t>
      </w:r>
      <w:r>
        <w:t>.</w:t>
      </w:r>
      <w:r>
        <w:rPr>
          <w:rStyle w:val="Funotenzeichen"/>
        </w:rPr>
        <w:footnoteReference w:id="120"/>
      </w:r>
      <w:r>
        <w:t xml:space="preserve"> Selbst wenn man also die Stimme austauscht, kann es sein, dass Personen anhand der verwendeten Sprachmuster erkennbar </w:t>
      </w:r>
      <w:r w:rsidR="005B1D56">
        <w:t>sind</w:t>
      </w:r>
      <w:r>
        <w:t>. Um das Risiko dieser Identifikationsmöglichkeit ebenfalls zu minimieren, muss daher auch die Wortwahl angepasst und bspw. Füllwörter</w:t>
      </w:r>
      <w:r w:rsidRPr="00CA19C4">
        <w:t xml:space="preserve"> </w:t>
      </w:r>
      <w:r>
        <w:t>entfernt werden, Pausen zwischen Wörtern</w:t>
      </w:r>
      <w:r w:rsidR="005B1D56">
        <w:t xml:space="preserve"> und </w:t>
      </w:r>
      <w:r>
        <w:t>Sätzen geändert werden</w:t>
      </w:r>
      <w:r w:rsidR="005B1D56">
        <w:t>,</w:t>
      </w:r>
      <w:r>
        <w:t xml:space="preserve"> usw.</w:t>
      </w:r>
    </w:p>
    <w:p w14:paraId="589EF97F" w14:textId="69D0E489" w:rsidR="00CA19C4" w:rsidRDefault="00CA19C4" w:rsidP="00CA19C4">
      <w:pPr>
        <w:pStyle w:val="Listenabsatz"/>
        <w:numPr>
          <w:ilvl w:val="2"/>
          <w:numId w:val="5"/>
        </w:numPr>
      </w:pPr>
      <w:r>
        <w:t>I</w:t>
      </w:r>
      <w:r w:rsidR="00D27765" w:rsidRPr="004C1658">
        <w:t>n</w:t>
      </w:r>
      <w:r w:rsidR="00D27765">
        <w:t xml:space="preserve"> Videoaufnahmen wurden Gesichter verpixelt, besondere Merkmale wie spezielle Gangarten oder körperliche Auffälligkeiten ebenfalls verpixelt</w:t>
      </w:r>
      <w:r>
        <w:t>.</w:t>
      </w:r>
    </w:p>
    <w:p w14:paraId="0BEF6F8C" w14:textId="4D8F0403" w:rsidR="00CA19C4" w:rsidRDefault="00CA19C4" w:rsidP="00CA19C4">
      <w:pPr>
        <w:pStyle w:val="Listenabsatz"/>
        <w:ind w:left="2160"/>
      </w:pPr>
      <w:r>
        <w:t xml:space="preserve">Alternativ: Eine KI, die mittels </w:t>
      </w:r>
      <w:r w:rsidRPr="00CA19C4">
        <w:t>maschinellem Lernen Gesichter</w:t>
      </w:r>
      <w:r>
        <w:t xml:space="preserve"> zu erkennen lernte</w:t>
      </w:r>
      <w:r w:rsidR="005A0F8F">
        <w:rPr>
          <w:rStyle w:val="Funotenzeichen"/>
        </w:rPr>
        <w:footnoteReference w:id="121"/>
      </w:r>
      <w:r>
        <w:t xml:space="preserve">, kann automatisiert die Elemente des Gesichts lokalisieren, deren Ausprägung erfassen und dann diese verfremden (ähnlich den bekannten </w:t>
      </w:r>
      <w:r w:rsidRPr="00CA19C4">
        <w:t>Deepfake</w:t>
      </w:r>
      <w:r>
        <w:t>-Mechanismen), z. B.</w:t>
      </w:r>
      <w:r w:rsidR="00D84386">
        <w:t>,</w:t>
      </w:r>
      <w:r>
        <w:t xml:space="preserve"> indem Gesichter dergestalt gemittelt werden, dass Menschen gleichen Alters, Hautfarbe und </w:t>
      </w:r>
      <w:r w:rsidR="00D84386" w:rsidRPr="00D84386">
        <w:t>Geschlecht</w:t>
      </w:r>
      <w:r>
        <w:t xml:space="preserve"> das gleiche Gesicht </w:t>
      </w:r>
      <w:r w:rsidR="00D84386">
        <w:t>bekommen</w:t>
      </w:r>
      <w:r>
        <w:t>. Dieses Vorgehen hätte den Vorteil, dass ggf. Mimik/Ausdruck erhalten bleibt, individuelle Gesichtszüge jedoch nicht mehr erkannt werden können.</w:t>
      </w:r>
    </w:p>
    <w:p w14:paraId="2DE438EB" w14:textId="5826239F" w:rsidR="00D27765" w:rsidRDefault="00CA19C4" w:rsidP="00D27765">
      <w:pPr>
        <w:pStyle w:val="Listenabsatz"/>
        <w:numPr>
          <w:ilvl w:val="2"/>
          <w:numId w:val="5"/>
        </w:numPr>
      </w:pPr>
      <w:r>
        <w:t>U</w:t>
      </w:r>
      <w:r w:rsidR="00D27765" w:rsidRPr="004C1658">
        <w:t>sw.</w:t>
      </w:r>
    </w:p>
    <w:p w14:paraId="3EDE0496" w14:textId="4A317203" w:rsidR="00AE4EA7" w:rsidRDefault="00000000">
      <w:pPr>
        <w:pStyle w:val="Listenabsatz"/>
        <w:numPr>
          <w:ilvl w:val="1"/>
          <w:numId w:val="5"/>
        </w:numPr>
      </w:pPr>
      <w:r>
        <w:t>ID der Person oder des automatisierten IT-Systems, welches die Anonymisierung oder Pseudonymisierung durchführt</w:t>
      </w:r>
      <w:r w:rsidR="00CA19C4">
        <w:t>.</w:t>
      </w:r>
    </w:p>
    <w:p w14:paraId="6662C5DB" w14:textId="2276B3A5" w:rsidR="00AE4EA7" w:rsidRDefault="00000000">
      <w:pPr>
        <w:pStyle w:val="Listenabsatz"/>
        <w:numPr>
          <w:ilvl w:val="1"/>
          <w:numId w:val="5"/>
        </w:numPr>
      </w:pPr>
      <w:r>
        <w:t xml:space="preserve">Bei einer Anonymisierung der Nachweis der Anonymität, d. h. der Nachweis der Nicht-Beziehbarkeit der verarbeiteten Daten auf eine identifizierte oder identifizierbare natürliche Person </w:t>
      </w:r>
      <w:r w:rsidR="005B1D56">
        <w:t>einschließlich</w:t>
      </w:r>
      <w:r>
        <w:t xml:space="preserve"> </w:t>
      </w:r>
      <w:r w:rsidR="004F4854">
        <w:t>d</w:t>
      </w:r>
      <w:r>
        <w:t xml:space="preserve">en </w:t>
      </w:r>
      <w:r w:rsidR="005B1D56">
        <w:t xml:space="preserve">zur Anonymisierung </w:t>
      </w:r>
      <w:r>
        <w:t>verwendeten Kontrollmechanismen sowie die Darstellung des Ergebnisses der Anonymisierung wie beispielsweise die Datenstruktur vorher/nachher;</w:t>
      </w:r>
    </w:p>
    <w:p w14:paraId="764D5AD1" w14:textId="54266414" w:rsidR="00AE4EA7" w:rsidRDefault="00000000">
      <w:pPr>
        <w:pStyle w:val="Listenabsatz"/>
        <w:numPr>
          <w:ilvl w:val="0"/>
          <w:numId w:val="5"/>
        </w:numPr>
      </w:pPr>
      <w:r>
        <w:t xml:space="preserve">Umgang mit ggf. zur Anonymisierung oder Pseudonymisierung genutzten </w:t>
      </w:r>
      <w:r w:rsidRPr="004C1658">
        <w:t>kryptogra</w:t>
      </w:r>
      <w:r w:rsidR="004C1658" w:rsidRPr="004C1658">
        <w:t>f</w:t>
      </w:r>
      <w:r w:rsidRPr="004C1658">
        <w:t>ischen</w:t>
      </w:r>
      <w:r>
        <w:t xml:space="preserve"> Schlüssel oder einer entsprechenden Verknüpfungstabelle; hierzu gehört insbesondere </w:t>
      </w:r>
      <w:r w:rsidRPr="004832F9">
        <w:t>auch</w:t>
      </w:r>
    </w:p>
    <w:p w14:paraId="10A1F239" w14:textId="25A41330" w:rsidR="00AE4EA7" w:rsidRDefault="00000000">
      <w:pPr>
        <w:pStyle w:val="Listenabsatz"/>
        <w:numPr>
          <w:ilvl w:val="1"/>
          <w:numId w:val="5"/>
        </w:numPr>
      </w:pPr>
      <w:r w:rsidRPr="004832F9">
        <w:t>eine</w:t>
      </w:r>
      <w:r>
        <w:t xml:space="preserve"> Beschreibung dessen, was geschieht, wenn die Organisation ihren Betrieb hinsichtlich der Anonymisierungs- oder </w:t>
      </w:r>
      <w:r w:rsidRPr="004832F9">
        <w:t>Pseudonymisierungs</w:t>
      </w:r>
      <w:r w:rsidR="00027508" w:rsidRPr="004832F9">
        <w:t>-A</w:t>
      </w:r>
      <w:r w:rsidRPr="004832F9">
        <w:t>ktivitäten</w:t>
      </w:r>
      <w:r>
        <w:t xml:space="preserve"> einstellt,</w:t>
      </w:r>
    </w:p>
    <w:p w14:paraId="2FD63692" w14:textId="2280E338" w:rsidR="00AE4EA7" w:rsidRDefault="00000000">
      <w:pPr>
        <w:pStyle w:val="Listenabsatz"/>
        <w:numPr>
          <w:ilvl w:val="1"/>
          <w:numId w:val="5"/>
        </w:numPr>
      </w:pPr>
      <w:r w:rsidRPr="004832F9">
        <w:t>eine</w:t>
      </w:r>
      <w:r>
        <w:t xml:space="preserve"> Beschreibung, in welchen Bereichen und für welche Anwendungen die </w:t>
      </w:r>
      <w:r w:rsidRPr="004C1658">
        <w:t>kryptogra</w:t>
      </w:r>
      <w:r w:rsidR="004C1658" w:rsidRPr="004C1658">
        <w:t>f</w:t>
      </w:r>
      <w:r w:rsidRPr="004C1658">
        <w:t>ischen</w:t>
      </w:r>
      <w:r>
        <w:t xml:space="preserve"> Schlüssel oder </w:t>
      </w:r>
      <w:r w:rsidRPr="004C1658">
        <w:t>die entsprechende Verknüpfungstabelle</w:t>
      </w:r>
      <w:r>
        <w:t xml:space="preserve"> verwendet </w:t>
      </w:r>
      <w:r w:rsidRPr="004832F9">
        <w:t>werden</w:t>
      </w:r>
    </w:p>
    <w:p w14:paraId="47F84BEA" w14:textId="3257384A" w:rsidR="00AE4EA7" w:rsidRDefault="00000000">
      <w:pPr>
        <w:pStyle w:val="Listenabsatz"/>
        <w:numPr>
          <w:ilvl w:val="1"/>
          <w:numId w:val="5"/>
        </w:numPr>
      </w:pPr>
      <w:r w:rsidRPr="004832F9">
        <w:t>eine</w:t>
      </w:r>
      <w:r>
        <w:t xml:space="preserve"> Beschreibung </w:t>
      </w:r>
      <w:r w:rsidRPr="004832F9">
        <w:t>des Gültigkeitszeitraum</w:t>
      </w:r>
      <w:r w:rsidR="004832F9" w:rsidRPr="004832F9">
        <w:t>s</w:t>
      </w:r>
      <w:r>
        <w:t xml:space="preserve"> (aus welchem sich letztlich auch der späteste Zeitpunkt zur Validierung der durchgeführten Pseudonymisierung oder Anonymisierung ergibt),</w:t>
      </w:r>
    </w:p>
    <w:p w14:paraId="1B8537C9" w14:textId="77777777" w:rsidR="00AE4EA7" w:rsidRDefault="00000000">
      <w:pPr>
        <w:pStyle w:val="Listenabsatz"/>
        <w:numPr>
          <w:ilvl w:val="1"/>
          <w:numId w:val="5"/>
        </w:numPr>
      </w:pPr>
      <w:r w:rsidRPr="004832F9">
        <w:t>eine</w:t>
      </w:r>
      <w:r>
        <w:t xml:space="preserve"> Beschreibung der Möglichkeiten und Verfahren zur Verknüpfung mit Alt-Daten oder neu hinzugekommenen Daten, sofern die Möglichkeit vorhanden ist;</w:t>
      </w:r>
    </w:p>
    <w:p w14:paraId="351820B2" w14:textId="77777777" w:rsidR="00C9149F" w:rsidRDefault="00C9149F">
      <w:pPr>
        <w:spacing w:after="0" w:line="240" w:lineRule="auto"/>
        <w:jc w:val="left"/>
      </w:pPr>
      <w:r>
        <w:br w:type="page"/>
      </w:r>
    </w:p>
    <w:p w14:paraId="60B9E373" w14:textId="2EA2C2CE" w:rsidR="00AE4EA7" w:rsidRDefault="00000000">
      <w:pPr>
        <w:pStyle w:val="Listenabsatz"/>
        <w:numPr>
          <w:ilvl w:val="0"/>
          <w:numId w:val="5"/>
        </w:numPr>
      </w:pPr>
      <w:r>
        <w:t xml:space="preserve">Bewertung der Anonymisierung, beinhaltend </w:t>
      </w:r>
      <w:r w:rsidRPr="004832F9">
        <w:t>insbesondere</w:t>
      </w:r>
    </w:p>
    <w:p w14:paraId="56578CEA" w14:textId="77777777" w:rsidR="00AE4EA7" w:rsidRDefault="00000000">
      <w:pPr>
        <w:pStyle w:val="Listenabsatz"/>
        <w:numPr>
          <w:ilvl w:val="1"/>
          <w:numId w:val="5"/>
        </w:numPr>
      </w:pPr>
      <w:r>
        <w:t>Statistische Beurteilung der Anonymisierung,</w:t>
      </w:r>
    </w:p>
    <w:p w14:paraId="77C5DA8D" w14:textId="14F54D3F" w:rsidR="00AE4EA7" w:rsidRDefault="00000000">
      <w:pPr>
        <w:pStyle w:val="Listenabsatz"/>
        <w:numPr>
          <w:ilvl w:val="1"/>
          <w:numId w:val="5"/>
        </w:numPr>
      </w:pPr>
      <w:r>
        <w:t xml:space="preserve">Robustheit der Anonymisierung bzw. Darstellung </w:t>
      </w:r>
      <w:r w:rsidR="004C1658" w:rsidRPr="004C1658">
        <w:t xml:space="preserve">von vorhandenem </w:t>
      </w:r>
      <w:r w:rsidR="004C1658" w:rsidRPr="004832F9">
        <w:t>Poten</w:t>
      </w:r>
      <w:r w:rsidR="004832F9" w:rsidRPr="004832F9">
        <w:t>z</w:t>
      </w:r>
      <w:r w:rsidR="004C1658" w:rsidRPr="004832F9">
        <w:t>ial</w:t>
      </w:r>
      <w:r>
        <w:t xml:space="preserve"> einer Re-Identifizierung,</w:t>
      </w:r>
    </w:p>
    <w:p w14:paraId="7C5E427D" w14:textId="77777777" w:rsidR="00AE4EA7" w:rsidRDefault="00000000">
      <w:pPr>
        <w:pStyle w:val="Listenabsatz"/>
        <w:numPr>
          <w:ilvl w:val="1"/>
          <w:numId w:val="5"/>
        </w:numPr>
      </w:pPr>
      <w:r>
        <w:t>Risikobewertung;</w:t>
      </w:r>
    </w:p>
    <w:p w14:paraId="4729AB92" w14:textId="77777777" w:rsidR="00AE4EA7" w:rsidRDefault="00000000">
      <w:pPr>
        <w:pStyle w:val="Listenabsatz"/>
        <w:numPr>
          <w:ilvl w:val="0"/>
          <w:numId w:val="5"/>
        </w:numPr>
      </w:pPr>
      <w:r>
        <w:t xml:space="preserve">Festlegung Zeitpunkt Neubewertung, ob anonyme Daten vorliegen oder nicht, </w:t>
      </w:r>
      <w:r w:rsidRPr="004832F9">
        <w:t>beinhaltend</w:t>
      </w:r>
    </w:p>
    <w:p w14:paraId="24A7EB1D" w14:textId="77777777" w:rsidR="00AE4EA7" w:rsidRDefault="00000000">
      <w:pPr>
        <w:pStyle w:val="Listenabsatz"/>
        <w:numPr>
          <w:ilvl w:val="1"/>
          <w:numId w:val="5"/>
        </w:numPr>
      </w:pPr>
      <w:r>
        <w:t>Festlegung eines Datums, wann spätestens eine Neubewertung erfolgt,</w:t>
      </w:r>
    </w:p>
    <w:p w14:paraId="58F380AA" w14:textId="77777777" w:rsidR="00AE4EA7" w:rsidRDefault="00000000">
      <w:pPr>
        <w:pStyle w:val="Listenabsatz"/>
        <w:numPr>
          <w:ilvl w:val="1"/>
          <w:numId w:val="5"/>
        </w:numPr>
      </w:pPr>
      <w:r>
        <w:t>Darstellung des Prozesses, wie regelmäßig überprüft wird, ob sich Rahmenbedingungen ergaben oder vorhandene Rahmenbedingungen sich änderten, welche eine Neubewertung erfordern,</w:t>
      </w:r>
    </w:p>
    <w:p w14:paraId="109BDE64" w14:textId="7EB2D3AC" w:rsidR="00AE4EA7" w:rsidRDefault="00000000">
      <w:pPr>
        <w:pStyle w:val="Listenabsatz"/>
        <w:numPr>
          <w:ilvl w:val="1"/>
          <w:numId w:val="5"/>
        </w:numPr>
      </w:pPr>
      <w:r>
        <w:t xml:space="preserve">Vorgehen bei Feststellung neu auftretender Risiken (z. B. Angriff auf eine verwendete </w:t>
      </w:r>
      <w:r w:rsidRPr="004C1658">
        <w:t>kryptogra</w:t>
      </w:r>
      <w:r w:rsidR="004C1658" w:rsidRPr="004C1658">
        <w:t>f</w:t>
      </w:r>
      <w:r w:rsidRPr="004C1658">
        <w:t>ische</w:t>
      </w:r>
      <w:r>
        <w:t xml:space="preserve"> Methode ist bekannt geworden</w:t>
      </w:r>
      <w:r w:rsidRPr="004832F9">
        <w:t>)</w:t>
      </w:r>
    </w:p>
    <w:p w14:paraId="4F283542" w14:textId="77777777" w:rsidR="00AE4EA7" w:rsidRDefault="00000000">
      <w:pPr>
        <w:pStyle w:val="Listenabsatz"/>
        <w:numPr>
          <w:ilvl w:val="0"/>
          <w:numId w:val="5"/>
        </w:numPr>
      </w:pPr>
      <w:r>
        <w:t>Ausführliche Beschreibung, unter welchen Umständen die Pseudonymisierung durch wen auf welche Art umkehrbar ist und welche Berechtigung hierzu von wem erforderlich ist;</w:t>
      </w:r>
    </w:p>
    <w:p w14:paraId="549002C9" w14:textId="77777777" w:rsidR="00AE4EA7" w:rsidRDefault="00000000">
      <w:pPr>
        <w:pStyle w:val="Listenabsatz"/>
        <w:numPr>
          <w:ilvl w:val="0"/>
          <w:numId w:val="5"/>
        </w:numPr>
      </w:pPr>
      <w:r>
        <w:t xml:space="preserve">Festlegung der Beschränkungen, denen der Empfänger der anonymisierten oder </w:t>
      </w:r>
      <w:r w:rsidRPr="004832F9">
        <w:t>pseudonymisierten</w:t>
      </w:r>
      <w:r>
        <w:t xml:space="preserve"> Daten unterliegt, z. B. vertragliche Regelungen oder die vereinbarten Verarbeitungsgrundsätze zu informationsbezogenen Aktionen mit diesen Daten, insbesondere bzgl. Weiterleitung und Aufbewahrung wie beispielsweise:</w:t>
      </w:r>
    </w:p>
    <w:p w14:paraId="33C7C2BF" w14:textId="77777777" w:rsidR="00AE4EA7" w:rsidRDefault="00000000">
      <w:pPr>
        <w:pStyle w:val="Listenabsatz"/>
        <w:numPr>
          <w:ilvl w:val="1"/>
          <w:numId w:val="5"/>
        </w:numPr>
      </w:pPr>
      <w:r>
        <w:t>Der Empfänger darf die Daten nicht öffentlich zugänglich machen.</w:t>
      </w:r>
    </w:p>
    <w:p w14:paraId="1186D82E" w14:textId="77777777" w:rsidR="00AE4EA7" w:rsidRDefault="00000000">
      <w:pPr>
        <w:pStyle w:val="Listenabsatz"/>
        <w:numPr>
          <w:ilvl w:val="1"/>
          <w:numId w:val="5"/>
        </w:numPr>
      </w:pPr>
      <w:r>
        <w:t>Der Empfänger muss die Daten vor unberechtigtem Zugriff schützen.</w:t>
      </w:r>
    </w:p>
    <w:p w14:paraId="7D20186D" w14:textId="2677E77A" w:rsidR="00AE4EA7" w:rsidRDefault="00000000">
      <w:pPr>
        <w:pStyle w:val="Listenabsatz"/>
        <w:numPr>
          <w:ilvl w:val="1"/>
          <w:numId w:val="5"/>
        </w:numPr>
      </w:pPr>
      <w:r>
        <w:t xml:space="preserve">Der Empfänger darf die Daten nur intern nutzen, um entpersonalisierte Daten zu </w:t>
      </w:r>
      <w:r w:rsidRPr="004C1658">
        <w:t>erzeugen</w:t>
      </w:r>
      <w:r w:rsidR="004C1658" w:rsidRPr="004C1658">
        <w:t>,</w:t>
      </w:r>
      <w:r>
        <w:t xml:space="preserve"> und erst diese dürfen öffentlich zugänglich gemacht oder an Kunden veräußert werden.</w:t>
      </w:r>
    </w:p>
    <w:p w14:paraId="535604E2" w14:textId="77777777" w:rsidR="00AE4EA7" w:rsidRDefault="00000000">
      <w:pPr>
        <w:pStyle w:val="Listenabsatz"/>
        <w:numPr>
          <w:ilvl w:val="1"/>
          <w:numId w:val="5"/>
        </w:numPr>
      </w:pPr>
      <w:r>
        <w:t>Der Empfänger muss die Daten zerstören, wenn die Verarbeitung hinsichtlich der vereinbarten Zwecke beendet wurde und kein weiterer rechtlicher Aufbewahrungsgrund für die Daten mehr existiert.</w:t>
      </w:r>
    </w:p>
    <w:p w14:paraId="26063289"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2315A9CA" w14:textId="77777777" w:rsidR="00F7250D" w:rsidRDefault="00F7250D" w:rsidP="00F7250D">
      <w:pPr>
        <w:pStyle w:val="berschrift1"/>
      </w:pPr>
      <w:bookmarkStart w:id="206" w:name="_Toc154652657"/>
      <w:r w:rsidRPr="003A72B5">
        <w:rPr>
          <w:lang w:val="en-US"/>
        </w:rPr>
        <w:t>Frequently Asked Questions</w:t>
      </w:r>
      <w:r w:rsidRPr="003A72B5">
        <w:t xml:space="preserve"> </w:t>
      </w:r>
      <w:r>
        <w:t>(</w:t>
      </w:r>
      <w:r w:rsidRPr="003A72B5">
        <w:t>FAQ</w:t>
      </w:r>
      <w:r>
        <w:t>)</w:t>
      </w:r>
      <w:bookmarkEnd w:id="206"/>
    </w:p>
    <w:p w14:paraId="0D2AAABD" w14:textId="395E3CE8" w:rsidR="005E57FD" w:rsidRDefault="005E57FD" w:rsidP="00F7250D">
      <w:pPr>
        <w:pStyle w:val="berschrift2"/>
      </w:pPr>
      <w:bookmarkStart w:id="207" w:name="_Toc154652658"/>
      <w:r>
        <w:t>Kann eine juristische Person mehrere Verantwortliche haben?</w:t>
      </w:r>
      <w:bookmarkEnd w:id="207"/>
    </w:p>
    <w:p w14:paraId="47534DDE" w14:textId="193283D0" w:rsidR="005E57FD" w:rsidRDefault="005E57FD" w:rsidP="005E57FD">
      <w:pPr>
        <w:spacing w:after="0"/>
      </w:pPr>
      <w:r>
        <w:t xml:space="preserve">In dieser Praxishilfe wird immer von „Verantwortlichem“ gesprochen. Der Begriff „Verantwortlicher“ wird in Art. 4 </w:t>
      </w:r>
      <w:r w:rsidRPr="004832F9">
        <w:t>Ziff</w:t>
      </w:r>
      <w:r>
        <w:t>. 7 DS-GVO wie folgt definiert:</w:t>
      </w:r>
    </w:p>
    <w:p w14:paraId="4977FD28" w14:textId="2865B026" w:rsidR="005E57FD" w:rsidRDefault="005E57FD" w:rsidP="005E57FD">
      <w:pPr>
        <w:ind w:left="576"/>
      </w:pPr>
      <w:r>
        <w:t>„‘Verantwortlicher‘ die natürliche oder juristische Person, Behörde, Einrichtung oder andere Stelle, die allein oder gemeinsam mit anderen über die Zwecke und Mittel der Verarbeitung von personenbezogenen Daten entscheidet; sind die Zwecke und Mittel dieser Verarbeitung durch das Unionsrecht oder das Recht der Mitgliedstaaten vorgegeben, so kann der Verantwortliche beziehungsweise können die bestimmten Kriterien seiner Benennung nach dem Unionsrecht oder dem Recht der Mitgliedstaaten vorgesehen werden“</w:t>
      </w:r>
      <w:r w:rsidR="005B1D56">
        <w:t>.</w:t>
      </w:r>
    </w:p>
    <w:p w14:paraId="00E00CFE" w14:textId="37EC42BF" w:rsidR="005E57FD" w:rsidRDefault="005E57FD" w:rsidP="005E57FD">
      <w:r>
        <w:t>In den meisten Fällen wird der „Verantwortliche“ durch die Unternehmensleitung repräsentiert, da nur diese „</w:t>
      </w:r>
      <w:r w:rsidRPr="005E57FD">
        <w:t>über die Zwecke und Mittel der Verarbeitung von personenbezogenen Daten</w:t>
      </w:r>
      <w:r>
        <w:t>“ entscheiden darf.</w:t>
      </w:r>
    </w:p>
    <w:p w14:paraId="6703BB2E" w14:textId="41F091EF" w:rsidR="005E57FD" w:rsidRDefault="005E57FD" w:rsidP="005E57FD">
      <w:r>
        <w:t xml:space="preserve">Im medizinischen Kontext sind jedoch mitunter weisungsfreie Tätigkeiten zu berücksichtigen, wodurch auch andere Personen als eine Unternehmensleitung als „Verantwortliche“ anzusehen sind. Forschung beispielsweise ist in den meisten Universitätskliniken arbeitsrechtlicher Bestandteil der Tätigkeit von Ärztinnen und Ärzten. Im Kontext der Forschung sind forschende Mediziner i. d. R. weisungsfrei, d. h. welche personenbezogenen Daten zu welchen Forschungen wie verarbeitet werden, entscheiden selbstständig Mediziner ohne Mitspracherecht der Leitung des Universitätsklinikums. In diesen Fällen sind die forschenden Ärzte als Verantwortliche für die Verarbeitung im Kontext des jeweiligen Forschungsprojektes anzusehen, wobei die oder der Datenschutzbeauftragte des Universitätsklinikums natürlich auch in diesem Kontext seine Zuständigkeit </w:t>
      </w:r>
      <w:r w:rsidR="00404AB5">
        <w:t>behält.</w:t>
      </w:r>
    </w:p>
    <w:p w14:paraId="057F83CA" w14:textId="5EBB880C" w:rsidR="00404AB5" w:rsidRDefault="00404AB5" w:rsidP="005E57FD">
      <w:r>
        <w:t xml:space="preserve">Ggf. trifft der Verantwortliche die Festlegung der Mittel und Zwecke der </w:t>
      </w:r>
      <w:r w:rsidR="00E87699">
        <w:t xml:space="preserve">Verarbeitung </w:t>
      </w:r>
      <w:r>
        <w:t xml:space="preserve">nicht allein, sondern gemeinsam mit einem oder mehreren anderen Verantwortlichen. Die Rechtsfolgen ergeben sich aus Art. 26 DS-GVO. In derartigen Fällen sollte auch für den Vorgang der Anonymisierung bzw. Pseudonymisierung in der zu treffenden Vereinbarung festgelegt werden, wer von den gemeinsam Verantwortlichen welche Verpflichtung gemäß der DS-GVO erfüllt, insbesondere was die Wahrnehmung der Betroffenenrechte (siehe Kapitel </w:t>
      </w:r>
      <w:r>
        <w:fldChar w:fldCharType="begin"/>
      </w:r>
      <w:r>
        <w:instrText xml:space="preserve"> REF _Ref154773418 \r \h </w:instrText>
      </w:r>
      <w:r>
        <w:fldChar w:fldCharType="separate"/>
      </w:r>
      <w:r w:rsidR="00C9149F">
        <w:t>5.3</w:t>
      </w:r>
      <w:r>
        <w:fldChar w:fldCharType="end"/>
      </w:r>
      <w:r>
        <w:t xml:space="preserve">) angeht, und wer welchen Informationspflichten gemäß den </w:t>
      </w:r>
      <w:hyperlink r:id="rId50" w:tooltip="DSGVO:Art 13" w:history="1">
        <w:r>
          <w:rPr>
            <w:rStyle w:val="Hyperlink"/>
          </w:rPr>
          <w:t>Art. 13</w:t>
        </w:r>
      </w:hyperlink>
      <w:r>
        <w:t xml:space="preserve"> und </w:t>
      </w:r>
      <w:hyperlink r:id="rId51" w:tooltip="DSGVO:Art 14" w:history="1">
        <w:r>
          <w:rPr>
            <w:rStyle w:val="Hyperlink"/>
          </w:rPr>
          <w:t>14</w:t>
        </w:r>
      </w:hyperlink>
      <w:r>
        <w:t xml:space="preserve"> nachkommt. Zu beachten ist auch, dass „Verantwortlicher“ i. S. v. Art. 4 </w:t>
      </w:r>
      <w:r w:rsidRPr="004832F9">
        <w:t>Ziff</w:t>
      </w:r>
      <w:r>
        <w:t xml:space="preserve">. 7 DS-GVO die gemeinsam Verantwortlichen sind, somit allen gemeinsam auch die aus der DS-GVO resultierenden Nachweispflichten (siehe Kapitel </w:t>
      </w:r>
      <w:r>
        <w:fldChar w:fldCharType="begin"/>
      </w:r>
      <w:r>
        <w:instrText xml:space="preserve"> REF _Ref154641216 \r \h </w:instrText>
      </w:r>
      <w:r>
        <w:fldChar w:fldCharType="separate"/>
      </w:r>
      <w:r w:rsidR="00C9149F">
        <w:t>5.2</w:t>
      </w:r>
      <w:r>
        <w:fldChar w:fldCharType="end"/>
      </w:r>
      <w:r>
        <w:t xml:space="preserve">) obliegen. Zudem benötigt jeder der gemeinsam Verantwortlichen einen eigenen Erlaubnistatbestand (siehe Kapitel </w:t>
      </w:r>
      <w:r>
        <w:fldChar w:fldCharType="begin"/>
      </w:r>
      <w:r>
        <w:instrText xml:space="preserve"> REF _Ref150540537 \r \h </w:instrText>
      </w:r>
      <w:r>
        <w:fldChar w:fldCharType="separate"/>
      </w:r>
      <w:r w:rsidR="00C9149F">
        <w:t>5.1</w:t>
      </w:r>
      <w:r>
        <w:fldChar w:fldCharType="end"/>
      </w:r>
      <w:r>
        <w:t>) für seinen Teil der Verarbeitung.</w:t>
      </w:r>
    </w:p>
    <w:p w14:paraId="1421205D" w14:textId="77777777" w:rsidR="004D0B3D" w:rsidRDefault="004D0B3D" w:rsidP="004D0B3D">
      <w:pPr>
        <w:pStyle w:val="berschrift2"/>
      </w:pPr>
      <w:bookmarkStart w:id="208" w:name="_Ref153623408"/>
      <w:bookmarkStart w:id="209" w:name="_Toc154652659"/>
      <w:bookmarkStart w:id="210" w:name="_Hlk154568145"/>
      <w:r>
        <w:t>Muss ich anonyme Daten, die ich bekomme, auf Anonymität prüfen?</w:t>
      </w:r>
      <w:bookmarkEnd w:id="208"/>
      <w:bookmarkEnd w:id="209"/>
    </w:p>
    <w:p w14:paraId="64F74694" w14:textId="4BB90E43" w:rsidR="004D0B3D" w:rsidRDefault="005B1D56" w:rsidP="005E57FD">
      <w:bookmarkStart w:id="211" w:name="_Hlk154568194"/>
      <w:bookmarkEnd w:id="210"/>
      <w:r>
        <w:t>Erhält</w:t>
      </w:r>
      <w:r w:rsidR="00D234C9">
        <w:t xml:space="preserve"> man Daten, die grundsätzlich einer Person zu</w:t>
      </w:r>
      <w:r>
        <w:t>ge</w:t>
      </w:r>
      <w:r w:rsidR="00D234C9">
        <w:t>ord</w:t>
      </w:r>
      <w:r>
        <w:t>n</w:t>
      </w:r>
      <w:r w:rsidR="00D234C9">
        <w:t>e</w:t>
      </w:r>
      <w:r>
        <w:t>t</w:t>
      </w:r>
      <w:r w:rsidR="00D234C9">
        <w:t xml:space="preserve"> </w:t>
      </w:r>
      <w:r>
        <w:t>werden</w:t>
      </w:r>
      <w:r w:rsidR="00D234C9">
        <w:t xml:space="preserve"> könnten, wie </w:t>
      </w:r>
      <w:r>
        <w:t>di</w:t>
      </w:r>
      <w:r w:rsidR="00D234C9">
        <w:t>es bei Gesundheitsdaten regelhaft an</w:t>
      </w:r>
      <w:r>
        <w:t>zu</w:t>
      </w:r>
      <w:r w:rsidR="00D234C9">
        <w:t xml:space="preserve">nehmen </w:t>
      </w:r>
      <w:r>
        <w:t>ist</w:t>
      </w:r>
      <w:r w:rsidR="00D234C9">
        <w:t>, so wird man ein datenschutzrechtlich Verantwortlicher, wenn die Daten nicht als anonym, sondern als personenbezogen oder personenbeziehbar anzusehen sind. Die (juristische oder natürliche) Person, von der man die Daten erhielt, kann bestenfalls grob abschätzen, welche technischen Möglichkeiten, Zusatzwissen usw. beim Empfänger vor</w:t>
      </w:r>
      <w:r>
        <w:t>handen sind</w:t>
      </w:r>
      <w:r w:rsidR="00D234C9">
        <w:t xml:space="preserve">, die Einstufung als „anonym“ kann daher </w:t>
      </w:r>
      <w:r>
        <w:t>falsch</w:t>
      </w:r>
      <w:r w:rsidR="00D234C9">
        <w:t xml:space="preserve"> sein.</w:t>
      </w:r>
    </w:p>
    <w:p w14:paraId="7E308CA8" w14:textId="1F19A494" w:rsidR="00D234C9" w:rsidRDefault="00D234C9" w:rsidP="005E57FD">
      <w:r>
        <w:t>Ist man rechtlich ein Verantwortlicher, weil die erhaltenen Daten</w:t>
      </w:r>
      <w:r w:rsidRPr="00D234C9">
        <w:t xml:space="preserve"> </w:t>
      </w:r>
      <w:r>
        <w:t>als personenbezogen oder personenbeziehbar anzusehen sind, so unterliegt man allen Verpflichtungen de</w:t>
      </w:r>
      <w:r w:rsidR="005B1D56">
        <w:t>s</w:t>
      </w:r>
      <w:r>
        <w:t xml:space="preserve"> Datenschutzrecht</w:t>
      </w:r>
      <w:r w:rsidR="005B1D56">
        <w:t>s</w:t>
      </w:r>
      <w:r>
        <w:rPr>
          <w:rStyle w:val="Funotenzeichen"/>
        </w:rPr>
        <w:footnoteReference w:id="122"/>
      </w:r>
      <w:r>
        <w:t xml:space="preserve">. Es ist nicht möglich, </w:t>
      </w:r>
      <w:r w:rsidR="005B1D56">
        <w:t xml:space="preserve">sich </w:t>
      </w:r>
      <w:r>
        <w:t>diese</w:t>
      </w:r>
      <w:r w:rsidR="005B1D56">
        <w:t>n</w:t>
      </w:r>
      <w:r>
        <w:t xml:space="preserve"> Pflichten </w:t>
      </w:r>
      <w:r w:rsidR="005B1D56">
        <w:t xml:space="preserve">zu entziehen, indem man sich darauf beruft, dass </w:t>
      </w:r>
      <w:r>
        <w:t xml:space="preserve">man dem Übermittler der Daten </w:t>
      </w:r>
      <w:r w:rsidR="005B1D56">
        <w:t>hinsichtlich</w:t>
      </w:r>
      <w:r>
        <w:t xml:space="preserve"> </w:t>
      </w:r>
      <w:r w:rsidR="005B1D56">
        <w:t xml:space="preserve">der </w:t>
      </w:r>
      <w:r>
        <w:t>Anonymität der Daten vertraut</w:t>
      </w:r>
      <w:r w:rsidR="005B1D56">
        <w:t xml:space="preserve"> habe</w:t>
      </w:r>
      <w:r>
        <w:t xml:space="preserve">. Die ständige Rechtsprechung des EuGH ist in dieser Hinsicht eindeutig: Der </w:t>
      </w:r>
      <w:r w:rsidR="005B1D56">
        <w:t xml:space="preserve">für die Verarbeitung </w:t>
      </w:r>
      <w:r>
        <w:t>Verantwortliche ist „verantwortlich“.</w:t>
      </w:r>
    </w:p>
    <w:bookmarkEnd w:id="211"/>
    <w:p w14:paraId="513601EF" w14:textId="2B5DBCDF" w:rsidR="00D234C9" w:rsidRPr="005E57FD" w:rsidRDefault="00D234C9" w:rsidP="005E57FD">
      <w:r>
        <w:t>Empfänger</w:t>
      </w:r>
      <w:r w:rsidR="005B1D56">
        <w:t>n</w:t>
      </w:r>
      <w:r>
        <w:t xml:space="preserve"> von Daten </w:t>
      </w:r>
      <w:r w:rsidR="005B1D56">
        <w:t xml:space="preserve">ist daher zu raten, </w:t>
      </w:r>
      <w:r>
        <w:t xml:space="preserve">diese auf Anonymität </w:t>
      </w:r>
      <w:r w:rsidR="005B1D56">
        <w:t xml:space="preserve">zu </w:t>
      </w:r>
      <w:r>
        <w:t xml:space="preserve">testen und </w:t>
      </w:r>
      <w:r w:rsidR="005B1D56">
        <w:t xml:space="preserve">den </w:t>
      </w:r>
      <w:r>
        <w:t>Test wie auch Test</w:t>
      </w:r>
      <w:r w:rsidR="005B1D56">
        <w:t>ergebnis</w:t>
      </w:r>
      <w:r>
        <w:t xml:space="preserve"> nachweisbar </w:t>
      </w:r>
      <w:r w:rsidR="005B1D56">
        <w:t xml:space="preserve">zu </w:t>
      </w:r>
      <w:r>
        <w:t>dokumentieren, sodass auch vor einem oder mehreren Gerichten nachgewiesen werden kann, dass die erhaltenen Daten als anonym anzusehen waren.</w:t>
      </w:r>
    </w:p>
    <w:p w14:paraId="0E934845" w14:textId="2614F5E9" w:rsidR="000F21BC" w:rsidRDefault="000F21BC" w:rsidP="00F7250D">
      <w:pPr>
        <w:pStyle w:val="berschrift2"/>
      </w:pPr>
      <w:bookmarkStart w:id="212" w:name="_Toc154652660"/>
      <w:r>
        <w:t>Darf eine Anonymisierung umkehrbar sein?</w:t>
      </w:r>
      <w:bookmarkEnd w:id="212"/>
    </w:p>
    <w:p w14:paraId="4AC8D7DC" w14:textId="54D16DF8" w:rsidR="000F21BC" w:rsidRDefault="000F21BC" w:rsidP="000F21BC">
      <w:r>
        <w:t xml:space="preserve">Nach </w:t>
      </w:r>
      <w:r w:rsidR="00723031">
        <w:t xml:space="preserve">Art. 2 </w:t>
      </w:r>
      <w:r w:rsidR="00723031" w:rsidRPr="004832F9">
        <w:t>Ziff</w:t>
      </w:r>
      <w:r w:rsidR="00723031">
        <w:t>. 7 der Richtlinie (EU) 2019/1024</w:t>
      </w:r>
      <w:r>
        <w:t xml:space="preserve"> ist „Anonymisierung“ ein Prozess, dessen Ergebnis darin besteht, dass Daten nicht oder nicht mehr </w:t>
      </w:r>
      <w:r w:rsidRPr="000F21BC">
        <w:t>einer betroffenen Person</w:t>
      </w:r>
      <w:r>
        <w:t xml:space="preserve"> zugeordnet werden können. Eine Anonymisierung muss daher grundsätzlich unumkehrbar sein.</w:t>
      </w:r>
    </w:p>
    <w:p w14:paraId="4261ADA5" w14:textId="4421324B" w:rsidR="000F21BC" w:rsidRPr="000F21BC" w:rsidRDefault="000F21BC" w:rsidP="000F21BC">
      <w:r>
        <w:t>Ist eine Re-Identifizierung möglich, handelt es sich um eine Pseudonymisierung.</w:t>
      </w:r>
    </w:p>
    <w:p w14:paraId="26C5B4A1" w14:textId="3E91D43E" w:rsidR="00D97F03" w:rsidRDefault="00D97F03" w:rsidP="00F7250D">
      <w:pPr>
        <w:pStyle w:val="berschrift2"/>
      </w:pPr>
      <w:bookmarkStart w:id="213" w:name="_Toc154652661"/>
      <w:r>
        <w:t>Absolute oder relative Anonymisierung</w:t>
      </w:r>
      <w:bookmarkEnd w:id="213"/>
    </w:p>
    <w:p w14:paraId="43E422BE" w14:textId="126795E0" w:rsidR="00D97F03" w:rsidRDefault="001E0F4E" w:rsidP="001E0F4E">
      <w:pPr>
        <w:spacing w:after="0"/>
      </w:pPr>
      <w:r>
        <w:t xml:space="preserve">Insbesondere in Deutschland wird häufig die Unterscheidung zwischen absoluter und relativer Anonymisierung diskutiert, </w:t>
      </w:r>
      <w:bookmarkStart w:id="214" w:name="_Hlk154764731"/>
      <w:r w:rsidR="005B1D56">
        <w:t>a</w:t>
      </w:r>
      <w:r>
        <w:t xml:space="preserve">lso die Frage, ob ein Personenbezug, wie er in Art. 4 </w:t>
      </w:r>
      <w:r w:rsidRPr="004832F9">
        <w:t>Ziff</w:t>
      </w:r>
      <w:r>
        <w:t>. 1 D</w:t>
      </w:r>
      <w:r w:rsidR="005B1D56">
        <w:t>S-</w:t>
      </w:r>
      <w:r>
        <w:t xml:space="preserve">GVO </w:t>
      </w:r>
      <w:r w:rsidR="00723031">
        <w:t xml:space="preserve">definiert ist </w:t>
      </w:r>
      <w:r>
        <w:t>(</w:t>
      </w:r>
      <w:r w:rsidRPr="001E0F4E">
        <w:t>direkt oder indirekt</w:t>
      </w:r>
      <w:r>
        <w:t xml:space="preserve"> </w:t>
      </w:r>
      <w:r w:rsidRPr="001E0F4E">
        <w:t>identifizier</w:t>
      </w:r>
      <w:r w:rsidR="00723031">
        <w:t>bare</w:t>
      </w:r>
      <w:r w:rsidRPr="001E0F4E">
        <w:t xml:space="preserve"> </w:t>
      </w:r>
      <w:r w:rsidR="00723031">
        <w:t>Person</w:t>
      </w:r>
      <w:r>
        <w:t>)</w:t>
      </w:r>
      <w:r w:rsidR="005B1D56">
        <w:t>,</w:t>
      </w:r>
      <w:r>
        <w:t xml:space="preserve"> relativ gesehen werden kann</w:t>
      </w:r>
      <w:bookmarkEnd w:id="214"/>
      <w:r>
        <w:t>. Die Unterscheidung kann wie folgt beschrieben werden:</w:t>
      </w:r>
    </w:p>
    <w:p w14:paraId="4B5B0982" w14:textId="0A729D2D" w:rsidR="001E0F4E" w:rsidRDefault="001E0F4E">
      <w:pPr>
        <w:pStyle w:val="Listenabsatz"/>
        <w:numPr>
          <w:ilvl w:val="0"/>
          <w:numId w:val="44"/>
        </w:numPr>
      </w:pPr>
      <w:r>
        <w:t>Bei a</w:t>
      </w:r>
      <w:r w:rsidRPr="001E0F4E">
        <w:t>bsolut anonyme</w:t>
      </w:r>
      <w:r>
        <w:t>n</w:t>
      </w:r>
      <w:r w:rsidRPr="001E0F4E">
        <w:t xml:space="preserve"> Daten</w:t>
      </w:r>
      <w:r>
        <w:t xml:space="preserve"> ist e</w:t>
      </w:r>
      <w:r w:rsidRPr="001E0F4E">
        <w:t>ine Wiederherstellung des Personenbezugs unmöglich</w:t>
      </w:r>
      <w:r>
        <w:t xml:space="preserve">, </w:t>
      </w:r>
      <w:r w:rsidRPr="001E0F4E">
        <w:t xml:space="preserve">auch </w:t>
      </w:r>
      <w:r>
        <w:t xml:space="preserve">mit dem </w:t>
      </w:r>
      <w:r w:rsidRPr="001E0F4E">
        <w:t xml:space="preserve">größtmöglichen Aufwand und mittels </w:t>
      </w:r>
      <w:r>
        <w:t xml:space="preserve">bei anderen vorhandenen </w:t>
      </w:r>
      <w:r w:rsidRPr="001E0F4E">
        <w:t xml:space="preserve">Zusatzinformationen </w:t>
      </w:r>
      <w:r>
        <w:t xml:space="preserve">ist </w:t>
      </w:r>
      <w:r w:rsidRPr="001E0F4E">
        <w:t>eine Re-Identifizierung ausgeschlossen.</w:t>
      </w:r>
    </w:p>
    <w:p w14:paraId="48FDE098" w14:textId="238B1C59" w:rsidR="001E0F4E" w:rsidRDefault="001E0F4E">
      <w:pPr>
        <w:pStyle w:val="Listenabsatz"/>
        <w:numPr>
          <w:ilvl w:val="0"/>
          <w:numId w:val="44"/>
        </w:numPr>
      </w:pPr>
      <w:r>
        <w:t xml:space="preserve">Bei relativ anonymen Daten (oft auch als „faktisch anonyme Daten“ bezeichnet) ist </w:t>
      </w:r>
      <w:r w:rsidRPr="001E0F4E">
        <w:t xml:space="preserve">eine Identifizierung nicht gänzlich ausgeschlossen, aber </w:t>
      </w:r>
      <w:r>
        <w:t xml:space="preserve">eine Re-Identifizierung kann </w:t>
      </w:r>
      <w:r w:rsidRPr="001E0F4E">
        <w:t xml:space="preserve">nur mit einem unverhältnismäßigen Aufwand </w:t>
      </w:r>
      <w:r>
        <w:t>erfolgen.</w:t>
      </w:r>
    </w:p>
    <w:p w14:paraId="4EFF50CA" w14:textId="6AD8735E" w:rsidR="001E0F4E" w:rsidRDefault="001E0F4E" w:rsidP="001E0F4E">
      <w:r>
        <w:t xml:space="preserve">Zu beachten ist, dass bei </w:t>
      </w:r>
      <w:r w:rsidR="005B1D56">
        <w:t>d</w:t>
      </w:r>
      <w:r>
        <w:t xml:space="preserve">er Weitergabe anonymisierter Daten, die sich im Nachhinein als personenbezogen </w:t>
      </w:r>
      <w:r w:rsidR="005B1D56">
        <w:t>oder</w:t>
      </w:r>
      <w:r>
        <w:t xml:space="preserve"> personenbeziehbar herausstellen, der Übermittler dieser Daten </w:t>
      </w:r>
      <w:r w:rsidR="005B1D56">
        <w:t xml:space="preserve">datenschutzrechtlich </w:t>
      </w:r>
      <w:r>
        <w:t xml:space="preserve">verantwortlich ist. D. h., er haftet </w:t>
      </w:r>
      <w:r w:rsidR="005B1D56">
        <w:t xml:space="preserve">im Falle einer nicht vorhandenen Anonymität </w:t>
      </w:r>
      <w:r>
        <w:t>für eine unrechtmäßige Weitergabe personenbezogener Daten</w:t>
      </w:r>
      <w:r w:rsidR="005B1D56">
        <w:t xml:space="preserve"> und</w:t>
      </w:r>
      <w:r>
        <w:t xml:space="preserve"> Aufsichtsbehörden könnten </w:t>
      </w:r>
      <w:r w:rsidR="005B1D56">
        <w:t xml:space="preserve">diese Tat mit </w:t>
      </w:r>
      <w:r>
        <w:t>ein</w:t>
      </w:r>
      <w:r w:rsidR="005B1D56">
        <w:t>em</w:t>
      </w:r>
      <w:r>
        <w:t xml:space="preserve"> Bußgeld </w:t>
      </w:r>
      <w:r w:rsidR="005B1D56">
        <w:t>ahnden. Weiterhin könnten</w:t>
      </w:r>
      <w:r>
        <w:t xml:space="preserve"> betroffene Personen Schadensersatzanspr</w:t>
      </w:r>
      <w:r w:rsidR="005B1D56">
        <w:t>ü</w:t>
      </w:r>
      <w:r>
        <w:t>ch</w:t>
      </w:r>
      <w:r w:rsidR="005B1D56">
        <w:t>e</w:t>
      </w:r>
      <w:r>
        <w:t xml:space="preserve"> geltend machen. (Siehe auch Kapitel </w:t>
      </w:r>
      <w:r>
        <w:fldChar w:fldCharType="begin"/>
      </w:r>
      <w:r>
        <w:instrText xml:space="preserve"> REF _Ref153623471 \r \h </w:instrText>
      </w:r>
      <w:r>
        <w:fldChar w:fldCharType="separate"/>
      </w:r>
      <w:r w:rsidR="00C9149F">
        <w:t>9.12</w:t>
      </w:r>
      <w:r>
        <w:fldChar w:fldCharType="end"/>
      </w:r>
      <w:r>
        <w:t>)</w:t>
      </w:r>
    </w:p>
    <w:p w14:paraId="33CB4733" w14:textId="73658199" w:rsidR="001E0F4E" w:rsidRDefault="001E0F4E" w:rsidP="001E0F4E">
      <w:r>
        <w:t xml:space="preserve">Auch ein Empfänger kann bei der Verarbeitung von anonymen Daten, die sich als </w:t>
      </w:r>
      <w:r w:rsidRPr="004832F9">
        <w:t>personenbezogen</w:t>
      </w:r>
      <w:r>
        <w:t xml:space="preserve"> </w:t>
      </w:r>
      <w:r w:rsidRPr="004832F9">
        <w:t>i</w:t>
      </w:r>
      <w:r>
        <w:t xml:space="preserve">. S. v. Art. 4 </w:t>
      </w:r>
      <w:r w:rsidRPr="004832F9">
        <w:t>Ziff</w:t>
      </w:r>
      <w:r>
        <w:t xml:space="preserve">. 1 DS-GVO herausstellen, ggf. für die Verarbeitung haften. (Siehe auch Kapitel </w:t>
      </w:r>
      <w:r>
        <w:fldChar w:fldCharType="begin"/>
      </w:r>
      <w:r>
        <w:instrText xml:space="preserve"> REF _Ref153623408 \r \h </w:instrText>
      </w:r>
      <w:r>
        <w:fldChar w:fldCharType="separate"/>
      </w:r>
      <w:r w:rsidR="00C9149F">
        <w:t>9.2</w:t>
      </w:r>
      <w:r>
        <w:fldChar w:fldCharType="end"/>
      </w:r>
      <w:r>
        <w:t>)</w:t>
      </w:r>
    </w:p>
    <w:p w14:paraId="187745FF" w14:textId="34AA7047" w:rsidR="001E0F4E" w:rsidRDefault="005B1D56" w:rsidP="001E0F4E">
      <w:r>
        <w:t>Unabhängig davon</w:t>
      </w:r>
      <w:r w:rsidR="001E0F4E">
        <w:t xml:space="preserve"> sollte ein Verantwortlicher beachten, dass eine absolute </w:t>
      </w:r>
      <w:r>
        <w:t>Sicht</w:t>
      </w:r>
      <w:r w:rsidR="001E0F4E">
        <w:t>weise eine deutliche Einschränkung</w:t>
      </w:r>
      <w:r w:rsidR="001E0F4E" w:rsidRPr="001E0F4E">
        <w:t xml:space="preserve"> </w:t>
      </w:r>
      <w:r w:rsidR="001E0F4E">
        <w:t xml:space="preserve">bedeutet, sodass die Anwendbarkeit des Werkzeugs „Anonymisierung“ gerade im medizinischen Kontext aufgrund des kaum </w:t>
      </w:r>
      <w:r>
        <w:t>ab</w:t>
      </w:r>
      <w:r w:rsidR="001E0F4E">
        <w:t>schätzbaren Zusatzwissens</w:t>
      </w:r>
      <w:r>
        <w:t xml:space="preserve">, wie </w:t>
      </w:r>
      <w:r w:rsidR="00A64241">
        <w:t>e</w:t>
      </w:r>
      <w:r>
        <w:t>s z. B.</w:t>
      </w:r>
      <w:r w:rsidR="001E0F4E">
        <w:t xml:space="preserve"> in sozialen Netzwerken usw. </w:t>
      </w:r>
      <w:r>
        <w:t xml:space="preserve">zu finden </w:t>
      </w:r>
      <w:r w:rsidR="00A64241">
        <w:t>i</w:t>
      </w:r>
      <w:r>
        <w:t>s</w:t>
      </w:r>
      <w:r w:rsidR="00A64241">
        <w:t>t</w:t>
      </w:r>
      <w:r>
        <w:t>, entsprechend eingeschränkt</w:t>
      </w:r>
      <w:r w:rsidR="001E0F4E">
        <w:t xml:space="preserve"> werden k</w:t>
      </w:r>
      <w:r>
        <w:t>ö</w:t>
      </w:r>
      <w:r w:rsidR="001E0F4E">
        <w:t>nn</w:t>
      </w:r>
      <w:r>
        <w:t>te</w:t>
      </w:r>
      <w:r w:rsidR="001E0F4E">
        <w:t>.</w:t>
      </w:r>
    </w:p>
    <w:p w14:paraId="0FB4C62F" w14:textId="5DB6A290" w:rsidR="001E0F4E" w:rsidRDefault="001E0F4E" w:rsidP="00D97F03">
      <w:r>
        <w:t xml:space="preserve">Für beide </w:t>
      </w:r>
      <w:r w:rsidR="005B1D56">
        <w:t>Auffassungen</w:t>
      </w:r>
      <w:r>
        <w:t xml:space="preserve"> </w:t>
      </w:r>
      <w:r w:rsidR="005B1D56">
        <w:t>gibt es</w:t>
      </w:r>
      <w:r>
        <w:t xml:space="preserve"> Argumente, von denen </w:t>
      </w:r>
      <w:r w:rsidR="005B1D56">
        <w:t>einige</w:t>
      </w:r>
      <w:r>
        <w:t xml:space="preserve"> im Folgenden dargestellt werden. Beim EuGH ist eine Rechtssache</w:t>
      </w:r>
      <w:r>
        <w:rPr>
          <w:rStyle w:val="Funotenzeichen"/>
        </w:rPr>
        <w:footnoteReference w:id="123"/>
      </w:r>
      <w:r>
        <w:t xml:space="preserve"> anhängig, die vermutlich klären wird, welche </w:t>
      </w:r>
      <w:r w:rsidR="005B1D56">
        <w:t>Sichtweise</w:t>
      </w:r>
      <w:r>
        <w:t xml:space="preserve"> richtig ist. Bis dahin müssen Verantwortliche selbst entscheiden, welcher </w:t>
      </w:r>
      <w:r w:rsidR="005B1D56">
        <w:t>Sichtweise</w:t>
      </w:r>
      <w:r>
        <w:t xml:space="preserve"> sie folgen</w:t>
      </w:r>
      <w:r w:rsidR="005B1D56">
        <w:t xml:space="preserve"> wollen</w:t>
      </w:r>
      <w:r>
        <w:t>.</w:t>
      </w:r>
    </w:p>
    <w:p w14:paraId="0D4BE22C" w14:textId="3CFEF12A" w:rsidR="001E0F4E" w:rsidRDefault="001E0F4E" w:rsidP="001E0F4E">
      <w:pPr>
        <w:pStyle w:val="berschrift3"/>
      </w:pPr>
      <w:bookmarkStart w:id="215" w:name="_Toc154652662"/>
      <w:r>
        <w:t>Argumentation bzgl. absoluter Anonymität</w:t>
      </w:r>
      <w:bookmarkEnd w:id="215"/>
    </w:p>
    <w:p w14:paraId="245A7F81" w14:textId="77777777" w:rsidR="001E0F4E" w:rsidRDefault="001E0F4E" w:rsidP="001E0F4E">
      <w:pPr>
        <w:contextualSpacing/>
      </w:pPr>
      <w:r>
        <w:t xml:space="preserve">Für die Argumentation der absoluten Anonymität spricht in erster Linie der Wortlaut von Art. 4 </w:t>
      </w:r>
      <w:r w:rsidRPr="004832F9">
        <w:t>Ziff</w:t>
      </w:r>
      <w:r>
        <w:t>. 1 DS-GVO:</w:t>
      </w:r>
    </w:p>
    <w:p w14:paraId="13BB0860" w14:textId="77777777" w:rsidR="001E0F4E" w:rsidRDefault="001E0F4E" w:rsidP="001E0F4E">
      <w:pPr>
        <w:ind w:left="709"/>
        <w:contextualSpacing/>
      </w:pPr>
      <w:r>
        <w:t xml:space="preserve">„[…] </w:t>
      </w:r>
      <w:r w:rsidRPr="001E0F4E">
        <w:t>als identifizierbar wird eine natürliche Person angesehen, die direkt oder indirekt</w:t>
      </w:r>
      <w:r>
        <w:t xml:space="preserve"> […] </w:t>
      </w:r>
      <w:r w:rsidRPr="001E0F4E">
        <w:t>identifiziert werden kann</w:t>
      </w:r>
      <w:r>
        <w:t>“.</w:t>
      </w:r>
    </w:p>
    <w:p w14:paraId="07D624A9" w14:textId="6CC8D513" w:rsidR="001E0F4E" w:rsidRDefault="001E0F4E" w:rsidP="001E0F4E">
      <w:r>
        <w:t>Im Wortlaut des Gesetzestextes selbst findet sich keine Relativierung.</w:t>
      </w:r>
    </w:p>
    <w:p w14:paraId="39993A61" w14:textId="23F57B8C" w:rsidR="001E0F4E" w:rsidRDefault="001E0F4E" w:rsidP="001E0F4E">
      <w:pPr>
        <w:spacing w:after="0"/>
      </w:pPr>
      <w:r>
        <w:t>In ErwGr. 26 S. 3, 4 DS-GVO findet sich (Hervorhebung durch die Autoren):</w:t>
      </w:r>
    </w:p>
    <w:p w14:paraId="1E469086" w14:textId="77777777" w:rsidR="001E0F4E" w:rsidRDefault="001E0F4E" w:rsidP="001E0F4E">
      <w:pPr>
        <w:ind w:left="709"/>
        <w:contextualSpacing/>
      </w:pPr>
      <w:r>
        <w:t>„</w:t>
      </w:r>
      <w:r w:rsidRPr="001E0F4E">
        <w:t xml:space="preserve">Um festzustellen, ob eine natürliche Person identifizierbar ist, sollten alle Mittel berücksichtigt werden, die von dem Verantwortlichen oder einer anderen Person nach allgemeinem Ermessen </w:t>
      </w:r>
      <w:r w:rsidRPr="001E0F4E">
        <w:rPr>
          <w:b/>
          <w:bCs/>
        </w:rPr>
        <w:t>wahrscheinlich</w:t>
      </w:r>
      <w:r w:rsidRPr="001E0F4E">
        <w:t xml:space="preserve"> genutzt werden, um die natürliche Person direkt oder indirekt zu identifizieren, wie beispielsweise das Aussondern.</w:t>
      </w:r>
    </w:p>
    <w:p w14:paraId="11035BF8" w14:textId="51CF84FF" w:rsidR="001E0F4E" w:rsidRDefault="001E0F4E" w:rsidP="001E0F4E">
      <w:pPr>
        <w:ind w:left="709"/>
      </w:pPr>
      <w:r w:rsidRPr="001E0F4E">
        <w:t xml:space="preserve">Bei der Feststellung, ob Mittel nach allgemeinem Ermessen </w:t>
      </w:r>
      <w:r w:rsidRPr="001E0F4E">
        <w:rPr>
          <w:b/>
          <w:bCs/>
        </w:rPr>
        <w:t>wahrscheinlich</w:t>
      </w:r>
      <w:r w:rsidRPr="001E0F4E">
        <w:t xml:space="preserve"> zur Identifizierung der natürlichen Person genutzt werden, sollten alle objektiven Faktoren, wie die Kosten der Identifizierung und der dafür erforderliche Zeitaufwand, herangezogen werden, wobei die zum Zeitpunkt der Verarbeitung verfügbare Technologie und technologische Entwicklungen zu berücksichtigen sind.</w:t>
      </w:r>
      <w:r>
        <w:t>“</w:t>
      </w:r>
    </w:p>
    <w:p w14:paraId="222EECED" w14:textId="737151AC" w:rsidR="001E0F4E" w:rsidRDefault="001E0F4E" w:rsidP="00D97F03">
      <w:r>
        <w:t xml:space="preserve">Der Erwägungsgrund, den man zur Interpretation von Art. 4 </w:t>
      </w:r>
      <w:r w:rsidRPr="004832F9">
        <w:t>Ziff</w:t>
      </w:r>
      <w:r>
        <w:t>. 1 DS-GVO heranziehen muss, beinhaltet hingegen eine Relativierung hinsichtlich dessen, was berücksichtigt werden sollte, um eine Identifizierbarkeit zu beurteilen.</w:t>
      </w:r>
    </w:p>
    <w:p w14:paraId="274C5ECB" w14:textId="0D5B82D1" w:rsidR="001E0F4E" w:rsidRDefault="001E0F4E" w:rsidP="00D97F03">
      <w:r>
        <w:t xml:space="preserve">Jedoch sind </w:t>
      </w:r>
      <w:r w:rsidRPr="001E0F4E">
        <w:t xml:space="preserve">nach ständiger Rechtsprechung </w:t>
      </w:r>
      <w:r>
        <w:t>des EuGH</w:t>
      </w:r>
      <w:r>
        <w:rPr>
          <w:rStyle w:val="Funotenzeichen"/>
        </w:rPr>
        <w:footnoteReference w:id="124"/>
      </w:r>
      <w:r>
        <w:t xml:space="preserve"> „</w:t>
      </w:r>
      <w:r w:rsidRPr="001E0F4E">
        <w:t>Erwägungsgründe eines Unionsrechtsakts rechtlich nicht verbindlich</w:t>
      </w:r>
      <w:r>
        <w:t>“</w:t>
      </w:r>
      <w:r w:rsidRPr="001E0F4E">
        <w:t xml:space="preserve"> und </w:t>
      </w:r>
      <w:r>
        <w:t xml:space="preserve">können </w:t>
      </w:r>
      <w:r w:rsidRPr="001E0F4E">
        <w:t>weder herangezogen</w:t>
      </w:r>
      <w:r>
        <w:t xml:space="preserve"> werden,</w:t>
      </w:r>
      <w:r w:rsidRPr="001E0F4E">
        <w:t xml:space="preserve"> um von den Bestimmungen des betreffenden Rechtsakts abzuweichen, noch, um diese Bestimmungen in einem Sinne auszulegen, der ihrem Wortlaut offensichtlich widersprich</w:t>
      </w:r>
      <w:r>
        <w:t>t.</w:t>
      </w:r>
    </w:p>
    <w:p w14:paraId="4929F2E5" w14:textId="7F0EA9B7" w:rsidR="001E0F4E" w:rsidRDefault="001E0F4E" w:rsidP="00D97F03">
      <w:r>
        <w:t xml:space="preserve">Somit kann ErwGr. 26 DS-GVO eine eindeutige Auslegbarkeit von Art. 4 </w:t>
      </w:r>
      <w:r w:rsidRPr="004832F9">
        <w:t>Ziff</w:t>
      </w:r>
      <w:r>
        <w:t>. 12 DS-GVO nicht verändern.</w:t>
      </w:r>
    </w:p>
    <w:p w14:paraId="08FB5782" w14:textId="644889D3" w:rsidR="001E0F4E" w:rsidRDefault="001E0F4E" w:rsidP="001E0F4E">
      <w:pPr>
        <w:pStyle w:val="berschrift3"/>
      </w:pPr>
      <w:bookmarkStart w:id="216" w:name="_Toc154652663"/>
      <w:r>
        <w:t>Argumentation bzgl. relativer Anonymität</w:t>
      </w:r>
      <w:bookmarkEnd w:id="216"/>
    </w:p>
    <w:p w14:paraId="043D194C" w14:textId="6724F8A4" w:rsidR="001E0F4E" w:rsidRDefault="001E0F4E" w:rsidP="00D97F03">
      <w:r w:rsidRPr="001E0F4E">
        <w:t xml:space="preserve">Für einen relativen Ansatz </w:t>
      </w:r>
      <w:r>
        <w:t>spricht zu</w:t>
      </w:r>
      <w:r w:rsidR="005B1D56">
        <w:t>nächst</w:t>
      </w:r>
      <w:r w:rsidRPr="001E0F4E">
        <w:t>, dass aufgrund der vielfältigen digital verfügbaren Datenquellen</w:t>
      </w:r>
      <w:r>
        <w:t xml:space="preserve"> das verfügbare Zusatzwissen für niemanden abschätzbar ist, eine Anonymisierung somit (fast) unmöglich wäre. Weiterhin enthält ErwGr. 26 DS-GVO Vorgaben, anhand dessen eine Identifizierbarkeit beurteilt werden muss, und beschreibt eine Beurteilung eines Re-Identifikationsrisikos anhand von Wahrscheinlichkeiten („[…] </w:t>
      </w:r>
      <w:r w:rsidRPr="001E0F4E">
        <w:t>alle Mittel zu berücksichtigen</w:t>
      </w:r>
      <w:r>
        <w:t xml:space="preserve"> […] die </w:t>
      </w:r>
      <w:r w:rsidRPr="001E0F4E">
        <w:t>nach allgemeinem Ermessen wahrscheinlich zur Identifizierung</w:t>
      </w:r>
      <w:r>
        <w:t xml:space="preserve"> […] </w:t>
      </w:r>
      <w:r w:rsidRPr="001E0F4E">
        <w:t>genutzt werden</w:t>
      </w:r>
      <w:r>
        <w:t>“) – also einer relativen Anonymisierung.</w:t>
      </w:r>
    </w:p>
    <w:p w14:paraId="577AF20A" w14:textId="169AD80D" w:rsidR="001E0F4E" w:rsidRDefault="001E0F4E" w:rsidP="001E0F4E">
      <w:r>
        <w:t xml:space="preserve">Auch </w:t>
      </w:r>
      <w:r w:rsidR="005B1D56">
        <w:t xml:space="preserve">der </w:t>
      </w:r>
      <w:r>
        <w:t>EDSA beschreibt eine relative Anonymisierung</w:t>
      </w:r>
      <w:r>
        <w:rPr>
          <w:rStyle w:val="Funotenzeichen"/>
        </w:rPr>
        <w:footnoteReference w:id="125"/>
      </w:r>
      <w:r>
        <w:t>: „Unter Anonymisierung ist die Verwendung einer Reihe von Techniken zu verstehen, sodass diese Daten nur mit einem unverhältnismäßig hohen Aufwand einer bestimmten oder bestimmbaren natürlichen Person zugeordnet werden können.“</w:t>
      </w:r>
    </w:p>
    <w:p w14:paraId="0DFF8575" w14:textId="1ADF9099" w:rsidR="001E0F4E" w:rsidRDefault="001E0F4E" w:rsidP="001E0F4E">
      <w:pPr>
        <w:spacing w:after="0"/>
      </w:pPr>
      <w:r>
        <w:t>Seitens EuGH existiert noch kein abschließendes Urteil. Vereinzelt wird in diesem Zusammenhang das Scania-Urteil des EuGH</w:t>
      </w:r>
      <w:r>
        <w:rPr>
          <w:rStyle w:val="Funotenzeichen"/>
        </w:rPr>
        <w:footnoteReference w:id="126"/>
      </w:r>
      <w:r>
        <w:t xml:space="preserve"> herangezogen und als Argumente z. B. genannt:</w:t>
      </w:r>
    </w:p>
    <w:p w14:paraId="30A1DC93" w14:textId="104CBD5A" w:rsidR="001E0F4E" w:rsidRDefault="001E0F4E">
      <w:pPr>
        <w:pStyle w:val="Listenabsatz"/>
        <w:numPr>
          <w:ilvl w:val="0"/>
          <w:numId w:val="45"/>
        </w:numPr>
      </w:pPr>
      <w:r>
        <w:t>Rn. 45, S. 2: „</w:t>
      </w:r>
      <w:r w:rsidRPr="001E0F4E">
        <w:t>Bei der Entscheidung, ob eine natürliche Person unmittelbar oder mittelbar identifizierbar ist, sollten alle Mittel berücksichtigt werden, die vernünftigerweise eingesetzt werden könnten, um die betreffende Person zu bestimmen, ohne dass es jedoch erforderlich ist, dass sich alle zur Identifizierung dieser Person erforderlichen Informationen in den Händen einer einzigen Einrichtung befinden</w:t>
      </w:r>
      <w:r>
        <w:t>.</w:t>
      </w:r>
      <w:r w:rsidR="005B1D56">
        <w:t>“</w:t>
      </w:r>
    </w:p>
    <w:p w14:paraId="27E57EDC" w14:textId="315F91A9" w:rsidR="001E0F4E" w:rsidRDefault="001E0F4E">
      <w:pPr>
        <w:pStyle w:val="Listenabsatz"/>
        <w:numPr>
          <w:ilvl w:val="0"/>
          <w:numId w:val="45"/>
        </w:numPr>
      </w:pPr>
      <w:r>
        <w:t xml:space="preserve">Rn. 46: „[…] </w:t>
      </w:r>
      <w:r w:rsidRPr="001E0F4E">
        <w:t xml:space="preserve">werden Daten wie die </w:t>
      </w:r>
      <w:r w:rsidRPr="004832F9">
        <w:t>FIN</w:t>
      </w:r>
      <w:r w:rsidRPr="001E0F4E">
        <w:t xml:space="preserve"> – die gemäß Art. 2 Nr. 2 der Verordnung Nr. 19/2011 als alphanumerischer Code, den der Hersteller einem Fahrzeug zu dem Zweck zuweist, dass es einwandfrei identifiziert werden kann, definiert sind, und die als solche keine „personenbezogenen“ Daten darstellen – für denjenigen, der bei vernünftiger Betrachtung über Mittel verfügt, die es ermöglichen, sie einer bestimmten Person zuzuordnen, zu personenbezogenen Daten.</w:t>
      </w:r>
      <w:r>
        <w:t>“</w:t>
      </w:r>
    </w:p>
    <w:p w14:paraId="7D33DA5E" w14:textId="7AFDD663" w:rsidR="001E0F4E" w:rsidRDefault="001E0F4E">
      <w:pPr>
        <w:pStyle w:val="Listenabsatz"/>
        <w:numPr>
          <w:ilvl w:val="0"/>
          <w:numId w:val="45"/>
        </w:numPr>
      </w:pPr>
      <w:r>
        <w:t xml:space="preserve">Rn. 48: </w:t>
      </w:r>
      <w:r w:rsidRPr="001E0F4E">
        <w:t xml:space="preserve">Unter diesen Umständen handelt es sich bei der </w:t>
      </w:r>
      <w:r w:rsidRPr="004832F9">
        <w:t>FIN</w:t>
      </w:r>
      <w:r w:rsidRPr="001E0F4E">
        <w:t xml:space="preserve"> um ein personenbezogenes Datum im Sinne von Art. 4 Nr. 1 DSGVO der in der Zulassungsbescheinigung ausgewiesenen Person, sofern derjenige, der Zugang zur </w:t>
      </w:r>
      <w:r w:rsidRPr="004832F9">
        <w:t>FIN</w:t>
      </w:r>
      <w:r w:rsidRPr="001E0F4E">
        <w:t xml:space="preserve"> hat, über Mittel verfügen könnte, die es ihm ermöglichen, die </w:t>
      </w:r>
      <w:r w:rsidRPr="004832F9">
        <w:t>FIN</w:t>
      </w:r>
      <w:r w:rsidRPr="001E0F4E">
        <w:t xml:space="preserve"> zur Identifizierung des Halters des Fahrzeugs, auf das sich die </w:t>
      </w:r>
      <w:r w:rsidRPr="004832F9">
        <w:t>FIN</w:t>
      </w:r>
      <w:r w:rsidRPr="001E0F4E">
        <w:t xml:space="preserve"> bezieht, oder zur Identifizierung der Person, die aufgrund eines anderen Rechtstitels denn als Halter über das betreffende Fahrzeug verfügen kann, zu nutzen.</w:t>
      </w:r>
    </w:p>
    <w:p w14:paraId="5338E603" w14:textId="2CB7962B" w:rsidR="001E0F4E" w:rsidRDefault="005B1D56" w:rsidP="001E0F4E">
      <w:pPr>
        <w:spacing w:after="0"/>
      </w:pPr>
      <w:r w:rsidRPr="005B1D56">
        <w:t xml:space="preserve">Letztlich geht es </w:t>
      </w:r>
      <w:r>
        <w:t xml:space="preserve">in diesem Urteil </w:t>
      </w:r>
      <w:r w:rsidRPr="005B1D56">
        <w:t xml:space="preserve">aber nicht um </w:t>
      </w:r>
      <w:r w:rsidR="001E0F4E">
        <w:t xml:space="preserve">eine Entscheidung zwischen absolut und relativ im eigentlichen Sinne, sondern </w:t>
      </w:r>
      <w:r>
        <w:t>um</w:t>
      </w:r>
      <w:r w:rsidR="001E0F4E">
        <w:t xml:space="preserve"> die Klarstellung, dass es anonyme Daten gibt, also Daten, die bei Erzeugung anonym sind. W</w:t>
      </w:r>
      <w:r>
        <w:t>enn</w:t>
      </w:r>
      <w:r w:rsidR="001E0F4E">
        <w:t xml:space="preserve"> ein Auto produziert</w:t>
      </w:r>
      <w:r>
        <w:t xml:space="preserve"> wird</w:t>
      </w:r>
      <w:r w:rsidR="001E0F4E">
        <w:t xml:space="preserve">, so </w:t>
      </w:r>
      <w:r w:rsidRPr="004832F9">
        <w:t>bekommt</w:t>
      </w:r>
      <w:r w:rsidR="001E0F4E" w:rsidRPr="004832F9">
        <w:t xml:space="preserve"> es eine FIN. Die FIN ist</w:t>
      </w:r>
      <w:r w:rsidR="001E0F4E">
        <w:t xml:space="preserve"> zu diesem Zeitpunkt nicht personenbezogen. </w:t>
      </w:r>
      <w:r>
        <w:t>Wenn</w:t>
      </w:r>
      <w:r w:rsidR="001E0F4E">
        <w:t xml:space="preserve"> eine natürliche Person das Auto</w:t>
      </w:r>
      <w:r>
        <w:t xml:space="preserve"> kauft</w:t>
      </w:r>
      <w:r w:rsidR="001E0F4E">
        <w:t>, wird die</w:t>
      </w:r>
      <w:r>
        <w:t>se</w:t>
      </w:r>
      <w:r w:rsidR="001E0F4E">
        <w:t xml:space="preserve"> </w:t>
      </w:r>
      <w:r w:rsidR="001E0F4E" w:rsidRPr="004832F9">
        <w:t>FIN</w:t>
      </w:r>
      <w:r w:rsidR="001E0F4E">
        <w:t xml:space="preserve"> dieser natürlichen Person zugeordnet und stellt ein personenbezogenes Datum für jeden</w:t>
      </w:r>
      <w:r>
        <w:t xml:space="preserve"> dar</w:t>
      </w:r>
      <w:r w:rsidR="001E0F4E">
        <w:t>, der diese Zuordnung</w:t>
      </w:r>
      <w:r>
        <w:t xml:space="preserve">, </w:t>
      </w:r>
      <w:r w:rsidR="001E0F4E">
        <w:t>z. B. durch eine Auskunft bei eine</w:t>
      </w:r>
      <w:r>
        <w:t xml:space="preserve">r Behörde </w:t>
      </w:r>
      <w:r w:rsidR="001E0F4E">
        <w:t xml:space="preserve">durchführen kann, </w:t>
      </w:r>
      <w:r>
        <w:t>vornehmen kann</w:t>
      </w:r>
      <w:r w:rsidR="001E0F4E">
        <w:t>. Dies findet sich so im Urteil wieder:</w:t>
      </w:r>
    </w:p>
    <w:p w14:paraId="3EDA41AB" w14:textId="0F0FBD0F" w:rsidR="001E0F4E" w:rsidRDefault="001E0F4E">
      <w:pPr>
        <w:pStyle w:val="Listenabsatz"/>
        <w:numPr>
          <w:ilvl w:val="0"/>
          <w:numId w:val="45"/>
        </w:numPr>
      </w:pPr>
      <w:r>
        <w:t xml:space="preserve">Rn. 49: „[…] </w:t>
      </w:r>
      <w:r w:rsidRPr="001E0F4E">
        <w:t xml:space="preserve">stellt die </w:t>
      </w:r>
      <w:r w:rsidRPr="004832F9">
        <w:t>FIN</w:t>
      </w:r>
      <w:r w:rsidRPr="001E0F4E">
        <w:t xml:space="preserve">, wenn die unabhängigen Wirtschaftsakteure bei vernünftiger Betrachtung über Mittel verfügen können, die es ermöglichen, die </w:t>
      </w:r>
      <w:r w:rsidRPr="004832F9">
        <w:t>FIN</w:t>
      </w:r>
      <w:r w:rsidRPr="001E0F4E">
        <w:t xml:space="preserve"> einer identifizierten oder identifizierbaren natürlichen Person zuzuordnen </w:t>
      </w:r>
      <w:r>
        <w:t>[…</w:t>
      </w:r>
      <w:r w:rsidRPr="004832F9">
        <w:t xml:space="preserve">] </w:t>
      </w:r>
      <w:r w:rsidRPr="001E0F4E">
        <w:t xml:space="preserve"> ein personenbezogenes Datum im Sinne von Art. 4 Nr. 1 DSGVO dar, selbst wenn die </w:t>
      </w:r>
      <w:r w:rsidRPr="004832F9">
        <w:t>FIN</w:t>
      </w:r>
      <w:r w:rsidRPr="001E0F4E">
        <w:t xml:space="preserve"> für sich genommen für die Fahrzeughersteller kein persönliches Datum darstellt, insbesondere dann nicht, wenn das Fahrzeug, dem sie zugewiesen wurde, nicht einer natürlichen Person gehört.</w:t>
      </w:r>
      <w:r>
        <w:t>“</w:t>
      </w:r>
    </w:p>
    <w:p w14:paraId="2AD20BA5" w14:textId="13A61DDF" w:rsidR="001E0F4E" w:rsidRDefault="001E0F4E" w:rsidP="001E0F4E">
      <w:pPr>
        <w:spacing w:after="0"/>
      </w:pPr>
      <w:r>
        <w:t>Letztlich bestätigt der EuGH hier s</w:t>
      </w:r>
      <w:r w:rsidR="00723031">
        <w:t>e</w:t>
      </w:r>
      <w:r>
        <w:t>ine Rechtsprechung im sog. „Breyer Urteil“ von 2016</w:t>
      </w:r>
      <w:r>
        <w:rPr>
          <w:rStyle w:val="Funotenzeichen"/>
        </w:rPr>
        <w:footnoteReference w:id="127"/>
      </w:r>
      <w:r>
        <w:t>. Im Breyer-Urteil findet sich:</w:t>
      </w:r>
    </w:p>
    <w:p w14:paraId="363F21E1" w14:textId="6E30BA0A" w:rsidR="001E0F4E" w:rsidRDefault="001E0F4E">
      <w:pPr>
        <w:pStyle w:val="Listenabsatz"/>
        <w:numPr>
          <w:ilvl w:val="0"/>
          <w:numId w:val="45"/>
        </w:numPr>
      </w:pPr>
      <w:r>
        <w:t xml:space="preserve">Rn. 45: </w:t>
      </w:r>
      <w:r>
        <w:tab/>
        <w:t>„Zu prüfen ist jedoch, ob die Möglichkeit, eine dynamische IP-Adresse mit den Zusatzinformationen zu verknüpfen, über die der Internetzugangsanbieter verfügt, ein Mittel darstellt, das vernünftigerweise zur Bestimmung der betreffenden Person eingesetzt werden kann.“</w:t>
      </w:r>
    </w:p>
    <w:p w14:paraId="52564F20" w14:textId="3A9BECD2" w:rsidR="001E0F4E" w:rsidRDefault="001E0F4E">
      <w:pPr>
        <w:pStyle w:val="Listenabsatz"/>
        <w:numPr>
          <w:ilvl w:val="0"/>
          <w:numId w:val="45"/>
        </w:numPr>
      </w:pPr>
      <w:r>
        <w:t>Rn. 46: „</w:t>
      </w:r>
      <w:r w:rsidRPr="001E0F4E">
        <w:t>Wie der Generalanwalt in Nr. 68 seiner Schlussanträge im Wesentlichen ausgeführt hat, wäre dies nicht der Fall, wenn die Identifizierung der betreffenden Person gesetzlich verboten oder praktisch nicht durchführbar wäre, z.</w:t>
      </w:r>
      <w:r w:rsidR="00C10BB0">
        <w:t> </w:t>
      </w:r>
      <w:r w:rsidRPr="001E0F4E">
        <w:t xml:space="preserve">B. weil sie einen unverhältnismäßigen Aufwand an Zeit, Kosten und Arbeitskräften erfordern würde, </w:t>
      </w:r>
      <w:r w:rsidRPr="004832F9">
        <w:t>sodass</w:t>
      </w:r>
      <w:r w:rsidRPr="001E0F4E">
        <w:t xml:space="preserve"> das Risiko einer Identifizierung </w:t>
      </w:r>
      <w:r w:rsidRPr="001E0F4E">
        <w:rPr>
          <w:i/>
          <w:iCs/>
        </w:rPr>
        <w:t>de facto</w:t>
      </w:r>
      <w:r w:rsidRPr="001E0F4E">
        <w:t xml:space="preserve"> vernachlässigbar erschiene.</w:t>
      </w:r>
    </w:p>
    <w:p w14:paraId="7A7B5F13" w14:textId="249D506A" w:rsidR="001E0F4E" w:rsidRDefault="001E0F4E" w:rsidP="001E0F4E">
      <w:pPr>
        <w:spacing w:after="0"/>
      </w:pPr>
      <w:r>
        <w:t xml:space="preserve">Entsprechend dem Breyer-Urteil des EuGH kommt es hinsichtlich der Beurteilung der Identifizierbarkeit </w:t>
      </w:r>
      <w:r w:rsidR="00E87699">
        <w:t xml:space="preserve">darauf </w:t>
      </w:r>
      <w:r>
        <w:t xml:space="preserve">an, </w:t>
      </w:r>
      <w:r w:rsidRPr="004832F9">
        <w:t>ob</w:t>
      </w:r>
    </w:p>
    <w:p w14:paraId="110697C7" w14:textId="35827F36" w:rsidR="001E0F4E" w:rsidRDefault="001E0F4E">
      <w:pPr>
        <w:pStyle w:val="Listenabsatz"/>
        <w:numPr>
          <w:ilvl w:val="0"/>
          <w:numId w:val="46"/>
        </w:numPr>
      </w:pPr>
      <w:r w:rsidRPr="004832F9">
        <w:t>die</w:t>
      </w:r>
      <w:r w:rsidRPr="001E0F4E">
        <w:t xml:space="preserve"> Identifizierung der betreffenden Person gesetzlich verboten</w:t>
      </w:r>
      <w:r>
        <w:t xml:space="preserve"> (wobei man hier ggf. auch das Recht im Empfängerland prüfen muss) </w:t>
      </w:r>
      <w:r w:rsidRPr="004832F9">
        <w:t>oder</w:t>
      </w:r>
      <w:r>
        <w:t xml:space="preserve"> </w:t>
      </w:r>
    </w:p>
    <w:p w14:paraId="7C847A7C" w14:textId="4D294FF4" w:rsidR="001E0F4E" w:rsidRDefault="001E0F4E">
      <w:pPr>
        <w:pStyle w:val="Listenabsatz"/>
        <w:numPr>
          <w:ilvl w:val="0"/>
          <w:numId w:val="46"/>
        </w:numPr>
        <w:spacing w:after="0"/>
        <w:ind w:left="714" w:hanging="357"/>
      </w:pPr>
      <w:r w:rsidRPr="004832F9">
        <w:t>die</w:t>
      </w:r>
      <w:r w:rsidRPr="001E0F4E">
        <w:t xml:space="preserve"> Identifizierung der betreffenden Person praktisch nicht durchführbar wäre</w:t>
      </w:r>
      <w:r>
        <w:t>.</w:t>
      </w:r>
    </w:p>
    <w:p w14:paraId="00C7B54F" w14:textId="77777777" w:rsidR="001E0F4E" w:rsidRDefault="001E0F4E" w:rsidP="00D97F03">
      <w:r>
        <w:t>Obwohl das Breyer-Urteil auf eine relative Anonymisierung hindeutet, ist gerade das Kriterium „praktisch nicht durchführbar“ rechtssicher nur schwer abbildbar.</w:t>
      </w:r>
    </w:p>
    <w:p w14:paraId="5143EB15" w14:textId="1A51B275" w:rsidR="001E0F4E" w:rsidRPr="00D97F03" w:rsidRDefault="001E0F4E" w:rsidP="00D97F03">
      <w:r>
        <w:t>Im Rahmen der Nachweispflicht bei einer Anonymisierung müsste, wenn man sich auf die relative Anonymisierung bezieht, entweder das gesetzliche Verbot oder die praktische Undurchführbarkeit nachgewiesen werden.</w:t>
      </w:r>
    </w:p>
    <w:p w14:paraId="598C2279" w14:textId="4386D5D2" w:rsidR="000F21BC" w:rsidRDefault="000F21BC" w:rsidP="00F7250D">
      <w:pPr>
        <w:pStyle w:val="berschrift2"/>
      </w:pPr>
      <w:bookmarkStart w:id="217" w:name="_Toc154652664"/>
      <w:r>
        <w:t>Muss ich bei pseudonymen Daten die Vorgaben der DS-GVO beachten?</w:t>
      </w:r>
      <w:bookmarkEnd w:id="217"/>
    </w:p>
    <w:p w14:paraId="6699A911" w14:textId="23BB0ECC" w:rsidR="000F21BC" w:rsidRDefault="000F21BC" w:rsidP="000F21BC">
      <w:r>
        <w:t xml:space="preserve">Entsprechend der </w:t>
      </w:r>
      <w:r w:rsidRPr="000F21BC">
        <w:t>Begriffsbestimmung</w:t>
      </w:r>
      <w:r>
        <w:t xml:space="preserve"> in Art. 4 </w:t>
      </w:r>
      <w:r w:rsidRPr="004832F9">
        <w:t>Ziff</w:t>
      </w:r>
      <w:r>
        <w:t xml:space="preserve">. 5 DS-GVO existieren für pseudonyme Daten </w:t>
      </w:r>
      <w:r w:rsidRPr="000F21BC">
        <w:t>zusätzliche Informationen</w:t>
      </w:r>
      <w:r>
        <w:t xml:space="preserve">, mit welchen die Daten einer betroffenen Person zugeordnet werden können. Pseudonyme Daten stellen somit personenbezogene Daten i. S. v. Art 4 </w:t>
      </w:r>
      <w:r w:rsidRPr="004832F9">
        <w:t>Ziff</w:t>
      </w:r>
      <w:r>
        <w:t>. 1 DS-GVO dar.</w:t>
      </w:r>
    </w:p>
    <w:p w14:paraId="3C9445E9" w14:textId="7A4475B4" w:rsidR="000F21BC" w:rsidRPr="000F21BC" w:rsidRDefault="000F21BC" w:rsidP="000F21BC">
      <w:r>
        <w:t>Somit müssen auch bei der Verarbeitung von pseudonymen Daten die Vorgaben der DS-GVO vollumfänglich eingehalten werden.</w:t>
      </w:r>
    </w:p>
    <w:p w14:paraId="03A478F1" w14:textId="7010272A" w:rsidR="00521649" w:rsidRDefault="00521649" w:rsidP="00F7250D">
      <w:pPr>
        <w:pStyle w:val="berschrift2"/>
      </w:pPr>
      <w:bookmarkStart w:id="218" w:name="_Toc154652665"/>
      <w:r>
        <w:t>Wieso stellt eine Anonymisierung eine Verarbeitung dar?</w:t>
      </w:r>
      <w:bookmarkEnd w:id="218"/>
    </w:p>
    <w:p w14:paraId="0BD46FBD" w14:textId="77777777" w:rsidR="00521649" w:rsidRDefault="00521649" w:rsidP="00521649">
      <w:pPr>
        <w:spacing w:after="0"/>
      </w:pPr>
      <w:r>
        <w:t xml:space="preserve">Art. 4 </w:t>
      </w:r>
      <w:r w:rsidRPr="004832F9">
        <w:t>Ziff</w:t>
      </w:r>
      <w:r>
        <w:t xml:space="preserve">. 2 definiert den Begriff der „Verarbeitung“ sehr weitreichend, die darin enthaltenen Begriffe wie „Erheben“ oder „Erfassen“ stellen lediglich eine nicht </w:t>
      </w:r>
      <w:r w:rsidRPr="00886051">
        <w:t>abschließende</w:t>
      </w:r>
      <w:r>
        <w:t xml:space="preserve"> </w:t>
      </w:r>
      <w:r w:rsidRPr="00886051">
        <w:t>Aufzählung</w:t>
      </w:r>
      <w:r>
        <w:t xml:space="preserve"> von Beispielen dar. In Art. 4 </w:t>
      </w:r>
      <w:r w:rsidRPr="004832F9">
        <w:t>Ziff</w:t>
      </w:r>
      <w:r>
        <w:t xml:space="preserve">. 2 </w:t>
      </w:r>
      <w:r w:rsidRPr="00886051">
        <w:t>DS-GVO</w:t>
      </w:r>
      <w:r>
        <w:t xml:space="preserve"> heißt es:</w:t>
      </w:r>
    </w:p>
    <w:p w14:paraId="6FCF5011" w14:textId="4F61868A" w:rsidR="00521649" w:rsidRDefault="00521649" w:rsidP="00521649">
      <w:pPr>
        <w:spacing w:after="0"/>
        <w:ind w:left="578"/>
      </w:pPr>
      <w:r>
        <w:t>„</w:t>
      </w:r>
      <w:r w:rsidRPr="00886051">
        <w:t>Verarbeitung</w:t>
      </w:r>
      <w:r>
        <w:t xml:space="preserve"> ist </w:t>
      </w:r>
      <w:r w:rsidRPr="00886051">
        <w:t>jede</w:t>
      </w:r>
      <w:r>
        <w:t>r</w:t>
      </w:r>
      <w:r w:rsidRPr="00886051">
        <w:t xml:space="preserve"> mit oder ohne Hilfe automatisierter Verfahren ausgeführte Vorgang oder jede solche Vorgangsreihe im Zusammenhang mit personenbezogenen Daten</w:t>
      </w:r>
      <w:r w:rsidRPr="004832F9">
        <w:t xml:space="preserve"> […</w:t>
      </w:r>
      <w:r w:rsidR="00C10BB0">
        <w:t>]</w:t>
      </w:r>
      <w:r w:rsidRPr="004832F9">
        <w:t>“.</w:t>
      </w:r>
    </w:p>
    <w:p w14:paraId="2A67E788" w14:textId="721C3822" w:rsidR="00521649" w:rsidRDefault="00521649" w:rsidP="00521649">
      <w:r w:rsidRPr="00521649">
        <w:rPr>
          <w:b/>
          <w:bCs/>
        </w:rPr>
        <w:t>Jeder</w:t>
      </w:r>
      <w:r>
        <w:t xml:space="preserve"> Vorgang oder Vorgangsreihe im Zusammenhang mit personenbezogenen Daten stellt laut der DS-GVO eine Verarbeitung dar.</w:t>
      </w:r>
    </w:p>
    <w:p w14:paraId="2B5692D5" w14:textId="042D4981" w:rsidR="00521649" w:rsidRDefault="00521649" w:rsidP="00521649">
      <w:r>
        <w:t xml:space="preserve">Damit personenbezogene Daten zu pseudonymen oder anonymen Daten werden, müssen die Daten entsprechend verändert werden, also „ein Vorgang oder eine Vorgangsreihe“ durchgeführt werden. </w:t>
      </w:r>
    </w:p>
    <w:p w14:paraId="7D9D91CE" w14:textId="11BD6EF6" w:rsidR="00521649" w:rsidRPr="00521649" w:rsidRDefault="00521649" w:rsidP="00521649">
      <w:r>
        <w:t xml:space="preserve">Somit stellen sowohl die Anonymisierung als auch die Pseudonymisierung eine Verarbeitung i. S. v. Art. 4 </w:t>
      </w:r>
      <w:r w:rsidRPr="004832F9">
        <w:t>Ziff</w:t>
      </w:r>
      <w:r>
        <w:t>. 2 DS-GVO dar.</w:t>
      </w:r>
      <w:r>
        <w:rPr>
          <w:rStyle w:val="Funotenzeichen"/>
        </w:rPr>
        <w:footnoteReference w:id="128"/>
      </w:r>
    </w:p>
    <w:p w14:paraId="088BC0CA" w14:textId="7E259A7C" w:rsidR="00886051" w:rsidRDefault="00886051" w:rsidP="00F7250D">
      <w:pPr>
        <w:pStyle w:val="berschrift2"/>
      </w:pPr>
      <w:bookmarkStart w:id="219" w:name="_Toc154652666"/>
      <w:r>
        <w:t>Braucht man für Pseudonymisierung oder Anonymisierung eine Rechtsgrundlage?</w:t>
      </w:r>
      <w:bookmarkEnd w:id="219"/>
    </w:p>
    <w:p w14:paraId="10F79598" w14:textId="10681C48" w:rsidR="00886051" w:rsidRDefault="00886051" w:rsidP="00886051">
      <w:r>
        <w:t xml:space="preserve">Art. 5 Abs. 1 lit. a DS-GVO gibt vor, dass personenbezogene Daten auf rechtmäßige Weise verarbeitet werden müssen. Nach Art. 6 Abs. 1 DS-GVO erfolgt eine Verarbeitung personenbezogener Daten nur rechtmäßig, wenn </w:t>
      </w:r>
      <w:r w:rsidR="00521649">
        <w:t>mindestens eine der in Art. 6 Abs. 1 lit. a-f DS-GVO genannten Bedingungen erfüllt ist</w:t>
      </w:r>
      <w:r>
        <w:t xml:space="preserve">. In Bezug auf die in Art. 9 Abs. 1 DS-GVO genannten Datenkategorien, zu denen Gesundheitsdaten und genetische Daten gehören, ist eine Verarbeitung sogar grundsätzlich verboten, wenn nicht </w:t>
      </w:r>
      <w:r w:rsidR="00521649">
        <w:t xml:space="preserve">zusätzlich zu den in Art. 6 Abs. 1 DS-GVO enthaltenen Vorgaben mindestens auch </w:t>
      </w:r>
      <w:r>
        <w:t>ein</w:t>
      </w:r>
      <w:r w:rsidR="00521649">
        <w:t xml:space="preserve">e der in </w:t>
      </w:r>
      <w:r>
        <w:t xml:space="preserve">Art. 9 Abs. 2 DS-GVO </w:t>
      </w:r>
      <w:r w:rsidR="00521649">
        <w:t>enthaltenen Bedingungen erfüllt wird.</w:t>
      </w:r>
    </w:p>
    <w:p w14:paraId="69A39335" w14:textId="7F2D73CB" w:rsidR="00E50300" w:rsidRDefault="00886051" w:rsidP="00886051">
      <w:r>
        <w:t>Somit muss für eine Anonymisierung oder Pseudonymisierung personenbezogener Daten stets ein Erlaubnistatbestand vorliegen.</w:t>
      </w:r>
    </w:p>
    <w:p w14:paraId="2D494681" w14:textId="176C2626" w:rsidR="00E50300" w:rsidRPr="00886051" w:rsidRDefault="00E50300" w:rsidP="00886051">
      <w:r>
        <w:t>(</w:t>
      </w:r>
      <w:r w:rsidR="008444FB">
        <w:t>Zum Thema s</w:t>
      </w:r>
      <w:r>
        <w:t xml:space="preserve">iehe auch Kapitel </w:t>
      </w:r>
      <w:r>
        <w:fldChar w:fldCharType="begin"/>
      </w:r>
      <w:r>
        <w:instrText xml:space="preserve"> REF _Ref150540537 \r \h </w:instrText>
      </w:r>
      <w:r>
        <w:fldChar w:fldCharType="separate"/>
      </w:r>
      <w:r w:rsidR="00C9149F">
        <w:t>5.1</w:t>
      </w:r>
      <w:r>
        <w:fldChar w:fldCharType="end"/>
      </w:r>
      <w:r>
        <w:t>)</w:t>
      </w:r>
    </w:p>
    <w:p w14:paraId="111F71F1" w14:textId="41AAEA92" w:rsidR="00F7250D" w:rsidRDefault="00F7250D" w:rsidP="00F7250D">
      <w:pPr>
        <w:pStyle w:val="berschrift2"/>
      </w:pPr>
      <w:bookmarkStart w:id="220" w:name="_Toc154652667"/>
      <w:r>
        <w:t xml:space="preserve">Muss die Pseudonymisierung extern durchgeführt werden oder kann ein Verantwortlicher </w:t>
      </w:r>
      <w:r w:rsidR="00D72568">
        <w:t>dies</w:t>
      </w:r>
      <w:r w:rsidR="00045A16">
        <w:t>e</w:t>
      </w:r>
      <w:r w:rsidR="00D72568">
        <w:t xml:space="preserve"> selbst durchführen</w:t>
      </w:r>
      <w:r>
        <w:t>?</w:t>
      </w:r>
      <w:bookmarkEnd w:id="220"/>
    </w:p>
    <w:p w14:paraId="7E62EFEE" w14:textId="6B67745D" w:rsidR="00F7250D" w:rsidRDefault="00F7250D" w:rsidP="00F7250D">
      <w:pPr>
        <w:spacing w:after="0"/>
      </w:pPr>
      <w:r>
        <w:t xml:space="preserve">Entsprechend ErwGr. 29 DS-GVO ist eine </w:t>
      </w:r>
      <w:r w:rsidRPr="00101F9A">
        <w:t>Pseudonymisierung</w:t>
      </w:r>
      <w:r>
        <w:t xml:space="preserve"> </w:t>
      </w:r>
      <w:r w:rsidRPr="00101F9A">
        <w:t xml:space="preserve">bei demselben Verantwortlichen möglich, </w:t>
      </w:r>
    </w:p>
    <w:p w14:paraId="349B854F" w14:textId="541DAA9B" w:rsidR="00F7250D" w:rsidRDefault="00723031">
      <w:pPr>
        <w:pStyle w:val="Listenabsatz"/>
        <w:numPr>
          <w:ilvl w:val="0"/>
          <w:numId w:val="40"/>
        </w:numPr>
        <w:suppressAutoHyphens w:val="0"/>
        <w:spacing w:after="160" w:line="259" w:lineRule="auto"/>
        <w:jc w:val="left"/>
      </w:pPr>
      <w:r w:rsidRPr="004832F9">
        <w:t>wenn</w:t>
      </w:r>
      <w:r>
        <w:t xml:space="preserve"> </w:t>
      </w:r>
      <w:r w:rsidR="00F7250D" w:rsidRPr="00F7250D">
        <w:t>dieser</w:t>
      </w:r>
      <w:r w:rsidR="00F7250D" w:rsidRPr="00101F9A">
        <w:t xml:space="preserve"> die erforderlichen </w:t>
      </w:r>
      <w:r w:rsidR="00F7250D" w:rsidRPr="00C15B6D">
        <w:rPr>
          <w:b/>
          <w:bCs/>
        </w:rPr>
        <w:t>technischen und organisatorischen Maßnahmen</w:t>
      </w:r>
      <w:r w:rsidR="00F7250D" w:rsidRPr="00101F9A">
        <w:t xml:space="preserve"> getroffen hat,</w:t>
      </w:r>
    </w:p>
    <w:p w14:paraId="4D55E750" w14:textId="77777777" w:rsidR="00F7250D" w:rsidRDefault="00F7250D">
      <w:pPr>
        <w:pStyle w:val="Listenabsatz"/>
        <w:numPr>
          <w:ilvl w:val="0"/>
          <w:numId w:val="40"/>
        </w:numPr>
        <w:suppressAutoHyphens w:val="0"/>
        <w:spacing w:after="160" w:line="259" w:lineRule="auto"/>
        <w:jc w:val="left"/>
      </w:pPr>
      <w:r w:rsidRPr="004832F9">
        <w:t>um</w:t>
      </w:r>
      <w:r w:rsidRPr="00101F9A">
        <w:t xml:space="preserve"> </w:t>
      </w:r>
      <w:r>
        <w:t xml:space="preserve">für die jeweilige Verarbeitung </w:t>
      </w:r>
      <w:r w:rsidRPr="00101F9A">
        <w:t xml:space="preserve">zu </w:t>
      </w:r>
      <w:r w:rsidRPr="00C15B6D">
        <w:rPr>
          <w:b/>
          <w:bCs/>
        </w:rPr>
        <w:t>gewährleisten</w:t>
      </w:r>
      <w:r w:rsidRPr="00101F9A">
        <w:t>,</w:t>
      </w:r>
      <w:r>
        <w:t xml:space="preserve"> </w:t>
      </w:r>
    </w:p>
    <w:p w14:paraId="7397CA11" w14:textId="77777777" w:rsidR="00F7250D" w:rsidRDefault="00F7250D">
      <w:pPr>
        <w:pStyle w:val="Listenabsatz"/>
        <w:numPr>
          <w:ilvl w:val="0"/>
          <w:numId w:val="40"/>
        </w:numPr>
        <w:suppressAutoHyphens w:val="0"/>
        <w:spacing w:after="160" w:line="259" w:lineRule="auto"/>
        <w:jc w:val="left"/>
      </w:pPr>
      <w:r w:rsidRPr="004832F9">
        <w:t>dass</w:t>
      </w:r>
      <w:r w:rsidRPr="00101F9A">
        <w:t xml:space="preserve"> </w:t>
      </w:r>
      <w:r w:rsidRPr="00C15B6D">
        <w:rPr>
          <w:b/>
          <w:bCs/>
        </w:rPr>
        <w:t>zusätzliche Informationen</w:t>
      </w:r>
      <w:r w:rsidRPr="00101F9A">
        <w:t>, mit denen die personenbezogenen Daten einer speziellen betroffenen Person zugeordnet werden können,</w:t>
      </w:r>
      <w:r>
        <w:t xml:space="preserve"> </w:t>
      </w:r>
    </w:p>
    <w:p w14:paraId="212FDE7F" w14:textId="77777777" w:rsidR="00F7250D" w:rsidRDefault="00F7250D">
      <w:pPr>
        <w:pStyle w:val="Listenabsatz"/>
        <w:numPr>
          <w:ilvl w:val="0"/>
          <w:numId w:val="40"/>
        </w:numPr>
        <w:suppressAutoHyphens w:val="0"/>
        <w:spacing w:after="0" w:line="259" w:lineRule="auto"/>
        <w:ind w:left="714" w:hanging="357"/>
        <w:jc w:val="left"/>
      </w:pPr>
      <w:r w:rsidRPr="004832F9">
        <w:t>seitens</w:t>
      </w:r>
      <w:r>
        <w:t xml:space="preserve"> des Verantwortlichen im Rahmen der Verarbeitung </w:t>
      </w:r>
      <w:r w:rsidRPr="00C15B6D">
        <w:rPr>
          <w:b/>
          <w:bCs/>
        </w:rPr>
        <w:t>nicht zugreifbar sind</w:t>
      </w:r>
      <w:r>
        <w:t>.</w:t>
      </w:r>
    </w:p>
    <w:p w14:paraId="44776C67" w14:textId="45009D32" w:rsidR="00F7250D" w:rsidRPr="00C15B6D" w:rsidRDefault="00F7250D" w:rsidP="00F7250D">
      <w:r>
        <w:t>(</w:t>
      </w:r>
      <w:r w:rsidR="00045A16" w:rsidRPr="004832F9">
        <w:t>s</w:t>
      </w:r>
      <w:r w:rsidRPr="004832F9">
        <w:t>iehe</w:t>
      </w:r>
      <w:r>
        <w:t xml:space="preserve"> auch Kapitel </w:t>
      </w:r>
      <w:r>
        <w:fldChar w:fldCharType="begin"/>
      </w:r>
      <w:r>
        <w:instrText xml:space="preserve"> REF _Ref150346820 \r \h </w:instrText>
      </w:r>
      <w:r>
        <w:fldChar w:fldCharType="separate"/>
      </w:r>
      <w:r w:rsidR="00C9149F">
        <w:t>8.1.2</w:t>
      </w:r>
      <w:r>
        <w:fldChar w:fldCharType="end"/>
      </w:r>
      <w:r>
        <w:t>)</w:t>
      </w:r>
    </w:p>
    <w:p w14:paraId="34868316" w14:textId="77777777" w:rsidR="00F7250D" w:rsidRDefault="00F7250D" w:rsidP="00F7250D">
      <w:pPr>
        <w:pStyle w:val="berschrift2"/>
      </w:pPr>
      <w:bookmarkStart w:id="221" w:name="_Toc154652668"/>
      <w:r>
        <w:t>VIP-Patient &amp; Co.: Maskierung Name = Pseudonymisierung</w:t>
      </w:r>
      <w:bookmarkEnd w:id="221"/>
    </w:p>
    <w:p w14:paraId="275FAA67" w14:textId="4E0AB3F2" w:rsidR="00F7250D" w:rsidRDefault="00F7250D" w:rsidP="00F7250D">
      <w:r>
        <w:t>In versorgenden Einrichtungen wie z. B. Krankenhäusern gibt es in vielen Informationssystemen die Möglichkeit, die Daten besondere</w:t>
      </w:r>
      <w:r w:rsidR="00E87699">
        <w:t>r</w:t>
      </w:r>
      <w:r>
        <w:t xml:space="preserve"> Patienten – i. d. R. prominente Personen des öffentlichen Lebens oder Beschäftigte der eigenen Institution, sog. VIPs („</w:t>
      </w:r>
      <w:r w:rsidRPr="004832F9">
        <w:t>very</w:t>
      </w:r>
      <w:r w:rsidRPr="008444FB">
        <w:t xml:space="preserve"> important </w:t>
      </w:r>
      <w:r w:rsidRPr="004832F9">
        <w:t>person</w:t>
      </w:r>
      <w:r>
        <w:t xml:space="preserve">“) – vor unberechtigten Zugriffen zu schützen, indem eine Maskierung </w:t>
      </w:r>
      <w:r w:rsidR="00045A16">
        <w:t>des</w:t>
      </w:r>
      <w:r>
        <w:t xml:space="preserve"> Name</w:t>
      </w:r>
      <w:r w:rsidR="00045A16">
        <w:t>ns</w:t>
      </w:r>
      <w:r>
        <w:t xml:space="preserve"> (und oftmals auch der Anschrift) erfolgt. In der Suchmaske würde man bspw. „Elvis Presley“ nicht finden, da statt des richtigen Namens etwas anderes angezeigt wird, z. B. „John Lennon“.</w:t>
      </w:r>
    </w:p>
    <w:p w14:paraId="1C18E8DE" w14:textId="77777777" w:rsidR="00F7250D" w:rsidRPr="003A72B5" w:rsidRDefault="00F7250D" w:rsidP="00F7250D">
      <w:pPr>
        <w:spacing w:after="0"/>
        <w:ind w:left="567" w:hanging="567"/>
      </w:pPr>
      <w:r w:rsidRPr="003A72B5">
        <w:rPr>
          <w:b/>
          <w:bCs/>
        </w:rPr>
        <w:t>Bewertung:</w:t>
      </w:r>
      <w:r>
        <w:t xml:space="preserve"> Dies stellt keine Pseudonymisierung dar (und natürlich erst recht keine Anonymisierung). Laut der Definition der Pseudonymisierung in Art. 4 </w:t>
      </w:r>
      <w:r w:rsidRPr="004832F9">
        <w:t>Ziff</w:t>
      </w:r>
      <w:r>
        <w:t xml:space="preserve">. 5 DS-GVO gelten nur Daten als Pseudonym, </w:t>
      </w:r>
      <w:r w:rsidRPr="004832F9">
        <w:t>wenn</w:t>
      </w:r>
    </w:p>
    <w:p w14:paraId="02AA5003" w14:textId="77777777" w:rsidR="00F7250D" w:rsidRDefault="00F7250D">
      <w:pPr>
        <w:pStyle w:val="Listenabsatz"/>
        <w:numPr>
          <w:ilvl w:val="0"/>
          <w:numId w:val="39"/>
        </w:numPr>
        <w:suppressAutoHyphens w:val="0"/>
        <w:spacing w:after="160" w:line="259" w:lineRule="auto"/>
        <w:ind w:left="993" w:hanging="428"/>
        <w:jc w:val="left"/>
      </w:pPr>
      <w:r w:rsidRPr="004832F9">
        <w:t>die</w:t>
      </w:r>
      <w:r>
        <w:t xml:space="preserve"> personenbezogenen Daten ohne Hinzuziehung zusätzlicher Informationen nicht mehr einer spezifischen betroffenen Person zugeordnet werden können </w:t>
      </w:r>
      <w:r w:rsidRPr="004832F9">
        <w:rPr>
          <w:b/>
          <w:bCs/>
        </w:rPr>
        <w:t>und</w:t>
      </w:r>
    </w:p>
    <w:p w14:paraId="5ACC41E1" w14:textId="2548034A" w:rsidR="00F7250D" w:rsidRDefault="00F7250D">
      <w:pPr>
        <w:pStyle w:val="Listenabsatz"/>
        <w:numPr>
          <w:ilvl w:val="0"/>
          <w:numId w:val="39"/>
        </w:numPr>
        <w:suppressAutoHyphens w:val="0"/>
        <w:spacing w:after="160" w:line="259" w:lineRule="auto"/>
        <w:ind w:left="993" w:hanging="428"/>
        <w:jc w:val="left"/>
      </w:pPr>
      <w:r w:rsidRPr="004832F9">
        <w:t>technische</w:t>
      </w:r>
      <w:r>
        <w:t xml:space="preserve"> und organisatorische Maßnahmen gewährleisten, dass während der Verarbeitung kein Zugriff auf diese zusätzlichen Informationen erfolgen kann.</w:t>
      </w:r>
    </w:p>
    <w:p w14:paraId="690836D2" w14:textId="77777777" w:rsidR="00F7250D" w:rsidRDefault="00F7250D" w:rsidP="00F7250D">
      <w:pPr>
        <w:pStyle w:val="Listenabsatz"/>
        <w:ind w:left="565"/>
      </w:pPr>
      <w:r>
        <w:t xml:space="preserve">In der Einrichtung können die Daten jederzeit einer „spezifischen betroffenen Person“, nämlich Patienten </w:t>
      </w:r>
      <w:r w:rsidRPr="004832F9">
        <w:t>xy</w:t>
      </w:r>
      <w:r>
        <w:t xml:space="preserve"> auf Station z, zugeordnet werden, wer auf die Station geht, kann i. d. R. dann auch problemlos die Identität feststellen, gerade im Falle von VIP.</w:t>
      </w:r>
    </w:p>
    <w:p w14:paraId="7B2BFE36" w14:textId="77777777" w:rsidR="00F7250D" w:rsidRDefault="00F7250D" w:rsidP="00F7250D">
      <w:pPr>
        <w:pStyle w:val="Listenabsatz"/>
        <w:ind w:left="565"/>
      </w:pPr>
      <w:r>
        <w:t xml:space="preserve">Daher stellt diese Maskierung eine Schutzmaßnahme i. S. v. Art. 32 DS-GVO dar, nicht aber eine Pseudonymisierung i. S. v. Art. 4 </w:t>
      </w:r>
      <w:r w:rsidRPr="004832F9">
        <w:t>Ziff</w:t>
      </w:r>
      <w:r>
        <w:t>. 5 DS-GVO.</w:t>
      </w:r>
    </w:p>
    <w:p w14:paraId="61C45B58" w14:textId="77777777" w:rsidR="00F7250D" w:rsidRDefault="00F7250D" w:rsidP="00F7250D">
      <w:pPr>
        <w:pStyle w:val="berschrift2"/>
      </w:pPr>
      <w:bookmarkStart w:id="222" w:name="_Toc154652669"/>
      <w:r>
        <w:t>Stellt eine Anonymisierung eine Löschung dar?</w:t>
      </w:r>
      <w:bookmarkEnd w:id="222"/>
    </w:p>
    <w:p w14:paraId="2D927278" w14:textId="56B30459" w:rsidR="00F7250D" w:rsidRDefault="00F7250D" w:rsidP="00F7250D">
      <w:r>
        <w:t xml:space="preserve">Anonyme Daten fallen nicht unter die Regelungshoheit der DS-GVO, somit gelten auch aus der DS-GVO resultierende Löschpflichten nicht für anonyme Daten. </w:t>
      </w:r>
      <w:r w:rsidR="00F37D05">
        <w:t>Liegen jedoch personenbezogene Daten vor, so gelten die entsprechenden Regelungen.</w:t>
      </w:r>
      <w:r>
        <w:t xml:space="preserve"> Hierbei stellt sich mitunter die Frage, ob eine gegebene Löschpflicht durch die Anonymisierung der personenbezogenen Daten erfüllt werden kann und ebenso, </w:t>
      </w:r>
      <w:r w:rsidR="00F37D05">
        <w:t>ob die Löschpflicht in diesem Fall einen Erlaubnistatbestand für die Anonymisierung darstellt.</w:t>
      </w:r>
    </w:p>
    <w:p w14:paraId="1799E01A" w14:textId="7A0F440E" w:rsidR="00F7250D" w:rsidRDefault="00F7250D" w:rsidP="00F7250D">
      <w:r>
        <w:t>Löschen wird in der DS-GVO nicht definiert. In ErwGr. 65 S. 2 DS-GVO findet sich: „[…] d</w:t>
      </w:r>
      <w:r w:rsidRPr="00F7250D">
        <w:t>ass ihre personenbezogenen Daten gelöscht und nicht mehr verarbeitet werden</w:t>
      </w:r>
      <w:r w:rsidRPr="004832F9">
        <w:t xml:space="preserve"> […]“.</w:t>
      </w:r>
      <w:r>
        <w:t xml:space="preserve"> Ziel einer Löschung besteht also darin, dass </w:t>
      </w:r>
      <w:r w:rsidRPr="00F7250D">
        <w:t>personenbezogene Daten</w:t>
      </w:r>
      <w:r>
        <w:t xml:space="preserve"> nicht mehr verarbeitet werden können.</w:t>
      </w:r>
    </w:p>
    <w:p w14:paraId="278F133E" w14:textId="71F33020" w:rsidR="00F7250D" w:rsidRDefault="00F7250D" w:rsidP="00F7250D">
      <w:r>
        <w:t xml:space="preserve">Eine Löschung stellt also einen </w:t>
      </w:r>
      <w:r w:rsidR="00045A16">
        <w:t>Vorgang</w:t>
      </w:r>
      <w:r>
        <w:t xml:space="preserve"> dar, der </w:t>
      </w:r>
      <w:r w:rsidR="00045A16">
        <w:t xml:space="preserve">mit </w:t>
      </w:r>
      <w:r>
        <w:t>hundertprozentig</w:t>
      </w:r>
      <w:r w:rsidR="00045A16">
        <w:t>er</w:t>
      </w:r>
      <w:r>
        <w:t xml:space="preserve"> </w:t>
      </w:r>
      <w:r w:rsidR="00045A16">
        <w:t>S</w:t>
      </w:r>
      <w:r>
        <w:t>icher</w:t>
      </w:r>
      <w:r w:rsidR="00045A16">
        <w:t>heit</w:t>
      </w:r>
      <w:r>
        <w:t xml:space="preserve"> gewährleistet, dass </w:t>
      </w:r>
      <w:r w:rsidRPr="00F7250D">
        <w:t xml:space="preserve">personenbezogene </w:t>
      </w:r>
      <w:r>
        <w:t xml:space="preserve">Daten </w:t>
      </w:r>
      <w:r w:rsidRPr="00F7250D">
        <w:t>nach eine</w:t>
      </w:r>
      <w:r w:rsidR="00045A16">
        <w:t>r</w:t>
      </w:r>
      <w:r>
        <w:t xml:space="preserve"> Lösch</w:t>
      </w:r>
      <w:r w:rsidR="00045A16">
        <w:t>ung</w:t>
      </w:r>
      <w:r>
        <w:t xml:space="preserve"> nicht wiederhergestellt und verarbeitet werden können.</w:t>
      </w:r>
      <w:bookmarkStart w:id="223" w:name="_Ref150349044"/>
      <w:r>
        <w:rPr>
          <w:rStyle w:val="Funotenzeichen"/>
        </w:rPr>
        <w:footnoteReference w:id="129"/>
      </w:r>
      <w:bookmarkEnd w:id="223"/>
      <w:r>
        <w:t xml:space="preserve"> Eine Löschung kann in einer (ebenfalls in Art. 4 </w:t>
      </w:r>
      <w:r w:rsidRPr="004832F9">
        <w:t>Ziff</w:t>
      </w:r>
      <w:r>
        <w:t xml:space="preserve">. 2 DS-GVO erwähnten) Vernichtung der Daten bestehen, allerdings verlangt eine Löschung nicht grundsätzlich eine Vernichtung, sonst wären nicht beide Begriffe unabhängig voneinander als Beispiele für eine Verarbeitung in Art. 4 </w:t>
      </w:r>
      <w:r w:rsidRPr="004832F9">
        <w:t>Ziff</w:t>
      </w:r>
      <w:r>
        <w:t>. 2 DS-GVO genannt worden.</w:t>
      </w:r>
    </w:p>
    <w:p w14:paraId="5A21F712" w14:textId="489A85FE" w:rsidR="00F7250D" w:rsidRDefault="00F7250D" w:rsidP="00F7250D">
      <w:pPr>
        <w:spacing w:after="0"/>
      </w:pPr>
      <w:r>
        <w:t>Ob eine Anonymisierung eine Löschung darstellt, wird in der Rechtsliteratur unterschiedlich bewertet:</w:t>
      </w:r>
      <w:r w:rsidR="00433CB2">
        <w:rPr>
          <w:rStyle w:val="Funotenzeichen"/>
        </w:rPr>
        <w:footnoteReference w:id="130"/>
      </w:r>
    </w:p>
    <w:p w14:paraId="2935F416" w14:textId="196C820E" w:rsidR="00F7250D" w:rsidRDefault="00F7250D">
      <w:pPr>
        <w:pStyle w:val="Listenabsatz"/>
        <w:numPr>
          <w:ilvl w:val="0"/>
          <w:numId w:val="41"/>
        </w:numPr>
      </w:pPr>
      <w:r>
        <w:t>Argumentation „Anonymisierung</w:t>
      </w:r>
      <w:r w:rsidR="004F4854">
        <w:t xml:space="preserve"> =</w:t>
      </w:r>
      <w:r>
        <w:t xml:space="preserve"> Löschung“:</w:t>
      </w:r>
    </w:p>
    <w:p w14:paraId="7E8DA559" w14:textId="77777777" w:rsidR="00CF5AE3" w:rsidRDefault="00F7250D" w:rsidP="00F7250D">
      <w:pPr>
        <w:pStyle w:val="Listenabsatz"/>
      </w:pPr>
      <w:r>
        <w:t xml:space="preserve">Eine Anonymisierung </w:t>
      </w:r>
      <w:r w:rsidRPr="00F7250D">
        <w:t>entfernt</w:t>
      </w:r>
      <w:r>
        <w:t xml:space="preserve"> den Personenbezug. </w:t>
      </w:r>
      <w:r w:rsidRPr="00F7250D">
        <w:t>D. h.,</w:t>
      </w:r>
      <w:r>
        <w:t xml:space="preserve"> eine Anonymisierung kann verhindern, dass die personenbezogenen Daten weiter genutzt werden können. Daher kann auch eine Anonymisierung eine Löschung der Daten darstellen - sofern die Anonymisierung nachweisbar irreversibel ist.</w:t>
      </w:r>
    </w:p>
    <w:p w14:paraId="759AEC83" w14:textId="670D2692" w:rsidR="00F7250D" w:rsidRDefault="00F7250D" w:rsidP="00F7250D">
      <w:pPr>
        <w:pStyle w:val="Listenabsatz"/>
      </w:pPr>
      <w:r>
        <w:t>Es muss durch die Anonymisierung sicher gewährleistet werden, dass auch mit künftigen Methoden, leistungsfähigeren Computern, verbesserten Algorithmen usw. eine Re-Identifikation anhand der anonymisierten Daten absolut sicher ausgeschlossen werden kann.</w:t>
      </w:r>
    </w:p>
    <w:p w14:paraId="62EB9ECD" w14:textId="65127D28" w:rsidR="00F7250D" w:rsidRDefault="00F7250D">
      <w:pPr>
        <w:pStyle w:val="Listenabsatz"/>
        <w:numPr>
          <w:ilvl w:val="0"/>
          <w:numId w:val="41"/>
        </w:numPr>
      </w:pPr>
      <w:r>
        <w:t>Argumentation „Anonymisierung</w:t>
      </w:r>
      <w:r w:rsidRPr="004832F9">
        <w:t xml:space="preserve"> </w:t>
      </w:r>
      <w:r w:rsidR="00F37D05" w:rsidRPr="004832F9">
        <w:t>≠</w:t>
      </w:r>
      <w:r>
        <w:t xml:space="preserve"> Löschung“:</w:t>
      </w:r>
    </w:p>
    <w:p w14:paraId="3C282631" w14:textId="3955A703" w:rsidR="00F7250D" w:rsidRDefault="00F7250D" w:rsidP="00F7250D">
      <w:pPr>
        <w:pStyle w:val="Listenabsatz"/>
      </w:pPr>
      <w:r>
        <w:t>Löschen soll entsprechend den Vorgaben von Art. 17 Abs. 1 DS-GVO jedoch dazu führen, dass „gespeicherte personenbezogene Daten vollständig unkenntlich gemacht werden, sodass sie nicht mehr verarbeitet, ausgelesen oder wahrgenommen werden können“</w:t>
      </w:r>
      <w:r w:rsidRPr="00F7250D">
        <w:rPr>
          <w:vertAlign w:val="superscript"/>
        </w:rPr>
        <w:fldChar w:fldCharType="begin"/>
      </w:r>
      <w:r w:rsidRPr="00F7250D">
        <w:rPr>
          <w:vertAlign w:val="superscript"/>
        </w:rPr>
        <w:instrText xml:space="preserve"> NOTEREF _Ref150349044 \h  \* MERGEFORMAT </w:instrText>
      </w:r>
      <w:r w:rsidRPr="00F7250D">
        <w:rPr>
          <w:vertAlign w:val="superscript"/>
        </w:rPr>
      </w:r>
      <w:r w:rsidRPr="00F7250D">
        <w:rPr>
          <w:vertAlign w:val="superscript"/>
        </w:rPr>
        <w:fldChar w:fldCharType="separate"/>
      </w:r>
      <w:r w:rsidR="00C9149F">
        <w:rPr>
          <w:vertAlign w:val="superscript"/>
        </w:rPr>
        <w:t>129</w:t>
      </w:r>
      <w:r w:rsidRPr="00F7250D">
        <w:rPr>
          <w:vertAlign w:val="superscript"/>
        </w:rPr>
        <w:fldChar w:fldCharType="end"/>
      </w:r>
      <w:r>
        <w:t>.</w:t>
      </w:r>
    </w:p>
    <w:p w14:paraId="4F10E8F0" w14:textId="744F31A7" w:rsidR="00F7250D" w:rsidRDefault="00F7250D" w:rsidP="00F7250D">
      <w:pPr>
        <w:pStyle w:val="Listenabsatz"/>
      </w:pPr>
      <w:r>
        <w:t xml:space="preserve">Somit existiert ein grundlegender Unterschied zwischen einer Löschung und Anonymisierung: Nach einer Anonymisierung können Daten (ohne Personenbezug) weiterverarbeitet werden, nach einer Löschung hingegen nicht. Da eine </w:t>
      </w:r>
      <w:r w:rsidRPr="00F7250D">
        <w:t>Anonymisier</w:t>
      </w:r>
      <w:r>
        <w:t>u</w:t>
      </w:r>
      <w:r w:rsidRPr="00F7250D">
        <w:t>n</w:t>
      </w:r>
      <w:r>
        <w:t>g</w:t>
      </w:r>
      <w:r w:rsidRPr="00F7250D">
        <w:t xml:space="preserve"> und Lösch</w:t>
      </w:r>
      <w:r>
        <w:t xml:space="preserve">ung von Daten </w:t>
      </w:r>
      <w:r w:rsidRPr="00F7250D">
        <w:t>zu unterschiedlichen Ergebnissen</w:t>
      </w:r>
      <w:r>
        <w:t xml:space="preserve"> führen, kann eine Anonymisierung keine Löschung darstellen.</w:t>
      </w:r>
    </w:p>
    <w:p w14:paraId="6E2AE620" w14:textId="217984E3" w:rsidR="00F7250D" w:rsidRDefault="00F7250D" w:rsidP="00F7250D">
      <w:r>
        <w:t xml:space="preserve">Die Argumentation, dass eine Anonymisierung keine Löschung darstellt, ist aus der Zielrichtung der </w:t>
      </w:r>
      <w:r w:rsidRPr="00F7250D">
        <w:t>DS-GVO</w:t>
      </w:r>
      <w:r>
        <w:t xml:space="preserve"> eher nachvollziehbar: Art. 1 Abs. 2 DS-GVO definiert als Ziel, die </w:t>
      </w:r>
      <w:r w:rsidRPr="00F7250D">
        <w:t>Grundrechte und Grundfreiheiten natürlicher Personen und insbesondere deren Recht auf Schutz personenbezogener Daten</w:t>
      </w:r>
      <w:r>
        <w:t xml:space="preserve"> zu schützen. Würde eine Anonymisierung eine Löschung darstellen, gelten für die anonymisierten Daten die Regelungen der DS-GVO nicht mehr, </w:t>
      </w:r>
      <w:r w:rsidRPr="00F7250D">
        <w:t>Verantwortliche</w:t>
      </w:r>
      <w:r>
        <w:t xml:space="preserve"> </w:t>
      </w:r>
      <w:r w:rsidRPr="00F7250D">
        <w:t>könnten</w:t>
      </w:r>
      <w:r>
        <w:t xml:space="preserve"> mit diesen Daten machen, was sie wollen – was der Zielsetzung der Löschvorgabe von Art. 17 Abs. 1 DS-GVO widerspricht und weiterhin betroffene Personen die Möglichkeit nimmt, über die Verarbeitung ihrer Daten zu entscheiden.</w:t>
      </w:r>
    </w:p>
    <w:p w14:paraId="7FFF67CC" w14:textId="015C6E93" w:rsidR="00CF5AE3" w:rsidRDefault="00CF5AE3" w:rsidP="00F7250D">
      <w:r>
        <w:t xml:space="preserve">Art. 6 Abs. 1 </w:t>
      </w:r>
      <w:r w:rsidRPr="00CF5AE3">
        <w:t>Richtlinie 2002/58/EG</w:t>
      </w:r>
      <w:r>
        <w:rPr>
          <w:rStyle w:val="Funotenzeichen"/>
        </w:rPr>
        <w:footnoteReference w:id="131"/>
      </w:r>
      <w:r w:rsidRPr="00CF5AE3">
        <w:t xml:space="preserve"> </w:t>
      </w:r>
      <w:r>
        <w:t>unterscheidet zwischen den Begriffen „löschen“ und „anonymisieren“ („[…] sind […] zu löschen oder zu anonymisieren […]“), der europäische Gesetzgeber schien zumindest 2002 die Begriffe nicht gleichzusetzen, was dafürspricht, da</w:t>
      </w:r>
      <w:r w:rsidR="00DA0AA3">
        <w:t>s</w:t>
      </w:r>
      <w:r>
        <w:t xml:space="preserve">s „Löschung“ und „Anonymisierung“ aus europarechtlicher Sichtweise nicht dasselbe bedeuten; was letztlich aber auch nicht zwingend bedeuten muss, dass eine Anonymisierung </w:t>
      </w:r>
      <w:r w:rsidRPr="00CF5AE3">
        <w:rPr>
          <w:i/>
          <w:iCs/>
        </w:rPr>
        <w:t>keine</w:t>
      </w:r>
      <w:r>
        <w:t xml:space="preserve"> Löschung i. S. d. DS-GVO darstellen könnte.</w:t>
      </w:r>
    </w:p>
    <w:p w14:paraId="5BC991C0" w14:textId="55EC8AD5" w:rsidR="00F7250D" w:rsidRDefault="00F7250D" w:rsidP="00F7250D">
      <w:r>
        <w:t>Da die Frage bisher jedoch nicht höchstrichterlich entschieden wurde, kann nicht sicher entschieden werden, welche Sichtweise richtig ist</w:t>
      </w:r>
      <w:r w:rsidR="00CF5AE3">
        <w:t xml:space="preserve"> und jeder Rechtsanwender muss sich hier aktuell noch eine eigene Meinung bilden</w:t>
      </w:r>
      <w:r>
        <w:t>.</w:t>
      </w:r>
    </w:p>
    <w:p w14:paraId="7E3A024A" w14:textId="08DF56DB" w:rsidR="00F7250D" w:rsidRDefault="006330C9" w:rsidP="006330C9">
      <w:pPr>
        <w:pStyle w:val="berschrift2"/>
      </w:pPr>
      <w:bookmarkStart w:id="224" w:name="_Toc154652670"/>
      <w:r>
        <w:t>Meine Daten sind nicht länger anonym: Was tun?</w:t>
      </w:r>
      <w:bookmarkEnd w:id="224"/>
    </w:p>
    <w:p w14:paraId="58E30FFB" w14:textId="75B29C6F" w:rsidR="006330C9" w:rsidRDefault="006330C9" w:rsidP="006330C9">
      <w:r>
        <w:t xml:space="preserve">Durch Veränderungen in der Technik, neu gefundene mathematische Verfahren usw. kann es im Laufe der Zeit vorkommen, dass als anonym angesehene Daten nicht länger als „anonym“ eingestuft werden können, sondern als pseudonyme </w:t>
      </w:r>
      <w:r w:rsidR="00045A16">
        <w:t>D</w:t>
      </w:r>
      <w:r>
        <w:t>aten angesehen werden müssen.</w:t>
      </w:r>
    </w:p>
    <w:p w14:paraId="11D6CE63" w14:textId="4171686F" w:rsidR="006330C9" w:rsidRDefault="006330C9" w:rsidP="006330C9">
      <w:pPr>
        <w:spacing w:after="0"/>
      </w:pPr>
      <w:r>
        <w:t xml:space="preserve">In diesem Fall sind alle </w:t>
      </w:r>
      <w:r w:rsidR="00045A16">
        <w:t>Anforderungen</w:t>
      </w:r>
      <w:r>
        <w:t xml:space="preserve"> der Datenschutzgesetze anzuwenden, wie beispielsweise:</w:t>
      </w:r>
    </w:p>
    <w:p w14:paraId="277BA062" w14:textId="0C39950B" w:rsidR="006330C9" w:rsidRDefault="006330C9" w:rsidP="006330C9">
      <w:pPr>
        <w:pStyle w:val="Listenabsatz"/>
        <w:numPr>
          <w:ilvl w:val="0"/>
          <w:numId w:val="41"/>
        </w:numPr>
      </w:pPr>
      <w:r>
        <w:t>Darstellung der Rechtsgrundlage der Verarbeitung;</w:t>
      </w:r>
    </w:p>
    <w:p w14:paraId="02C9D06F" w14:textId="75117446" w:rsidR="006330C9" w:rsidRDefault="006330C9" w:rsidP="006330C9">
      <w:pPr>
        <w:pStyle w:val="Listenabsatz"/>
        <w:numPr>
          <w:ilvl w:val="0"/>
          <w:numId w:val="41"/>
        </w:numPr>
      </w:pPr>
      <w:r>
        <w:t xml:space="preserve">Gewährleistung der Betroffenenrechte wie die Information der betroffenen Personen oder Löschen unzulässig verarbeiteter Daten sowie Information von Empfängern der </w:t>
      </w:r>
      <w:r w:rsidR="004F4854">
        <w:t>D</w:t>
      </w:r>
      <w:r>
        <w:t>aten hinsichtlich Erforderlichkeit der Löschung;</w:t>
      </w:r>
    </w:p>
    <w:p w14:paraId="1F9E8398" w14:textId="07D230F4" w:rsidR="006330C9" w:rsidRDefault="006330C9" w:rsidP="006330C9">
      <w:pPr>
        <w:pStyle w:val="Listenabsatz"/>
        <w:numPr>
          <w:ilvl w:val="0"/>
          <w:numId w:val="41"/>
        </w:numPr>
      </w:pPr>
      <w:r>
        <w:t>Durchführung einer Datenschutz-Folgenabschätzung;</w:t>
      </w:r>
    </w:p>
    <w:p w14:paraId="213128CD" w14:textId="77777777" w:rsidR="00045A16" w:rsidRDefault="006330C9" w:rsidP="006330C9">
      <w:pPr>
        <w:pStyle w:val="Listenabsatz"/>
        <w:numPr>
          <w:ilvl w:val="0"/>
          <w:numId w:val="41"/>
        </w:numPr>
      </w:pPr>
      <w:r>
        <w:t>Gewährleistung der Sicherheit der Verarbeitung</w:t>
      </w:r>
      <w:r w:rsidR="00045A16">
        <w:t>;</w:t>
      </w:r>
    </w:p>
    <w:p w14:paraId="58708565" w14:textId="18D753F5" w:rsidR="006330C9" w:rsidRDefault="00045A16" w:rsidP="006330C9">
      <w:pPr>
        <w:pStyle w:val="Listenabsatz"/>
        <w:numPr>
          <w:ilvl w:val="0"/>
          <w:numId w:val="41"/>
        </w:numPr>
      </w:pPr>
      <w:r>
        <w:t>Usw</w:t>
      </w:r>
      <w:r w:rsidR="006330C9">
        <w:t>.</w:t>
      </w:r>
    </w:p>
    <w:p w14:paraId="3F2337B3" w14:textId="157C4FB6" w:rsidR="009A5E81" w:rsidRDefault="009A5E81" w:rsidP="006B7547">
      <w:pPr>
        <w:pStyle w:val="berschrift2"/>
      </w:pPr>
      <w:bookmarkStart w:id="225" w:name="_Hlk154568471"/>
      <w:bookmarkStart w:id="226" w:name="_Ref153623471"/>
      <w:bookmarkStart w:id="227" w:name="_Toc154652671"/>
      <w:r>
        <w:t xml:space="preserve">Daten wurden „anonym“ weitergegeben, jetzt erfolgte eine Re-Identifizierung: </w:t>
      </w:r>
      <w:r w:rsidRPr="004832F9">
        <w:t>wer</w:t>
      </w:r>
      <w:r>
        <w:t xml:space="preserve"> ist verantwortlic</w:t>
      </w:r>
      <w:bookmarkEnd w:id="225"/>
      <w:r>
        <w:t>h?</w:t>
      </w:r>
      <w:bookmarkEnd w:id="226"/>
      <w:bookmarkEnd w:id="227"/>
    </w:p>
    <w:p w14:paraId="2E118DD2" w14:textId="45FD1E06" w:rsidR="009A5E81" w:rsidRDefault="009A5E81" w:rsidP="009A5E81">
      <w:bookmarkStart w:id="228" w:name="_Hlk154568500"/>
      <w:r>
        <w:t xml:space="preserve">Der </w:t>
      </w:r>
      <w:r w:rsidRPr="009A5E81">
        <w:t>EuGH</w:t>
      </w:r>
      <w:r>
        <w:rPr>
          <w:rStyle w:val="Funotenzeichen"/>
        </w:rPr>
        <w:footnoteReference w:id="132"/>
      </w:r>
      <w:r w:rsidRPr="009A5E81">
        <w:t xml:space="preserve"> </w:t>
      </w:r>
      <w:r>
        <w:t>urteilte im Leitsatz 3, dass d</w:t>
      </w:r>
      <w:r w:rsidRPr="009A5E81">
        <w:t>er Verantwortliche die Beweislast dafür</w:t>
      </w:r>
      <w:r>
        <w:t xml:space="preserve"> trägt</w:t>
      </w:r>
      <w:r w:rsidRPr="009A5E81">
        <w:t>, dass die getroffenen Schutzmaßnahmen geeignet waren</w:t>
      </w:r>
      <w:r>
        <w:t xml:space="preserve">. </w:t>
      </w:r>
      <w:r w:rsidRPr="004832F9">
        <w:t>D.</w:t>
      </w:r>
      <w:r w:rsidR="004832F9" w:rsidRPr="004832F9">
        <w:t> </w:t>
      </w:r>
      <w:r w:rsidRPr="004832F9">
        <w:t>h.</w:t>
      </w:r>
      <w:r>
        <w:t xml:space="preserve">, der Verantwortliche, der anonymisierte Daten weitergab, welche im Nachhinein re-identifizierbar waren, trägt die Beweislast dafür, dass die erfolgte Anonymisierung als Ergebnis auch den Vorgaben von </w:t>
      </w:r>
      <w:r w:rsidR="00723031">
        <w:t xml:space="preserve">Art. 2 </w:t>
      </w:r>
      <w:r w:rsidR="00723031" w:rsidRPr="004832F9">
        <w:t>Ziff</w:t>
      </w:r>
      <w:r w:rsidR="00723031">
        <w:t>. 7 der Richtlinie (EU) 2019/1024</w:t>
      </w:r>
      <w:r>
        <w:t xml:space="preserve"> entsprechende Daten lieferte.</w:t>
      </w:r>
    </w:p>
    <w:p w14:paraId="6B0321E2" w14:textId="0D8E4438" w:rsidR="009A5E81" w:rsidRDefault="009A5E81" w:rsidP="009A5E81">
      <w:r>
        <w:t xml:space="preserve">Sollte ein </w:t>
      </w:r>
      <w:r w:rsidR="001E0F4E">
        <w:t>G</w:t>
      </w:r>
      <w:r>
        <w:t xml:space="preserve">ericht die getroffenen Maßnahmen prüfen, so muss </w:t>
      </w:r>
      <w:r w:rsidR="005B1D56">
        <w:t>dieses</w:t>
      </w:r>
      <w:r>
        <w:t xml:space="preserve"> </w:t>
      </w:r>
      <w:r w:rsidR="008C4A7F">
        <w:t>G</w:t>
      </w:r>
      <w:r>
        <w:t xml:space="preserve">ericht entsprechend dem erwähnten EuGH-Urteil (Rn. 45) </w:t>
      </w:r>
      <w:r w:rsidRPr="009A5E81">
        <w:t xml:space="preserve">eine materielle Prüfung </w:t>
      </w:r>
      <w:r>
        <w:t>der</w:t>
      </w:r>
      <w:r w:rsidRPr="009A5E81">
        <w:t xml:space="preserve"> Maßnahmen anhand aller in </w:t>
      </w:r>
      <w:r>
        <w:t xml:space="preserve">Art. 32 </w:t>
      </w:r>
      <w:r w:rsidRPr="009A5E81">
        <w:t>genannten Kriterien sowie der Umstände des Einzelfalls und der dem Gericht dafür zur Verfügung stehenden Beweismittel vornehmen</w:t>
      </w:r>
      <w:r>
        <w:t xml:space="preserve">, </w:t>
      </w:r>
      <w:r w:rsidRPr="009A5E81">
        <w:t>wobei die mit der betreffenden Verarbeitung verbundenen Risiken zu berücksichtigen sind und zu beurteilen ist, ob Art, Inhalt und Umsetzung dieser Maßnahmen diesen Risiken angemessen sind</w:t>
      </w:r>
      <w:r>
        <w:t xml:space="preserve"> (Rn. 47).</w:t>
      </w:r>
    </w:p>
    <w:p w14:paraId="3460EF8E" w14:textId="6D0D14E6" w:rsidR="009A5E81" w:rsidRPr="009A5E81" w:rsidRDefault="009A5E81" w:rsidP="009A5E81">
      <w:r>
        <w:t>Weiterhin kann i</w:t>
      </w:r>
      <w:r w:rsidRPr="009A5E81">
        <w:t>m Fall der unbefugten Offenlegung</w:t>
      </w:r>
      <w:r>
        <w:t xml:space="preserve"> von </w:t>
      </w:r>
      <w:r w:rsidRPr="009A5E81">
        <w:t>personenbezogenen Daten durch Dritte</w:t>
      </w:r>
      <w:r>
        <w:t>, wie sie eine unbefugte Re-Identifizierung i. d. R. darstellen wird,</w:t>
      </w:r>
      <w:r w:rsidRPr="009A5E81">
        <w:t xml:space="preserve"> der Verantwortliche gegenüber den Personen, denen ein Schaden entstanden ist, </w:t>
      </w:r>
      <w:r w:rsidR="005B1D56">
        <w:t>schadens</w:t>
      </w:r>
      <w:r w:rsidRPr="009A5E81">
        <w:t>ersatzpflichtig sein</w:t>
      </w:r>
      <w:r>
        <w:t xml:space="preserve"> (siehe zitiertes Urteil, Rn. 86)</w:t>
      </w:r>
      <w:r w:rsidRPr="009A5E81">
        <w:t xml:space="preserve">, es sei denn, </w:t>
      </w:r>
      <w:r>
        <w:t>d</w:t>
      </w:r>
      <w:r w:rsidRPr="009A5E81">
        <w:t xml:space="preserve">er </w:t>
      </w:r>
      <w:r>
        <w:t xml:space="preserve">Verantwortliche </w:t>
      </w:r>
      <w:r w:rsidRPr="009A5E81">
        <w:t>weist nach, dass er in keinerlei Hinsicht für den Schaden verantwortlich ist.</w:t>
      </w:r>
    </w:p>
    <w:p w14:paraId="4DB3BF1D" w14:textId="4E236695" w:rsidR="006330C9" w:rsidRDefault="006B7547" w:rsidP="006B7547">
      <w:pPr>
        <w:pStyle w:val="berschrift2"/>
      </w:pPr>
      <w:bookmarkStart w:id="229" w:name="_Hlk154568578"/>
      <w:bookmarkStart w:id="230" w:name="_Toc154652672"/>
      <w:bookmarkStart w:id="231" w:name="_Hlk154568620"/>
      <w:bookmarkEnd w:id="228"/>
      <w:r>
        <w:t>Anonymisierung und „Big Data“:</w:t>
      </w:r>
      <w:bookmarkEnd w:id="229"/>
      <w:r>
        <w:t xml:space="preserve"> Geht das?</w:t>
      </w:r>
      <w:bookmarkEnd w:id="230"/>
    </w:p>
    <w:p w14:paraId="755FA6D8" w14:textId="01FA19AF" w:rsidR="006B7547" w:rsidRDefault="006B7547" w:rsidP="006330C9">
      <w:r w:rsidRPr="006B7547">
        <w:t xml:space="preserve">Methoden zur Wahrung der Privatsphäre in der </w:t>
      </w:r>
      <w:r w:rsidRPr="004832F9">
        <w:t>Big-Data-Analytik</w:t>
      </w:r>
      <w:r w:rsidRPr="006B7547">
        <w:t xml:space="preserve"> befinden sich noch in der Anfangsphase, und diese Methoden können die Privatsphäre der Benutzer aufgrund von Betriebs- und Effizienzproblemen nicht gewährleisten.</w:t>
      </w:r>
      <w:bookmarkStart w:id="232" w:name="_Ref152141233"/>
      <w:r>
        <w:rPr>
          <w:rStyle w:val="Funotenzeichen"/>
        </w:rPr>
        <w:footnoteReference w:id="133"/>
      </w:r>
      <w:bookmarkEnd w:id="232"/>
      <w:r>
        <w:t xml:space="preserve"> Dies trifft insbesondere dann zu, wenn nicht absehbar ist, welche Daten von wem zusammengeführt werden</w:t>
      </w:r>
      <w:r w:rsidR="005B1D56">
        <w:t>.</w:t>
      </w:r>
      <w:r>
        <w:t xml:space="preserve"> In diesen Fällen kommt durch die Zusammenführung </w:t>
      </w:r>
      <w:r w:rsidR="005B1D56">
        <w:t xml:space="preserve">ein </w:t>
      </w:r>
      <w:r>
        <w:t xml:space="preserve">immer kaum abschätzbares bzw. bewertbares Zusatzwissen zum eigentlich betrachteten Datensatz zusammen, sodass </w:t>
      </w:r>
      <w:r w:rsidR="00723031" w:rsidRPr="00723031">
        <w:t>letztendlich</w:t>
      </w:r>
      <w:r>
        <w:t xml:space="preserve"> nur die Möglichkeit bleibt, rechtlich, d. h. vertraglich, sicherzustellen, dass eine Zusammenführung des als „anonym“ betrachteten Datensatzes mit anderen, unbekannten Datensätzen </w:t>
      </w:r>
      <w:r w:rsidR="005B1D56">
        <w:t>untersagt</w:t>
      </w:r>
      <w:r>
        <w:t xml:space="preserve"> wird.</w:t>
      </w:r>
    </w:p>
    <w:p w14:paraId="2831FCC9" w14:textId="32949411" w:rsidR="006B7547" w:rsidRDefault="006B7547" w:rsidP="006B7547">
      <w:pPr>
        <w:spacing w:after="0"/>
      </w:pPr>
      <w:r w:rsidRPr="004832F9">
        <w:t>Pramanik</w:t>
      </w:r>
      <w:r w:rsidRPr="006B7547">
        <w:t xml:space="preserve"> et al.</w:t>
      </w:r>
      <w:r>
        <w:t xml:space="preserve"> bewerteten 2021</w:t>
      </w:r>
      <w:r w:rsidRPr="006B7547">
        <w:rPr>
          <w:vertAlign w:val="superscript"/>
        </w:rPr>
        <w:fldChar w:fldCharType="begin"/>
      </w:r>
      <w:r w:rsidRPr="006B7547">
        <w:rPr>
          <w:vertAlign w:val="superscript"/>
        </w:rPr>
        <w:instrText xml:space="preserve"> NOTEREF _Ref152141233 \h </w:instrText>
      </w:r>
      <w:r>
        <w:rPr>
          <w:vertAlign w:val="superscript"/>
        </w:rPr>
        <w:instrText xml:space="preserve"> \* MERGEFORMAT </w:instrText>
      </w:r>
      <w:r w:rsidRPr="006B7547">
        <w:rPr>
          <w:vertAlign w:val="superscript"/>
        </w:rPr>
      </w:r>
      <w:r w:rsidRPr="006B7547">
        <w:rPr>
          <w:vertAlign w:val="superscript"/>
        </w:rPr>
        <w:fldChar w:fldCharType="separate"/>
      </w:r>
      <w:r w:rsidR="00C9149F">
        <w:rPr>
          <w:vertAlign w:val="superscript"/>
        </w:rPr>
        <w:t>133</w:t>
      </w:r>
      <w:r w:rsidRPr="006B7547">
        <w:rPr>
          <w:vertAlign w:val="superscript"/>
        </w:rPr>
        <w:fldChar w:fldCharType="end"/>
      </w:r>
      <w:r>
        <w:t xml:space="preserve"> verschiedene Methoden zur Wahrung der </w:t>
      </w:r>
      <w:r w:rsidRPr="006B7547">
        <w:t>Privatsphäre</w:t>
      </w:r>
      <w:r>
        <w:t xml:space="preserve"> im Kontext von Big Data Anwendungen und versuchten, </w:t>
      </w:r>
      <w:r w:rsidRPr="006B7547">
        <w:t>deren Vor- und Nachteile</w:t>
      </w:r>
      <w:r>
        <w:t xml:space="preserve"> darzustellen. Dabei </w:t>
      </w:r>
      <w:r w:rsidRPr="006B7547">
        <w:t xml:space="preserve">identifizieren </w:t>
      </w:r>
      <w:r>
        <w:t>die Autoren u. a.</w:t>
      </w:r>
      <w:r w:rsidRPr="006B7547">
        <w:t xml:space="preserve"> die Hauptschwächen bestehender Ansätze zur Wahrung der Privatsphäre in der </w:t>
      </w:r>
      <w:r w:rsidRPr="004832F9">
        <w:t>Big-Data-Analytik</w:t>
      </w:r>
      <w:r>
        <w:t xml:space="preserve"> </w:t>
      </w:r>
      <w:bookmarkEnd w:id="231"/>
      <w:r w:rsidR="008C4A7F">
        <w:t>u</w:t>
      </w:r>
      <w:r>
        <w:t xml:space="preserve">nd gaben Wirtschaftsunternehmen in diesem Kontext fünf </w:t>
      </w:r>
      <w:r w:rsidRPr="004832F9">
        <w:t>Empfehlungen</w:t>
      </w:r>
      <w:r w:rsidRPr="004832F9">
        <w:rPr>
          <w:vertAlign w:val="superscript"/>
        </w:rPr>
        <w:fldChar w:fldCharType="begin"/>
      </w:r>
      <w:r w:rsidRPr="004832F9">
        <w:rPr>
          <w:vertAlign w:val="superscript"/>
        </w:rPr>
        <w:instrText xml:space="preserve"> NOTEREF _Ref152141233 \h  \* MERGEFORMAT </w:instrText>
      </w:r>
      <w:r w:rsidRPr="004832F9">
        <w:rPr>
          <w:vertAlign w:val="superscript"/>
        </w:rPr>
      </w:r>
      <w:r w:rsidRPr="004832F9">
        <w:rPr>
          <w:vertAlign w:val="superscript"/>
        </w:rPr>
        <w:fldChar w:fldCharType="separate"/>
      </w:r>
      <w:r w:rsidR="00C9149F">
        <w:rPr>
          <w:vertAlign w:val="superscript"/>
        </w:rPr>
        <w:t>133</w:t>
      </w:r>
      <w:r w:rsidRPr="004832F9">
        <w:rPr>
          <w:vertAlign w:val="superscript"/>
        </w:rPr>
        <w:fldChar w:fldCharType="end"/>
      </w:r>
      <w:r>
        <w:t>:</w:t>
      </w:r>
    </w:p>
    <w:p w14:paraId="5473CF82" w14:textId="60443B83" w:rsidR="006B7547" w:rsidRDefault="006B7547">
      <w:pPr>
        <w:pStyle w:val="Listenabsatz"/>
        <w:numPr>
          <w:ilvl w:val="0"/>
          <w:numId w:val="43"/>
        </w:numPr>
      </w:pPr>
      <w:r w:rsidRPr="006B7547">
        <w:t>Entscheidungsträger in einer Organisation bzw. einem Unternehmen müssen umfassende, anpassungsfähige organisatorische und technologische Rahmenbedingungen entwickeln und umsetzen, um das Vertrauen der Verbraucher aufzubauen und zu erhalten. Es müssen Mechanismen vorgesehen werden, um Einrichtungen, die Daten sammeln und analysieren, für die Einhaltung der Regeln und bewährten Verfahren zur Rechenschaft zu ziehen.</w:t>
      </w:r>
    </w:p>
    <w:p w14:paraId="34C866A5" w14:textId="77777777" w:rsidR="006B7547" w:rsidRDefault="006B7547">
      <w:pPr>
        <w:pStyle w:val="Listenabsatz"/>
        <w:numPr>
          <w:ilvl w:val="0"/>
          <w:numId w:val="43"/>
        </w:numPr>
      </w:pPr>
      <w:r w:rsidRPr="006B7547">
        <w:t>Organisationen</w:t>
      </w:r>
      <w:r>
        <w:t xml:space="preserve">/Unternehmen </w:t>
      </w:r>
      <w:r w:rsidRPr="006B7547">
        <w:t xml:space="preserve">sollten ein Team ernennen, </w:t>
      </w:r>
      <w:r>
        <w:t>welches</w:t>
      </w:r>
      <w:r w:rsidRPr="006B7547">
        <w:t xml:space="preserve"> für drei Schlüsselbereiche verantwortlich ist:</w:t>
      </w:r>
    </w:p>
    <w:p w14:paraId="36BA85FF" w14:textId="6FD624DC" w:rsidR="006B7547" w:rsidRDefault="006B7547">
      <w:pPr>
        <w:pStyle w:val="Listenabsatz"/>
        <w:numPr>
          <w:ilvl w:val="1"/>
          <w:numId w:val="43"/>
        </w:numPr>
      </w:pPr>
      <w:r w:rsidRPr="006B7547">
        <w:t xml:space="preserve">Analyse der </w:t>
      </w:r>
      <w:r>
        <w:t xml:space="preserve">Vorgaben des </w:t>
      </w:r>
      <w:r w:rsidRPr="006B7547">
        <w:t>Datenschutzrechts</w:t>
      </w:r>
      <w:r>
        <w:t xml:space="preserve">, insbesondere daraus resultierender </w:t>
      </w:r>
      <w:r w:rsidRPr="006B7547">
        <w:t>Verbraucherrechte</w:t>
      </w:r>
      <w:r>
        <w:t xml:space="preserve">, </w:t>
      </w:r>
      <w:r w:rsidRPr="006B7547">
        <w:t xml:space="preserve">und der </w:t>
      </w:r>
      <w:r>
        <w:t xml:space="preserve">diesen Gesetzen </w:t>
      </w:r>
      <w:r w:rsidRPr="006B7547">
        <w:t xml:space="preserve">zugrunde liegenden </w:t>
      </w:r>
      <w:r w:rsidRPr="004832F9">
        <w:t>Prinzipien</w:t>
      </w:r>
    </w:p>
    <w:p w14:paraId="2911358B" w14:textId="77777777" w:rsidR="006B7547" w:rsidRDefault="006B7547">
      <w:pPr>
        <w:pStyle w:val="Listenabsatz"/>
        <w:numPr>
          <w:ilvl w:val="1"/>
          <w:numId w:val="43"/>
        </w:numPr>
      </w:pPr>
      <w:r w:rsidRPr="006B7547">
        <w:t xml:space="preserve">Gewinnung neuer Ideen, um diese </w:t>
      </w:r>
      <w:r>
        <w:t>Vorgaben in eigene Prozesse und Techniken</w:t>
      </w:r>
      <w:r w:rsidRPr="006B7547">
        <w:t xml:space="preserve"> einzubeziehen und </w:t>
      </w:r>
      <w:r>
        <w:t xml:space="preserve">zu </w:t>
      </w:r>
      <w:r w:rsidRPr="004832F9">
        <w:t>berücksichtigen</w:t>
      </w:r>
    </w:p>
    <w:p w14:paraId="267E2B08" w14:textId="63CDC9E5" w:rsidR="006B7547" w:rsidRDefault="006B7547">
      <w:pPr>
        <w:pStyle w:val="Listenabsatz"/>
        <w:numPr>
          <w:ilvl w:val="1"/>
          <w:numId w:val="43"/>
        </w:numPr>
      </w:pPr>
      <w:r w:rsidRPr="006B7547">
        <w:t xml:space="preserve">Erstellung eines konkreten Berichts und von Empfehlungen, die an </w:t>
      </w:r>
      <w:r w:rsidR="00A64241">
        <w:t xml:space="preserve">den oder </w:t>
      </w:r>
      <w:r>
        <w:t xml:space="preserve">die </w:t>
      </w:r>
      <w:r w:rsidRPr="006B7547">
        <w:t xml:space="preserve">Entscheidungsträger zur endgültigen </w:t>
      </w:r>
      <w:r>
        <w:t>Beschlussfassung</w:t>
      </w:r>
      <w:r w:rsidRPr="006B7547">
        <w:t xml:space="preserve"> </w:t>
      </w:r>
      <w:r>
        <w:t>vorgelegt</w:t>
      </w:r>
      <w:r w:rsidRPr="006B7547">
        <w:t xml:space="preserve"> werden.</w:t>
      </w:r>
    </w:p>
    <w:p w14:paraId="28AB6267" w14:textId="29DAB70A" w:rsidR="006B7547" w:rsidRDefault="006B7547">
      <w:pPr>
        <w:pStyle w:val="Listenabsatz"/>
        <w:numPr>
          <w:ilvl w:val="0"/>
          <w:numId w:val="43"/>
        </w:numPr>
      </w:pPr>
      <w:r w:rsidRPr="006B7547">
        <w:t>Organisationen</w:t>
      </w:r>
      <w:r>
        <w:t>/Unternehmen</w:t>
      </w:r>
      <w:r w:rsidRPr="006B7547">
        <w:t xml:space="preserve"> sollten die Umsetzung von </w:t>
      </w:r>
      <w:r>
        <w:t>Rechten betroffener Personen</w:t>
      </w:r>
      <w:r w:rsidRPr="006B7547">
        <w:t xml:space="preserve"> in den drei folgenden Punkten </w:t>
      </w:r>
      <w:r>
        <w:t>umsetzen:</w:t>
      </w:r>
    </w:p>
    <w:p w14:paraId="20C5399D" w14:textId="1CAE84D8" w:rsidR="006B7547" w:rsidRDefault="006B7547">
      <w:pPr>
        <w:pStyle w:val="Listenabsatz"/>
        <w:numPr>
          <w:ilvl w:val="1"/>
          <w:numId w:val="43"/>
        </w:numPr>
      </w:pPr>
      <w:r w:rsidRPr="006B7547">
        <w:t>Individuelle Kontrolle, d.</w:t>
      </w:r>
      <w:r>
        <w:t> </w:t>
      </w:r>
      <w:r w:rsidRPr="006B7547">
        <w:t xml:space="preserve">h. die </w:t>
      </w:r>
      <w:r>
        <w:t>betroffenen Personen</w:t>
      </w:r>
      <w:r w:rsidRPr="006B7547">
        <w:t xml:space="preserve"> können selbst bestimmen, welche Daten ein Unternehmen von ihnen erhebt und wie es sie verwendet.</w:t>
      </w:r>
    </w:p>
    <w:p w14:paraId="69AB0DCD" w14:textId="6A8AB9D0" w:rsidR="006B7547" w:rsidRDefault="006B7547">
      <w:pPr>
        <w:pStyle w:val="Listenabsatz"/>
        <w:numPr>
          <w:ilvl w:val="1"/>
          <w:numId w:val="43"/>
        </w:numPr>
      </w:pPr>
      <w:r w:rsidRPr="006B7547">
        <w:t>Transparenz, d.</w:t>
      </w:r>
      <w:r>
        <w:t> </w:t>
      </w:r>
      <w:r w:rsidRPr="006B7547">
        <w:t xml:space="preserve">h. </w:t>
      </w:r>
      <w:r>
        <w:t>betroffene Personen</w:t>
      </w:r>
      <w:r w:rsidRPr="006B7547">
        <w:t xml:space="preserve"> können die Datenschutz- und Sicherheitspraktiken </w:t>
      </w:r>
      <w:r>
        <w:t xml:space="preserve">des </w:t>
      </w:r>
      <w:r w:rsidRPr="006B7547">
        <w:t xml:space="preserve">Unternehmens </w:t>
      </w:r>
      <w:r>
        <w:t xml:space="preserve">selbst </w:t>
      </w:r>
      <w:r w:rsidRPr="006B7547">
        <w:t>beurteilen.</w:t>
      </w:r>
    </w:p>
    <w:p w14:paraId="32C46F69" w14:textId="2493EE88" w:rsidR="006B7547" w:rsidRDefault="006B7547">
      <w:pPr>
        <w:pStyle w:val="Listenabsatz"/>
        <w:numPr>
          <w:ilvl w:val="1"/>
          <w:numId w:val="43"/>
        </w:numPr>
      </w:pPr>
      <w:r w:rsidRPr="006B7547">
        <w:t>Kontrolle der Richtigkeit, d</w:t>
      </w:r>
      <w:r>
        <w:t>. </w:t>
      </w:r>
      <w:r w:rsidRPr="006B7547">
        <w:t xml:space="preserve">h. </w:t>
      </w:r>
      <w:r>
        <w:t>betroffene Personen</w:t>
      </w:r>
      <w:r w:rsidRPr="006B7547">
        <w:t xml:space="preserve"> </w:t>
      </w:r>
      <w:r>
        <w:t>erhalten</w:t>
      </w:r>
      <w:r w:rsidRPr="006B7547">
        <w:t xml:space="preserve"> </w:t>
      </w:r>
      <w:r>
        <w:t>die Möglichkeit</w:t>
      </w:r>
      <w:r w:rsidRPr="006B7547">
        <w:t xml:space="preserve">, </w:t>
      </w:r>
      <w:r>
        <w:t xml:space="preserve">die sie betreffenden </w:t>
      </w:r>
      <w:r w:rsidRPr="006B7547">
        <w:t>personenbezogene Daten zu korrigieren, um das Risiko nachteiliger Folgen für unrichtige Daten zu vermeiden.</w:t>
      </w:r>
    </w:p>
    <w:p w14:paraId="40C4B393" w14:textId="7A3355A2" w:rsidR="006B7547" w:rsidRDefault="006B7547">
      <w:pPr>
        <w:pStyle w:val="Listenabsatz"/>
        <w:numPr>
          <w:ilvl w:val="0"/>
          <w:numId w:val="43"/>
        </w:numPr>
      </w:pPr>
      <w:r w:rsidRPr="006B7547">
        <w:t xml:space="preserve">Um die Sicherheit von Big Data zu gewährleisten, sollten sich </w:t>
      </w:r>
      <w:r>
        <w:t>Organisationen/</w:t>
      </w:r>
      <w:r w:rsidRPr="006B7547">
        <w:t>Unternehmen auf d</w:t>
      </w:r>
      <w:r w:rsidR="005B1D56">
        <w:t>ie</w:t>
      </w:r>
      <w:r w:rsidRPr="006B7547">
        <w:t xml:space="preserve"> Anwerb</w:t>
      </w:r>
      <w:r w:rsidR="005B1D56">
        <w:t>ung</w:t>
      </w:r>
      <w:r w:rsidRPr="006B7547">
        <w:t>, Einstell</w:t>
      </w:r>
      <w:r w:rsidR="005B1D56">
        <w:t>ung</w:t>
      </w:r>
      <w:r w:rsidRPr="006B7547">
        <w:t xml:space="preserve"> </w:t>
      </w:r>
      <w:r>
        <w:t xml:space="preserve">und </w:t>
      </w:r>
      <w:r w:rsidRPr="006B7547">
        <w:t>Schul</w:t>
      </w:r>
      <w:r w:rsidR="005B1D56">
        <w:t>ung</w:t>
      </w:r>
      <w:r w:rsidRPr="006B7547">
        <w:t xml:space="preserve"> von Datensicherheit</w:t>
      </w:r>
      <w:r w:rsidR="005B1D56">
        <w:t>sexperten</w:t>
      </w:r>
      <w:r w:rsidRPr="006B7547">
        <w:t xml:space="preserve"> </w:t>
      </w:r>
      <w:r>
        <w:t xml:space="preserve">sowie </w:t>
      </w:r>
      <w:r w:rsidR="005B1D56">
        <w:t xml:space="preserve">auf Datenschutz und Datensicherheit spezialisierten </w:t>
      </w:r>
      <w:r>
        <w:t>Softwareanalysten und -architekten</w:t>
      </w:r>
      <w:r w:rsidRPr="006B7547">
        <w:t xml:space="preserve"> konzentrieren, </w:t>
      </w:r>
      <w:r>
        <w:t>welche</w:t>
      </w:r>
      <w:r w:rsidRPr="006B7547">
        <w:t xml:space="preserve"> in der Lage sind, Anwendungen für die Datenexploration und Datenanalyse auf sichere Weise zu entwickeln. Übergreifende Schulungen in verschiedenen Datendisziplinen wie Data Warehousing, Datenintegration, Datenqualität, Content Management und Datenbankverwaltung sind für die meisten Business </w:t>
      </w:r>
      <w:r w:rsidRPr="004832F9">
        <w:t>Intelligence</w:t>
      </w:r>
      <w:r w:rsidRPr="006B7547">
        <w:t>-/Data Warehousing-Experten erforderlich.</w:t>
      </w:r>
    </w:p>
    <w:p w14:paraId="696977DF" w14:textId="302CDBE6" w:rsidR="006B7547" w:rsidRDefault="006B7547">
      <w:pPr>
        <w:pStyle w:val="Listenabsatz"/>
        <w:numPr>
          <w:ilvl w:val="0"/>
          <w:numId w:val="43"/>
        </w:numPr>
      </w:pPr>
      <w:r>
        <w:t>Organisationen/</w:t>
      </w:r>
      <w:r w:rsidRPr="006B7547">
        <w:t xml:space="preserve">Unternehmen sollten Strategien für eine gute Zusammenarbeit entwickeln, da Big Data eine große </w:t>
      </w:r>
      <w:r>
        <w:t>Bandbreite beinhaltet</w:t>
      </w:r>
      <w:r w:rsidRPr="006B7547">
        <w:t xml:space="preserve"> und </w:t>
      </w:r>
      <w:r>
        <w:t xml:space="preserve">somit </w:t>
      </w:r>
      <w:r w:rsidRPr="006B7547">
        <w:t xml:space="preserve">verschiedenartige Teams mit unterschiedlichen Kompetenzen erfordert. Big Data sollte mit weitreichendem Zugang gemanagt und von </w:t>
      </w:r>
      <w:r w:rsidR="005B1D56">
        <w:t>verschiedenen</w:t>
      </w:r>
      <w:r w:rsidRPr="006B7547">
        <w:t xml:space="preserve"> Geschäftseinheiten und Interessengruppen optimal verwendet werden. </w:t>
      </w:r>
      <w:r w:rsidR="005B1D56">
        <w:t>E</w:t>
      </w:r>
      <w:r w:rsidRPr="006B7547">
        <w:t xml:space="preserve">ine umfangreiche und reibungslose Zusammenarbeit zwischen allen Geschäftsbereichen </w:t>
      </w:r>
      <w:r w:rsidR="005B1D56">
        <w:t xml:space="preserve">ist </w:t>
      </w:r>
      <w:r w:rsidRPr="006B7547">
        <w:t>erforderlich</w:t>
      </w:r>
      <w:r w:rsidR="005B1D56">
        <w:t>,</w:t>
      </w:r>
      <w:r w:rsidR="005B1D56" w:rsidRPr="005B1D56">
        <w:t xml:space="preserve"> </w:t>
      </w:r>
      <w:r w:rsidR="005B1D56">
        <w:t>u</w:t>
      </w:r>
      <w:r w:rsidR="005B1D56" w:rsidRPr="006B7547">
        <w:t>m alle Vorgänge sicher zu verwalten</w:t>
      </w:r>
      <w:r w:rsidRPr="006B7547">
        <w:t xml:space="preserve">. Neue </w:t>
      </w:r>
      <w:r w:rsidR="005B1D56">
        <w:t>Formen der Zusammenarbeit</w:t>
      </w:r>
      <w:r w:rsidRPr="006B7547">
        <w:t xml:space="preserve"> sind erforderlich, um den Datenschutz </w:t>
      </w:r>
      <w:r w:rsidR="005B1D56">
        <w:t xml:space="preserve">im </w:t>
      </w:r>
      <w:r w:rsidR="005B1D56" w:rsidRPr="004832F9">
        <w:t>Zusammenhang</w:t>
      </w:r>
      <w:r w:rsidRPr="006B7547">
        <w:t xml:space="preserve"> </w:t>
      </w:r>
      <w:r w:rsidR="005B1D56">
        <w:t xml:space="preserve">mit </w:t>
      </w:r>
      <w:r w:rsidRPr="006B7547">
        <w:t>Big Data zu kontrollieren und die Verwendung personenbezogener Daten im Geschäftsprozess zu regeln. Es muss ein starker Rahmen für den Datenschutz von Big Data eingeführt werden, um die Zufriedenheit der Verbraucher mit dem Datenschutz zu gewährleisten und wettbewerbsfähige Marktbedingungen zu schaffen.</w:t>
      </w:r>
    </w:p>
    <w:p w14:paraId="639F62AD" w14:textId="762D9A7C" w:rsidR="006B7547" w:rsidRDefault="006B7547" w:rsidP="006330C9">
      <w:r>
        <w:t xml:space="preserve">Keine der in der Arbeit von </w:t>
      </w:r>
      <w:r w:rsidRPr="004832F9">
        <w:t>Pramanik</w:t>
      </w:r>
      <w:r w:rsidRPr="006B7547">
        <w:t xml:space="preserve"> et al.</w:t>
      </w:r>
      <w:r>
        <w:t xml:space="preserve"> </w:t>
      </w:r>
      <w:r w:rsidR="008C4A7F">
        <w:t xml:space="preserve">betrachteten Methoden </w:t>
      </w:r>
      <w:r>
        <w:t>be</w:t>
      </w:r>
      <w:r w:rsidR="005B1D56">
        <w:t>zieht</w:t>
      </w:r>
      <w:r>
        <w:t xml:space="preserve"> </w:t>
      </w:r>
      <w:r w:rsidR="005B1D56">
        <w:t xml:space="preserve">sich </w:t>
      </w:r>
      <w:r>
        <w:t xml:space="preserve">direkt </w:t>
      </w:r>
      <w:r w:rsidR="005B1D56">
        <w:t xml:space="preserve">auf </w:t>
      </w:r>
      <w:r>
        <w:t xml:space="preserve">das Thema der Anonymisierung oder Pseudonymisierung, jedoch wird eine Befolgung der </w:t>
      </w:r>
      <w:r w:rsidRPr="006B7547">
        <w:t>Empfehlungen</w:t>
      </w:r>
      <w:r>
        <w:t xml:space="preserve"> – deren Inhalte alle</w:t>
      </w:r>
      <w:r w:rsidR="005B1D56">
        <w:t>samt</w:t>
      </w:r>
      <w:r>
        <w:t xml:space="preserve"> in der DS-GVO </w:t>
      </w:r>
      <w:r w:rsidR="005B1D56">
        <w:t>gesetzlich vorgeschrieben sind</w:t>
      </w:r>
      <w:r>
        <w:t xml:space="preserve"> und somit schon aus rechtlicher Sicht umgesetzt werden müssen – dazu führen, dass gerade bei Big Data Anwendungen eine Anonymisierung nur in seltenen Fällen sinnvoll umgesetzt werden kann.</w:t>
      </w:r>
    </w:p>
    <w:p w14:paraId="47C166FC" w14:textId="3DBA3963" w:rsidR="002A7B67" w:rsidRDefault="002A7B67" w:rsidP="004F79DB">
      <w:pPr>
        <w:pStyle w:val="berschrift2"/>
      </w:pPr>
      <w:bookmarkStart w:id="233" w:name="_Toc154652673"/>
      <w:bookmarkStart w:id="234" w:name="_Ref154652695"/>
      <w:r>
        <w:t>Stand der Technik und Anonymisierung</w:t>
      </w:r>
      <w:bookmarkEnd w:id="233"/>
      <w:bookmarkEnd w:id="234"/>
    </w:p>
    <w:p w14:paraId="6621A3B6" w14:textId="7913F843" w:rsidR="00ED5B8F" w:rsidRDefault="00ED5B8F" w:rsidP="00ED5B8F">
      <w:pPr>
        <w:spacing w:after="0"/>
      </w:pPr>
      <w:r>
        <w:t>Im sog. „Kalkar“-Urteil</w:t>
      </w:r>
      <w:r>
        <w:rPr>
          <w:rStyle w:val="Funotenzeichen"/>
        </w:rPr>
        <w:footnoteReference w:id="134"/>
      </w:r>
      <w:r>
        <w:t xml:space="preserve"> </w:t>
      </w:r>
      <w:r w:rsidRPr="00ED5B8F">
        <w:t>hielt</w:t>
      </w:r>
      <w:r>
        <w:t xml:space="preserve"> das </w:t>
      </w:r>
      <w:r w:rsidRPr="004832F9">
        <w:t>BVerG</w:t>
      </w:r>
      <w:r>
        <w:t xml:space="preserve"> schon 1978 fest:</w:t>
      </w:r>
    </w:p>
    <w:p w14:paraId="33927BE6" w14:textId="77777777" w:rsidR="00ED5B8F" w:rsidRDefault="00ED5B8F" w:rsidP="00ED5B8F">
      <w:pPr>
        <w:pStyle w:val="Listenabsatz"/>
        <w:numPr>
          <w:ilvl w:val="0"/>
          <w:numId w:val="41"/>
        </w:numPr>
      </w:pPr>
      <w:r>
        <w:t>Im Kalkar Urteil schrieb das BVerfG zum „Stand der Technik“ (Rn. 100), dass dieser als der „</w:t>
      </w:r>
      <w:r w:rsidRPr="002A7B67">
        <w:t>rechtliche Maßstab für das Erlaubte oder Gebotene hierdurch an die Front der technischen Entwicklung verlagert</w:t>
      </w:r>
      <w:r>
        <w:t>“ gilt. Die „</w:t>
      </w:r>
      <w:r w:rsidRPr="002A7B67">
        <w:t>allgemeine Anerkennung und die praktische Bewährung allein</w:t>
      </w:r>
      <w:r>
        <w:t>“ sind</w:t>
      </w:r>
      <w:r w:rsidRPr="002A7B67">
        <w:t xml:space="preserve"> für den Stand der Technik nicht ausschlaggebend</w:t>
      </w:r>
      <w:r>
        <w:t>.</w:t>
      </w:r>
    </w:p>
    <w:p w14:paraId="15A7E6EC" w14:textId="77777777" w:rsidR="00ED5B8F" w:rsidRDefault="00ED5B8F" w:rsidP="00ED5B8F">
      <w:pPr>
        <w:pStyle w:val="Listenabsatz"/>
        <w:numPr>
          <w:ilvl w:val="0"/>
          <w:numId w:val="41"/>
        </w:numPr>
      </w:pPr>
      <w:r>
        <w:t>Der „</w:t>
      </w:r>
      <w:r w:rsidRPr="002A7B67">
        <w:t>Stand der Wissenschaft</w:t>
      </w:r>
      <w:r>
        <w:t xml:space="preserve">“ repräsentiert hingegen den aktuellen Forschungsstand im jeweiligen Thema, umfasst also die </w:t>
      </w:r>
      <w:r w:rsidRPr="002A7B67">
        <w:t>neuesten technischen und wissenschaftlichen Erkenntnisse</w:t>
      </w:r>
      <w:r>
        <w:t>. Wird hierauf Bezug genommen, dass „</w:t>
      </w:r>
      <w:r w:rsidRPr="002A7B67">
        <w:t>mit der wissenschaftlichen und technischen Entwicklung Schritt</w:t>
      </w:r>
      <w:r>
        <w:t xml:space="preserve"> gehalten wird“ (Rn. 101 Kalkar-Urteil). Es muss diejenige Vorsorge gegen Schäden getroffen werden, welche „</w:t>
      </w:r>
      <w:r w:rsidRPr="002A7B67">
        <w:t>nach den neuesten wissenschaftlichen Erkenntnissen für erforderlich gehalten wird</w:t>
      </w:r>
      <w:r>
        <w:t>“</w:t>
      </w:r>
      <w:r w:rsidRPr="002A7B67">
        <w:t xml:space="preserve"> </w:t>
      </w:r>
      <w:r>
        <w:t>(Rn. 101 Kalkar-Urteil).</w:t>
      </w:r>
    </w:p>
    <w:p w14:paraId="2A7E207A" w14:textId="4D1303BD" w:rsidR="00ED5B8F" w:rsidRDefault="00ED5B8F" w:rsidP="00ED5B8F">
      <w:pPr>
        <w:spacing w:after="0"/>
      </w:pPr>
      <w:r>
        <w:t>Daraus entwickelte sich die sog. „</w:t>
      </w:r>
      <w:r w:rsidRPr="00ED5B8F">
        <w:t>3-Stufen</w:t>
      </w:r>
      <w:r>
        <w:t xml:space="preserve">-Theorie“, die sich u. a. im 2008 herausgegebenen „Handbuch der </w:t>
      </w:r>
      <w:r w:rsidRPr="00ED5B8F">
        <w:t>Rechtsförmlichkeit</w:t>
      </w:r>
      <w:r>
        <w:t>“</w:t>
      </w:r>
      <w:r>
        <w:rPr>
          <w:rStyle w:val="Funotenzeichen"/>
        </w:rPr>
        <w:footnoteReference w:id="135"/>
      </w:r>
      <w:r w:rsidRPr="00ED5B8F">
        <w:t xml:space="preserve"> des Bundesjustizministeriums</w:t>
      </w:r>
      <w:r>
        <w:t xml:space="preserve"> findet (Rn. 253):</w:t>
      </w:r>
    </w:p>
    <w:p w14:paraId="7EE34064" w14:textId="11223232" w:rsidR="00ED5B8F" w:rsidRDefault="00ED5B8F" w:rsidP="00ED5B8F">
      <w:pPr>
        <w:spacing w:after="0"/>
        <w:ind w:left="709"/>
        <w:contextualSpacing/>
      </w:pPr>
      <w:r>
        <w:t>„Im Interesse der Verständlichkeit der Vorschriften und einer einheitlichen Rechtsanwendung sollten nur folgende Generalklauseln für technische Regeln verwendet werden:</w:t>
      </w:r>
    </w:p>
    <w:p w14:paraId="6F2A370F" w14:textId="365922D2" w:rsidR="00ED5B8F" w:rsidRDefault="00ED5B8F" w:rsidP="00ED5B8F">
      <w:pPr>
        <w:pStyle w:val="Listenabsatz"/>
        <w:numPr>
          <w:ilvl w:val="0"/>
          <w:numId w:val="52"/>
        </w:numPr>
      </w:pPr>
      <w:r w:rsidRPr="004832F9">
        <w:t>allgemein</w:t>
      </w:r>
      <w:r>
        <w:t xml:space="preserve"> anerkannte Regeln der Technik,</w:t>
      </w:r>
    </w:p>
    <w:p w14:paraId="418F28AB" w14:textId="183D6A86" w:rsidR="00ED5B8F" w:rsidRDefault="00ED5B8F" w:rsidP="00ED5B8F">
      <w:pPr>
        <w:pStyle w:val="Listenabsatz"/>
        <w:numPr>
          <w:ilvl w:val="0"/>
          <w:numId w:val="52"/>
        </w:numPr>
      </w:pPr>
      <w:r>
        <w:t xml:space="preserve">Stand der Technik </w:t>
      </w:r>
      <w:r w:rsidRPr="004832F9">
        <w:t>und</w:t>
      </w:r>
    </w:p>
    <w:p w14:paraId="2C180974" w14:textId="4CEA0C67" w:rsidR="00ED5B8F" w:rsidRDefault="00ED5B8F" w:rsidP="00ED5B8F">
      <w:pPr>
        <w:pStyle w:val="Listenabsatz"/>
        <w:numPr>
          <w:ilvl w:val="0"/>
          <w:numId w:val="52"/>
        </w:numPr>
        <w:spacing w:after="0"/>
        <w:ind w:left="1423" w:hanging="357"/>
      </w:pPr>
      <w:r>
        <w:t>Stand von Wissenschaft und Technik.</w:t>
      </w:r>
    </w:p>
    <w:p w14:paraId="051BA43B" w14:textId="2B55B701" w:rsidR="00ED5B8F" w:rsidRDefault="00ED5B8F" w:rsidP="00ED5B8F">
      <w:pPr>
        <w:ind w:left="708"/>
        <w:contextualSpacing/>
      </w:pPr>
      <w:r>
        <w:t>Welche der drei Grundformen zu wählen ist, richtet sich nach dem Gefährdungspotenzial der Materie, die geregelt werden soll, und nach der technischen Beherrschbarkeit dieses Gefährdungspotenzials.“</w:t>
      </w:r>
    </w:p>
    <w:p w14:paraId="3347C926" w14:textId="57FBA8F8" w:rsidR="00ED5B8F" w:rsidRDefault="00ED5B8F" w:rsidP="00ED5B8F">
      <w:pPr>
        <w:spacing w:after="0"/>
      </w:pPr>
      <w:r>
        <w:t xml:space="preserve">In den folgenden Randnummern finden sich Vorgaben, wann welche </w:t>
      </w:r>
      <w:r w:rsidRPr="00ED5B8F">
        <w:t>Regel</w:t>
      </w:r>
      <w:r>
        <w:t xml:space="preserve"> verwendet werden soll:</w:t>
      </w:r>
    </w:p>
    <w:p w14:paraId="59614AB5" w14:textId="7E25D0B2" w:rsidR="00ED5B8F" w:rsidRDefault="00ED5B8F" w:rsidP="00ED5B8F">
      <w:pPr>
        <w:pStyle w:val="Listenabsatz"/>
        <w:numPr>
          <w:ilvl w:val="0"/>
          <w:numId w:val="41"/>
        </w:numPr>
      </w:pPr>
      <w:r>
        <w:t>Rn: 255: „Die Generalklausel „allgemein anerkannte Regeln der Technik“ wird für Fälle mit vergleichsweise geringem Gefährdungspotenzial oder für Fälle verwendet, die auf Grund gesicherter Erfahrungen technisch beherrschbar sind. Allgemein anerkannte Regeln der Technik sind schriftlich fixierte oder mündlich überlieferte technische Festlegungen für Verfahren, Einrichtungen und Betriebsweisen, die nach herrschender Auffassung der beteiligten Kreise (Fachleute, Anwender, Verbraucherinnen und Verbraucher und öffentliche Hand) geeignet sind, das gesetzlich vorgegebene Ziel zu erreichen und die sich in der Praxis allgemein bewährt haben oder deren Bewährung nach herrschender Auffassung in überschaubarer Zeit bevorsteht.“</w:t>
      </w:r>
    </w:p>
    <w:p w14:paraId="3931C199" w14:textId="6B20F77C" w:rsidR="00ED5B8F" w:rsidRDefault="00ED5B8F" w:rsidP="00ED5B8F">
      <w:pPr>
        <w:pStyle w:val="Listenabsatz"/>
        <w:numPr>
          <w:ilvl w:val="0"/>
          <w:numId w:val="41"/>
        </w:numPr>
      </w:pPr>
      <w:r>
        <w:t>Rn. 256: „Das Anforderungsniveau bei der Generalklausel „Stand der Technik“ liegt zwischen dem Anforderungsniveau der Generalklausel „allgemein anerkannte Regeln der Technik“ und dem Anforderungsniveau der Generalklausel „Stand von Wissenschaft und Technik“. Stand der Technik ist der Entwicklungsstand fortschrittlicher Verfahren, Einrichtungen und Betriebsweisen, der nach herrschender Auffassung führender Fachleute das Erreichen des gesetzlich vorgegebenen Zieles gesichert erscheinen lässt. Verfahren, Einrichtungen und Betriebsweisen oder vergleichbare Verfahren, Einrichtungen und Betriebsweisen müssen sich in der Praxis bewährt haben oder sollten – wenn dies noch nicht der Fall ist – möglichst im Betrieb mit Erfolg erprobt worden sein.“</w:t>
      </w:r>
    </w:p>
    <w:p w14:paraId="7B257927" w14:textId="75CD5318" w:rsidR="00ED5B8F" w:rsidRDefault="00ED5B8F" w:rsidP="00ED5B8F">
      <w:pPr>
        <w:pStyle w:val="Listenabsatz"/>
        <w:numPr>
          <w:ilvl w:val="0"/>
          <w:numId w:val="41"/>
        </w:numPr>
      </w:pPr>
      <w:r>
        <w:t>Rn. 257: „Die Generalklausel „Stand von Wissenschaft und Technik“ umschreibt das höchste Anforderungsniveau und wird daher in Fällen mit sehr hohem Gefährdungspotenzial verwendet. Stand von Wissenschaft und Technik ist der Entwicklungsstand fortschrittlichster Verfahren, Einrichtungen und Betriebsweisen, die nach Auffassung führender Fachleute aus Wissenschaft und Technik auf der Grundlage neuester wissenschaftlich vertretbarer Erkenntnisse im Hinblick auf das gesetzlich vorgegebene Ziel für erforderlich gehalten werden und das Erreichen dieses Ziels gesichert erscheinen lassen.“</w:t>
      </w:r>
    </w:p>
    <w:p w14:paraId="439162BA" w14:textId="2DA8CA6E" w:rsidR="00ED5B8F" w:rsidRDefault="00ED5B8F" w:rsidP="00ED5B8F">
      <w:r>
        <w:t>„S</w:t>
      </w:r>
      <w:r w:rsidRPr="00ED5B8F">
        <w:t>tand von Wissenschaft und Technik</w:t>
      </w:r>
      <w:r>
        <w:t>“ wird beispielsweise in § 7 Abs. 2 Nr. 3 Atomgesetz</w:t>
      </w:r>
      <w:r>
        <w:rPr>
          <w:rStyle w:val="Funotenzeichen"/>
        </w:rPr>
        <w:footnoteReference w:id="136"/>
      </w:r>
      <w:r>
        <w:t xml:space="preserve"> gefordert, aber insbesondere der Stand der Technik wird von verschiedenen Gesetzen adressiert. Auch Begriffsbestimmungen zum Stand der Technik finden sich in verschiedenen Gesetzen, z. B. in § </w:t>
      </w:r>
      <w:r w:rsidRPr="004832F9">
        <w:t>3Nr.</w:t>
      </w:r>
      <w:r>
        <w:t xml:space="preserve"> 6 </w:t>
      </w:r>
      <w:r w:rsidRPr="004832F9">
        <w:t>BImSchG</w:t>
      </w:r>
      <w:r>
        <w:rPr>
          <w:rStyle w:val="Funotenzeichen"/>
        </w:rPr>
        <w:footnoteReference w:id="137"/>
      </w:r>
      <w:r>
        <w:t>, § 3 Nr. 11 WHG</w:t>
      </w:r>
      <w:r>
        <w:rPr>
          <w:rStyle w:val="Funotenzeichen"/>
        </w:rPr>
        <w:footnoteReference w:id="138"/>
      </w:r>
      <w:r>
        <w:t xml:space="preserve">, § 3 Nr. 28 </w:t>
      </w:r>
      <w:r w:rsidRPr="004832F9">
        <w:t>KrWG</w:t>
      </w:r>
      <w:r>
        <w:rPr>
          <w:rStyle w:val="Funotenzeichen"/>
        </w:rPr>
        <w:footnoteReference w:id="139"/>
      </w:r>
      <w:r>
        <w:t xml:space="preserve">. </w:t>
      </w:r>
      <w:r w:rsidRPr="00ED5B8F">
        <w:t xml:space="preserve">Aus europäischer Sicht </w:t>
      </w:r>
      <w:r>
        <w:t>entspricht</w:t>
      </w:r>
      <w:r w:rsidRPr="00ED5B8F">
        <w:t xml:space="preserve"> am ehesten der Terminus „beste verfügbare Technik“ entsprechend Art.</w:t>
      </w:r>
      <w:r>
        <w:t> </w:t>
      </w:r>
      <w:r w:rsidRPr="00ED5B8F">
        <w:t xml:space="preserve">3 </w:t>
      </w:r>
      <w:r w:rsidRPr="004832F9">
        <w:t>Ziff</w:t>
      </w:r>
      <w:r w:rsidRPr="00ED5B8F">
        <w:t xml:space="preserve">. 10 </w:t>
      </w:r>
      <w:r w:rsidRPr="004832F9">
        <w:t>Industrieemissions-Richtlinie</w:t>
      </w:r>
      <w:r>
        <w:rPr>
          <w:rStyle w:val="Funotenzeichen"/>
        </w:rPr>
        <w:footnoteReference w:id="140"/>
      </w:r>
      <w:r w:rsidRPr="00ED5B8F">
        <w:t xml:space="preserve"> </w:t>
      </w:r>
      <w:r>
        <w:t xml:space="preserve">dem deutschen Begriff </w:t>
      </w:r>
      <w:r w:rsidRPr="00ED5B8F">
        <w:t>„Stand der Technik“</w:t>
      </w:r>
      <w:r>
        <w:t xml:space="preserve">. </w:t>
      </w:r>
    </w:p>
    <w:p w14:paraId="536199A5" w14:textId="5A7DB0B4" w:rsidR="002A7B67" w:rsidRDefault="002A7B67" w:rsidP="00ED5B8F">
      <w:r>
        <w:t xml:space="preserve">Die niedrigste </w:t>
      </w:r>
      <w:r w:rsidR="00ED5B8F">
        <w:t xml:space="preserve">der drei Stufen </w:t>
      </w:r>
      <w:r>
        <w:t xml:space="preserve">ist somit die Stufe, bei deren Einsatz die meiste Erfahrung im Umgang mit der Technik existiert, die höchste Stufe hingegen diejenige, welche den besten Schutz und das höchste Sicherheitsniveau verspricht (siehe </w:t>
      </w:r>
      <w:r>
        <w:fldChar w:fldCharType="begin"/>
      </w:r>
      <w:r>
        <w:instrText xml:space="preserve"> REF _Ref154653729 \h </w:instrText>
      </w:r>
      <w:r>
        <w:fldChar w:fldCharType="separate"/>
      </w:r>
      <w:r w:rsidR="00C9149F">
        <w:t xml:space="preserve">Abbildung </w:t>
      </w:r>
      <w:r w:rsidR="00C9149F">
        <w:rPr>
          <w:noProof/>
        </w:rPr>
        <w:t>5</w:t>
      </w:r>
      <w:r>
        <w:fldChar w:fldCharType="end"/>
      </w:r>
      <w:r>
        <w:t>).</w:t>
      </w:r>
    </w:p>
    <w:p w14:paraId="249225FD" w14:textId="2447198D" w:rsidR="002A7B67" w:rsidRDefault="00ED5B8F" w:rsidP="002A7B67">
      <w:pPr>
        <w:spacing w:after="0"/>
      </w:pPr>
      <w:r w:rsidRPr="00ED5B8F">
        <w:rPr>
          <w:noProof/>
        </w:rPr>
        <w:drawing>
          <wp:inline distT="0" distB="0" distL="0" distR="0" wp14:anchorId="018DE731" wp14:editId="25F84C2F">
            <wp:extent cx="5760720" cy="4281805"/>
            <wp:effectExtent l="0" t="0" r="0" b="0"/>
            <wp:docPr id="1259815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4281805"/>
                    </a:xfrm>
                    <a:prstGeom prst="rect">
                      <a:avLst/>
                    </a:prstGeom>
                    <a:noFill/>
                    <a:ln>
                      <a:noFill/>
                    </a:ln>
                  </pic:spPr>
                </pic:pic>
              </a:graphicData>
            </a:graphic>
          </wp:inline>
        </w:drawing>
      </w:r>
    </w:p>
    <w:p w14:paraId="7F313111" w14:textId="0AC4437D" w:rsidR="002A7B67" w:rsidRDefault="002A7B67" w:rsidP="002A7B67">
      <w:pPr>
        <w:pStyle w:val="Beschriftung"/>
      </w:pPr>
      <w:bookmarkStart w:id="235" w:name="_Ref154653729"/>
      <w:r>
        <w:t xml:space="preserve">Abbildung </w:t>
      </w:r>
      <w:r w:rsidR="00000000">
        <w:fldChar w:fldCharType="begin"/>
      </w:r>
      <w:r w:rsidR="00000000">
        <w:instrText xml:space="preserve"> SEQ Abbildung \* ARABIC </w:instrText>
      </w:r>
      <w:r w:rsidR="00000000">
        <w:fldChar w:fldCharType="separate"/>
      </w:r>
      <w:r w:rsidR="00C9149F">
        <w:rPr>
          <w:noProof/>
        </w:rPr>
        <w:t>5</w:t>
      </w:r>
      <w:r w:rsidR="00000000">
        <w:rPr>
          <w:noProof/>
        </w:rPr>
        <w:fldChar w:fldCharType="end"/>
      </w:r>
      <w:bookmarkEnd w:id="235"/>
      <w:r>
        <w:t>:</w:t>
      </w:r>
      <w:r>
        <w:rPr>
          <w:noProof/>
        </w:rPr>
        <w:t xml:space="preserve"> 3-Stufen-Modell des eingesetzten Technik-Standes</w:t>
      </w:r>
    </w:p>
    <w:p w14:paraId="68CE41BF" w14:textId="1D1F532D" w:rsidR="002A7B67" w:rsidRDefault="00723031" w:rsidP="002A7B67">
      <w:r>
        <w:t xml:space="preserve">Art. 2 </w:t>
      </w:r>
      <w:r w:rsidRPr="004832F9">
        <w:t>Ziff</w:t>
      </w:r>
      <w:r>
        <w:t>. 7 der Richtlinie (EU) 2019/1024</w:t>
      </w:r>
      <w:r w:rsidR="002A7B67">
        <w:t xml:space="preserve"> verlangt für eine Anonymisierung, dass „</w:t>
      </w:r>
      <w:r w:rsidR="002A7B67" w:rsidRPr="002A7B67">
        <w:t>die betroffene Person nicht oder nicht mehr identifiziert werden kann</w:t>
      </w:r>
      <w:r w:rsidR="002A7B67">
        <w:t>“, eine Anonymisierung also unumkehrbar ist. Somit kann es erforderlich sein, dass bei der Beurteilung, ob Daten als anonym anzusehen sind oder nicht, der „</w:t>
      </w:r>
      <w:r w:rsidR="002A7B67" w:rsidRPr="002A7B67">
        <w:t>Stand der Wissenschaft</w:t>
      </w:r>
      <w:r w:rsidR="002A7B67">
        <w:t xml:space="preserve">“ </w:t>
      </w:r>
      <w:r w:rsidR="00ED5B8F">
        <w:t>resp. „S</w:t>
      </w:r>
      <w:r w:rsidR="00ED5B8F" w:rsidRPr="00ED5B8F">
        <w:t>tand von Wissenschaft und Technik</w:t>
      </w:r>
      <w:r w:rsidR="00ED5B8F">
        <w:t xml:space="preserve">“ </w:t>
      </w:r>
      <w:r w:rsidR="002A7B67">
        <w:t xml:space="preserve">angewendet werden muss, nicht nur der „Stand der Technik“. „Stand der Wissenschaft“ </w:t>
      </w:r>
      <w:r w:rsidR="00ED5B8F">
        <w:t>resp. „S</w:t>
      </w:r>
      <w:r w:rsidR="00ED5B8F" w:rsidRPr="00ED5B8F">
        <w:t>tand von Wissenschaft und Technik</w:t>
      </w:r>
      <w:r w:rsidR="00ED5B8F">
        <w:t xml:space="preserve">“ </w:t>
      </w:r>
      <w:r w:rsidR="002A7B67">
        <w:t>ist jedenfalls immer dann zu berücksichtigen, wenn dieser Stand in der Realität auch tatsächlich und nicht nur theoretisch anwendbar ist.</w:t>
      </w:r>
    </w:p>
    <w:p w14:paraId="1AC6DDAB" w14:textId="26AB7FA7" w:rsidR="00AE4AEB" w:rsidRPr="002A7B67" w:rsidRDefault="00AE4AEB" w:rsidP="002A7B67">
      <w:r>
        <w:t>Letztlich wird man auch de</w:t>
      </w:r>
      <w:r w:rsidR="00E87699">
        <w:t>n</w:t>
      </w:r>
      <w:r>
        <w:t xml:space="preserve"> Schutzbedarf der Daten berücksichtigen müssen</w:t>
      </w:r>
      <w:r w:rsidR="008D10FC">
        <w:t xml:space="preserve">. Wie es schon im </w:t>
      </w:r>
      <w:r w:rsidR="008D10FC" w:rsidRPr="008D10FC">
        <w:t xml:space="preserve">Handbuch der </w:t>
      </w:r>
      <w:r w:rsidR="008D10FC" w:rsidRPr="004832F9">
        <w:t xml:space="preserve">Rechtsförmlichkeit </w:t>
      </w:r>
      <w:r w:rsidR="008D10FC">
        <w:t xml:space="preserve">des </w:t>
      </w:r>
      <w:r w:rsidR="008D10FC" w:rsidRPr="004832F9">
        <w:t>BMJ</w:t>
      </w:r>
      <w:r w:rsidR="008D10FC">
        <w:t xml:space="preserve"> heißt, </w:t>
      </w:r>
      <w:r w:rsidR="008D10FC" w:rsidRPr="008D10FC">
        <w:t xml:space="preserve">richtet sich </w:t>
      </w:r>
      <w:r w:rsidR="008D10FC">
        <w:t xml:space="preserve">die Auswahl der zu wählenden Stufe einerseits </w:t>
      </w:r>
      <w:r w:rsidR="008D10FC" w:rsidRPr="008D10FC">
        <w:t xml:space="preserve">nach dem Gefährdungspotenzial und </w:t>
      </w:r>
      <w:r w:rsidR="008D10FC">
        <w:t xml:space="preserve">andererseits </w:t>
      </w:r>
      <w:r w:rsidR="008D10FC" w:rsidRPr="008D10FC">
        <w:t>nach der technischen Beherrschbarkeit dieses Gefährdungspotenzials.</w:t>
      </w:r>
      <w:r w:rsidR="008D10FC">
        <w:t xml:space="preserve"> Somit kann man festhalten</w:t>
      </w:r>
      <w:r>
        <w:t xml:space="preserve">: Je höher der </w:t>
      </w:r>
      <w:r w:rsidR="008D10FC">
        <w:t>S</w:t>
      </w:r>
      <w:r>
        <w:t xml:space="preserve">chutzbedarf der </w:t>
      </w:r>
      <w:r w:rsidR="008D10FC">
        <w:t>zu anonymisierenden D</w:t>
      </w:r>
      <w:r>
        <w:t>aten eingestuft werden muss, desto eher ist bei der Bewertung der Anonymität wahrscheinlich auch „Stand der Wissenschaft“ resp. „S</w:t>
      </w:r>
      <w:r w:rsidRPr="00ED5B8F">
        <w:t>tand von Wissenschaft und Technik</w:t>
      </w:r>
      <w:r>
        <w:t>“ zu berücksichtigen.</w:t>
      </w:r>
    </w:p>
    <w:p w14:paraId="624091F7" w14:textId="04B2505B" w:rsidR="006B7547" w:rsidRDefault="004F79DB" w:rsidP="004F79DB">
      <w:pPr>
        <w:pStyle w:val="berschrift2"/>
      </w:pPr>
      <w:bookmarkStart w:id="236" w:name="_Toc154652674"/>
      <w:r>
        <w:t xml:space="preserve">Werden Quantencomputer und </w:t>
      </w:r>
      <w:r w:rsidRPr="004832F9">
        <w:t>Quantenkryptographie</w:t>
      </w:r>
      <w:r>
        <w:t xml:space="preserve"> eine Bewertung hinsichtlich Anonymisierung oder Pseudonymisierung beeinflussen?</w:t>
      </w:r>
      <w:bookmarkEnd w:id="236"/>
    </w:p>
    <w:p w14:paraId="55D11401" w14:textId="2DE809C0" w:rsidR="004F79DB" w:rsidRDefault="004F79DB" w:rsidP="006330C9">
      <w:r>
        <w:t xml:space="preserve">Dies hängt </w:t>
      </w:r>
      <w:r w:rsidR="005B1D56">
        <w:t xml:space="preserve">von den verwendeten </w:t>
      </w:r>
      <w:r>
        <w:t>Anonymisierung</w:t>
      </w:r>
      <w:r w:rsidR="00E87699">
        <w:t>s</w:t>
      </w:r>
      <w:r w:rsidR="005B1D56">
        <w:t>-</w:t>
      </w:r>
      <w:r>
        <w:t xml:space="preserve"> bzw. </w:t>
      </w:r>
      <w:r w:rsidRPr="004832F9">
        <w:t>Pseudonymisierung</w:t>
      </w:r>
      <w:r w:rsidR="00E87699">
        <w:t>s</w:t>
      </w:r>
      <w:r w:rsidR="005B1D56" w:rsidRPr="004832F9">
        <w:t>methoden</w:t>
      </w:r>
      <w:r w:rsidR="005B1D56">
        <w:t xml:space="preserve"> ab</w:t>
      </w:r>
      <w:r>
        <w:t xml:space="preserve">. </w:t>
      </w:r>
      <w:r w:rsidR="005B1D56">
        <w:t>E</w:t>
      </w:r>
      <w:r>
        <w:t xml:space="preserve">in Quantencomputer </w:t>
      </w:r>
      <w:r w:rsidR="005B1D56">
        <w:t xml:space="preserve">erhöht zunächst </w:t>
      </w:r>
      <w:r>
        <w:t>„nur“ die Rechenleistung deutlich. Insbesondere rechenintensive Schutzmaßnahmen werden also von der Tatsache, dass Quantencomputer eingesetzt werden, beeinträchtigt.</w:t>
      </w:r>
    </w:p>
    <w:p w14:paraId="718A0253" w14:textId="4EB9AD0B" w:rsidR="004F79DB" w:rsidRDefault="004F79DB" w:rsidP="004F79DB">
      <w:r>
        <w:t xml:space="preserve">Dies trifft auch auf </w:t>
      </w:r>
      <w:r w:rsidRPr="004832F9">
        <w:t>kryptographische</w:t>
      </w:r>
      <w:r>
        <w:t xml:space="preserve"> Verfahren</w:t>
      </w:r>
      <w:r w:rsidR="00A64241">
        <w:t xml:space="preserve"> zu</w:t>
      </w:r>
      <w:r>
        <w:t>. Die gerade online sehr stark eingesetzten Public-Key-Verfahren</w:t>
      </w:r>
      <w:r w:rsidR="0072629C">
        <w:rPr>
          <w:rStyle w:val="Funotenzeichen"/>
        </w:rPr>
        <w:footnoteReference w:id="141"/>
      </w:r>
      <w:r>
        <w:t xml:space="preserve"> sind Methoden der asymmetrischen Kryptografie. Asymmetrische Methoden beruhen wesentlich auf der angenommenen Schwierigkeit bestimmter mathematischer Probleme, wie beispielsweise dem Problem, eine natürliche Zahl in ihre Primfaktoren zu zerlegen. </w:t>
      </w:r>
      <w:r w:rsidR="00723031">
        <w:t>Die Sicherheit dieser Verfahren w</w:t>
      </w:r>
      <w:r w:rsidR="00A64241">
        <w:t>i</w:t>
      </w:r>
      <w:r w:rsidR="00723031">
        <w:t>rd von der Verfügbarkeit von Quantencomputern entsprechend be</w:t>
      </w:r>
      <w:r w:rsidR="00A64241">
        <w:t>einträchtigt</w:t>
      </w:r>
      <w:r w:rsidR="00723031">
        <w:t xml:space="preserve">. </w:t>
      </w:r>
      <w:r>
        <w:t xml:space="preserve">Symmetrische kryptografische Algorithmen wiederum sind aufgrund ihrer Nichtlinearität nur mit hohem Aufwand in einem Quantencomputerschaltkreis abbildbar, </w:t>
      </w:r>
      <w:r w:rsidR="00D102B5">
        <w:t>sie sind</w:t>
      </w:r>
      <w:r>
        <w:t xml:space="preserve"> also von der Verfügbarkeit von Quantencomputern deutlich weniger </w:t>
      </w:r>
      <w:r w:rsidR="0072629C">
        <w:t>betroffen</w:t>
      </w:r>
      <w:r>
        <w:t>.</w:t>
      </w:r>
    </w:p>
    <w:p w14:paraId="48F4852C" w14:textId="7EEE2B1C" w:rsidR="004F79DB" w:rsidRDefault="004F79DB" w:rsidP="004F79DB">
      <w:r>
        <w:t xml:space="preserve">Letztlich kann es hier keine allgemeingültige Antwort auf diese Frage geben, sondern </w:t>
      </w:r>
      <w:r w:rsidR="0072629C">
        <w:t>es</w:t>
      </w:r>
      <w:r>
        <w:t xml:space="preserve"> m</w:t>
      </w:r>
      <w:r w:rsidR="0072629C">
        <w:t>ü</w:t>
      </w:r>
      <w:r>
        <w:t>ss</w:t>
      </w:r>
      <w:r w:rsidR="0072629C">
        <w:t>en</w:t>
      </w:r>
      <w:r>
        <w:t xml:space="preserve"> die jeweils eingesetzten </w:t>
      </w:r>
      <w:r w:rsidR="0072629C">
        <w:t>V</w:t>
      </w:r>
      <w:r>
        <w:t>erfahren betrachte</w:t>
      </w:r>
      <w:r w:rsidR="0072629C">
        <w:t>t werde</w:t>
      </w:r>
      <w:r>
        <w:t xml:space="preserve">n. Das </w:t>
      </w:r>
      <w:r w:rsidRPr="004F79DB">
        <w:t xml:space="preserve">Bundesamt für Sicherheit in der Informationstechnik </w:t>
      </w:r>
      <w:r>
        <w:t>(</w:t>
      </w:r>
      <w:r w:rsidRPr="004F79DB">
        <w:t>BSI</w:t>
      </w:r>
      <w:r>
        <w:t>)</w:t>
      </w:r>
      <w:r w:rsidRPr="004F79DB">
        <w:t xml:space="preserve"> veröffentlicht</w:t>
      </w:r>
      <w:r>
        <w:t>e 2021 einen</w:t>
      </w:r>
      <w:r w:rsidRPr="004F79DB">
        <w:t xml:space="preserve"> Leitfaden</w:t>
      </w:r>
      <w:r>
        <w:rPr>
          <w:rStyle w:val="Funotenzeichen"/>
        </w:rPr>
        <w:footnoteReference w:id="142"/>
      </w:r>
      <w:r w:rsidRPr="004F79DB">
        <w:t xml:space="preserve"> zum </w:t>
      </w:r>
      <w:r>
        <w:t>damal</w:t>
      </w:r>
      <w:r w:rsidR="0072629C">
        <w:t>igen</w:t>
      </w:r>
      <w:r>
        <w:t xml:space="preserve"> </w:t>
      </w:r>
      <w:r w:rsidRPr="004F79DB">
        <w:t>aktuellen Stand der quantensicheren Kryptografie</w:t>
      </w:r>
      <w:r>
        <w:t xml:space="preserve"> und im Kapitel 6 werden auch Handlungsempfehlungen gegeben; bei entsprechenden Fragestellungen, wie sie beispielsweise </w:t>
      </w:r>
      <w:r w:rsidR="0072629C">
        <w:t xml:space="preserve">auch </w:t>
      </w:r>
      <w:r>
        <w:t>bei der Betrachtung langjährige</w:t>
      </w:r>
      <w:r w:rsidR="0072629C">
        <w:t>r</w:t>
      </w:r>
      <w:r>
        <w:t xml:space="preserve"> Forschungsprojekte gestellt werden müssen, wird empfohlen, diesen Leitfaden des BSI als Einstieg in das Thema „quantensichere </w:t>
      </w:r>
      <w:r w:rsidRPr="004832F9">
        <w:t>Kryptographie</w:t>
      </w:r>
      <w:r>
        <w:t>“ zu nutzen.</w:t>
      </w:r>
    </w:p>
    <w:p w14:paraId="2A73481A" w14:textId="77777777" w:rsidR="004F79DB" w:rsidRPr="006330C9" w:rsidRDefault="004F79DB" w:rsidP="006330C9"/>
    <w:p w14:paraId="618BC8AB" w14:textId="77777777" w:rsidR="00F7250D" w:rsidRDefault="00F7250D">
      <w:pPr>
        <w:spacing w:after="0" w:line="240" w:lineRule="auto"/>
        <w:jc w:val="left"/>
        <w:rPr>
          <w:rFonts w:asciiTheme="majorHAnsi" w:eastAsiaTheme="majorEastAsia" w:hAnsiTheme="majorHAnsi" w:cstheme="majorBidi"/>
          <w:b/>
          <w:bCs/>
          <w:color w:val="365F91" w:themeColor="accent1" w:themeShade="BF"/>
          <w:sz w:val="28"/>
          <w:szCs w:val="28"/>
        </w:rPr>
      </w:pPr>
      <w:r>
        <w:br w:type="page"/>
      </w:r>
    </w:p>
    <w:p w14:paraId="56CD82D7" w14:textId="10B3ECB0" w:rsidR="00AE4EA7" w:rsidRDefault="00000000">
      <w:pPr>
        <w:pStyle w:val="berschrift1"/>
      </w:pPr>
      <w:bookmarkStart w:id="237" w:name="_Toc154652675"/>
      <w:r>
        <w:t>Checkliste</w:t>
      </w:r>
      <w:bookmarkEnd w:id="237"/>
    </w:p>
    <w:p w14:paraId="77538DED" w14:textId="613E6E64" w:rsidR="00216B82" w:rsidRDefault="00216B82">
      <w:pPr>
        <w:pStyle w:val="berschrift2"/>
      </w:pPr>
      <w:bookmarkStart w:id="238" w:name="_Toc154652676"/>
      <w:r>
        <w:t>Rechtliche Anforderungen</w:t>
      </w:r>
      <w:bookmarkEnd w:id="238"/>
    </w:p>
    <w:tbl>
      <w:tblPr>
        <w:tblStyle w:val="Tabellenraster"/>
        <w:tblW w:w="9096" w:type="dxa"/>
        <w:tblLayout w:type="fixed"/>
        <w:tblLook w:val="04A0" w:firstRow="1" w:lastRow="0" w:firstColumn="1" w:lastColumn="0" w:noHBand="0" w:noVBand="1"/>
      </w:tblPr>
      <w:tblGrid>
        <w:gridCol w:w="5916"/>
        <w:gridCol w:w="1590"/>
        <w:gridCol w:w="1590"/>
      </w:tblGrid>
      <w:tr w:rsidR="00216B82" w14:paraId="398969EA" w14:textId="77777777" w:rsidTr="00711A69">
        <w:tc>
          <w:tcPr>
            <w:tcW w:w="5916" w:type="dxa"/>
          </w:tcPr>
          <w:p w14:paraId="0E819B1E" w14:textId="77777777" w:rsidR="00216B82" w:rsidRDefault="00216B82" w:rsidP="00711A69">
            <w:pPr>
              <w:widowControl w:val="0"/>
              <w:spacing w:after="0" w:line="240" w:lineRule="auto"/>
              <w:jc w:val="center"/>
              <w:rPr>
                <w:b/>
              </w:rPr>
            </w:pPr>
            <w:r>
              <w:rPr>
                <w:rFonts w:eastAsia="Calibri"/>
                <w:b/>
              </w:rPr>
              <w:t>Anforderung</w:t>
            </w:r>
          </w:p>
        </w:tc>
        <w:tc>
          <w:tcPr>
            <w:tcW w:w="1590" w:type="dxa"/>
          </w:tcPr>
          <w:p w14:paraId="1D28941C" w14:textId="77777777" w:rsidR="00216B82" w:rsidRDefault="00216B82" w:rsidP="00711A69">
            <w:pPr>
              <w:widowControl w:val="0"/>
              <w:spacing w:after="0" w:line="240" w:lineRule="auto"/>
              <w:jc w:val="center"/>
              <w:rPr>
                <w:b/>
              </w:rPr>
            </w:pPr>
            <w:r>
              <w:rPr>
                <w:rFonts w:eastAsia="Calibri"/>
                <w:b/>
              </w:rPr>
              <w:t>Erfüllt</w:t>
            </w:r>
          </w:p>
        </w:tc>
        <w:tc>
          <w:tcPr>
            <w:tcW w:w="1590" w:type="dxa"/>
          </w:tcPr>
          <w:p w14:paraId="38C6B137" w14:textId="77777777" w:rsidR="00216B82" w:rsidRDefault="00216B82" w:rsidP="00711A69">
            <w:pPr>
              <w:widowControl w:val="0"/>
              <w:spacing w:after="0" w:line="240" w:lineRule="auto"/>
              <w:jc w:val="center"/>
              <w:rPr>
                <w:b/>
              </w:rPr>
            </w:pPr>
            <w:r>
              <w:rPr>
                <w:rFonts w:eastAsia="Calibri"/>
                <w:b/>
              </w:rPr>
              <w:t xml:space="preserve">Nicht </w:t>
            </w:r>
            <w:r w:rsidRPr="004832F9">
              <w:rPr>
                <w:rFonts w:eastAsia="Calibri"/>
                <w:b/>
              </w:rPr>
              <w:t>erfüllt</w:t>
            </w:r>
          </w:p>
        </w:tc>
      </w:tr>
      <w:tr w:rsidR="00216B82" w14:paraId="439D8543" w14:textId="77777777" w:rsidTr="00711A69">
        <w:tc>
          <w:tcPr>
            <w:tcW w:w="5916" w:type="dxa"/>
          </w:tcPr>
          <w:p w14:paraId="07835360" w14:textId="57F44449" w:rsidR="00216B82" w:rsidRDefault="00216B82" w:rsidP="00711A69">
            <w:pPr>
              <w:widowControl w:val="0"/>
              <w:spacing w:after="0" w:line="240" w:lineRule="auto"/>
              <w:rPr>
                <w:rFonts w:ascii="Calibri" w:eastAsia="Calibri" w:hAnsi="Calibri"/>
              </w:rPr>
            </w:pPr>
            <w:r>
              <w:rPr>
                <w:rFonts w:ascii="Calibri" w:eastAsia="Calibri" w:hAnsi="Calibri"/>
              </w:rPr>
              <w:t xml:space="preserve">Der Verarbeitungszweck, für welchen die Anonymisierung erfolgen soll, wurde </w:t>
            </w:r>
            <w:r w:rsidRPr="004832F9">
              <w:rPr>
                <w:rFonts w:ascii="Calibri" w:eastAsia="Calibri" w:hAnsi="Calibri"/>
              </w:rPr>
              <w:t>festgelegt</w:t>
            </w:r>
          </w:p>
        </w:tc>
        <w:tc>
          <w:tcPr>
            <w:tcW w:w="1590" w:type="dxa"/>
          </w:tcPr>
          <w:p w14:paraId="54224930" w14:textId="77777777" w:rsidR="00216B82" w:rsidRDefault="00216B82" w:rsidP="00711A69">
            <w:pPr>
              <w:widowControl w:val="0"/>
              <w:spacing w:after="0" w:line="240" w:lineRule="auto"/>
              <w:rPr>
                <w:rFonts w:ascii="Calibri" w:eastAsia="Calibri" w:hAnsi="Calibri"/>
              </w:rPr>
            </w:pPr>
          </w:p>
        </w:tc>
        <w:tc>
          <w:tcPr>
            <w:tcW w:w="1590" w:type="dxa"/>
          </w:tcPr>
          <w:p w14:paraId="425EA2EF" w14:textId="77777777" w:rsidR="00216B82" w:rsidRDefault="00216B82" w:rsidP="00711A69">
            <w:pPr>
              <w:widowControl w:val="0"/>
              <w:spacing w:after="0" w:line="240" w:lineRule="auto"/>
              <w:rPr>
                <w:rFonts w:ascii="Calibri" w:eastAsia="Calibri" w:hAnsi="Calibri"/>
              </w:rPr>
            </w:pPr>
          </w:p>
        </w:tc>
      </w:tr>
      <w:tr w:rsidR="00216B82" w14:paraId="5709513C" w14:textId="77777777" w:rsidTr="00711A69">
        <w:tc>
          <w:tcPr>
            <w:tcW w:w="5916" w:type="dxa"/>
          </w:tcPr>
          <w:p w14:paraId="67B1152A" w14:textId="74AD316A" w:rsidR="00216B82" w:rsidRDefault="00216B82" w:rsidP="00711A69">
            <w:pPr>
              <w:widowControl w:val="0"/>
              <w:spacing w:after="0" w:line="240" w:lineRule="auto"/>
              <w:rPr>
                <w:rFonts w:ascii="Calibri" w:eastAsia="Calibri" w:hAnsi="Calibri"/>
              </w:rPr>
            </w:pPr>
            <w:r>
              <w:rPr>
                <w:rFonts w:ascii="Calibri" w:eastAsia="Calibri" w:hAnsi="Calibri"/>
              </w:rPr>
              <w:t>Darstellung der Rechtsgrundlage für die Anonymisierung/Pseudonymisierung</w:t>
            </w:r>
          </w:p>
        </w:tc>
        <w:tc>
          <w:tcPr>
            <w:tcW w:w="1590" w:type="dxa"/>
          </w:tcPr>
          <w:p w14:paraId="0F85E053" w14:textId="77777777" w:rsidR="00216B82" w:rsidRDefault="00216B82" w:rsidP="00711A69">
            <w:pPr>
              <w:widowControl w:val="0"/>
              <w:spacing w:after="0" w:line="240" w:lineRule="auto"/>
              <w:rPr>
                <w:rFonts w:ascii="Calibri" w:eastAsia="Calibri" w:hAnsi="Calibri"/>
              </w:rPr>
            </w:pPr>
          </w:p>
        </w:tc>
        <w:tc>
          <w:tcPr>
            <w:tcW w:w="1590" w:type="dxa"/>
          </w:tcPr>
          <w:p w14:paraId="1DFB917E" w14:textId="77777777" w:rsidR="00216B82" w:rsidRDefault="00216B82" w:rsidP="00711A69">
            <w:pPr>
              <w:widowControl w:val="0"/>
              <w:spacing w:after="0" w:line="240" w:lineRule="auto"/>
              <w:rPr>
                <w:rFonts w:ascii="Calibri" w:eastAsia="Calibri" w:hAnsi="Calibri"/>
              </w:rPr>
            </w:pPr>
          </w:p>
        </w:tc>
      </w:tr>
      <w:tr w:rsidR="00216B82" w14:paraId="73B34F4B" w14:textId="77777777" w:rsidTr="00711A69">
        <w:tc>
          <w:tcPr>
            <w:tcW w:w="5916" w:type="dxa"/>
          </w:tcPr>
          <w:p w14:paraId="045FD8CF" w14:textId="14F91C6D" w:rsidR="00216B82" w:rsidRDefault="00216B82" w:rsidP="00711A69">
            <w:pPr>
              <w:widowControl w:val="0"/>
              <w:spacing w:after="0" w:line="240" w:lineRule="auto"/>
              <w:rPr>
                <w:rFonts w:ascii="Calibri" w:eastAsia="Calibri" w:hAnsi="Calibri"/>
              </w:rPr>
            </w:pPr>
            <w:r>
              <w:rPr>
                <w:rFonts w:ascii="Calibri" w:eastAsia="Calibri" w:hAnsi="Calibri"/>
              </w:rPr>
              <w:t>Gewährleistung der Informationspflichten nach Art. 13/14 DS-GVO unter Beachtung des Transparenzgebotes von Art. 12 DS-GVO</w:t>
            </w:r>
          </w:p>
        </w:tc>
        <w:tc>
          <w:tcPr>
            <w:tcW w:w="1590" w:type="dxa"/>
          </w:tcPr>
          <w:p w14:paraId="6C0D352B" w14:textId="77777777" w:rsidR="00216B82" w:rsidRDefault="00216B82" w:rsidP="00711A69">
            <w:pPr>
              <w:widowControl w:val="0"/>
              <w:spacing w:after="0" w:line="240" w:lineRule="auto"/>
              <w:rPr>
                <w:rFonts w:ascii="Calibri" w:eastAsia="Calibri" w:hAnsi="Calibri"/>
              </w:rPr>
            </w:pPr>
          </w:p>
        </w:tc>
        <w:tc>
          <w:tcPr>
            <w:tcW w:w="1590" w:type="dxa"/>
          </w:tcPr>
          <w:p w14:paraId="51BDA6C2" w14:textId="77777777" w:rsidR="00216B82" w:rsidRDefault="00216B82" w:rsidP="00711A69">
            <w:pPr>
              <w:widowControl w:val="0"/>
              <w:spacing w:after="0" w:line="240" w:lineRule="auto"/>
              <w:rPr>
                <w:rFonts w:ascii="Calibri" w:eastAsia="Calibri" w:hAnsi="Calibri"/>
              </w:rPr>
            </w:pPr>
          </w:p>
        </w:tc>
      </w:tr>
      <w:tr w:rsidR="00216B82" w14:paraId="45ABA5E2" w14:textId="77777777" w:rsidTr="00711A69">
        <w:tc>
          <w:tcPr>
            <w:tcW w:w="5916" w:type="dxa"/>
          </w:tcPr>
          <w:p w14:paraId="2213ED79" w14:textId="43715B08" w:rsidR="00216B82" w:rsidRDefault="00216B82" w:rsidP="00711A69">
            <w:pPr>
              <w:widowControl w:val="0"/>
              <w:spacing w:after="0" w:line="240" w:lineRule="auto"/>
              <w:rPr>
                <w:rFonts w:ascii="Calibri" w:eastAsia="Calibri" w:hAnsi="Calibri"/>
              </w:rPr>
            </w:pPr>
            <w:r>
              <w:rPr>
                <w:rFonts w:ascii="Calibri" w:eastAsia="Calibri" w:hAnsi="Calibri"/>
              </w:rPr>
              <w:t xml:space="preserve">Bei Zweckänderung: Information betroffener Personen gemäß Art. 13 Abs. 3 bzw. Art. 14 Abs. 4 DS-GVO </w:t>
            </w:r>
            <w:r w:rsidRPr="00216B82">
              <w:rPr>
                <w:rFonts w:ascii="Calibri" w:eastAsia="Calibri" w:hAnsi="Calibri"/>
                <w:u w:val="single"/>
              </w:rPr>
              <w:t>vor</w:t>
            </w:r>
            <w:r>
              <w:rPr>
                <w:rFonts w:ascii="Calibri" w:eastAsia="Calibri" w:hAnsi="Calibri"/>
              </w:rPr>
              <w:t xml:space="preserve"> Beginn der Verarbeitung</w:t>
            </w:r>
          </w:p>
        </w:tc>
        <w:tc>
          <w:tcPr>
            <w:tcW w:w="1590" w:type="dxa"/>
          </w:tcPr>
          <w:p w14:paraId="718A0AAE" w14:textId="77777777" w:rsidR="00216B82" w:rsidRDefault="00216B82" w:rsidP="00711A69">
            <w:pPr>
              <w:widowControl w:val="0"/>
              <w:spacing w:after="0" w:line="240" w:lineRule="auto"/>
              <w:rPr>
                <w:rFonts w:ascii="Calibri" w:eastAsia="Calibri" w:hAnsi="Calibri"/>
              </w:rPr>
            </w:pPr>
          </w:p>
        </w:tc>
        <w:tc>
          <w:tcPr>
            <w:tcW w:w="1590" w:type="dxa"/>
          </w:tcPr>
          <w:p w14:paraId="57C8993D" w14:textId="77777777" w:rsidR="00216B82" w:rsidRDefault="00216B82" w:rsidP="00711A69">
            <w:pPr>
              <w:widowControl w:val="0"/>
              <w:spacing w:after="0" w:line="240" w:lineRule="auto"/>
              <w:rPr>
                <w:rFonts w:ascii="Calibri" w:eastAsia="Calibri" w:hAnsi="Calibri"/>
              </w:rPr>
            </w:pPr>
          </w:p>
        </w:tc>
      </w:tr>
      <w:tr w:rsidR="00216B82" w14:paraId="5232D019" w14:textId="77777777" w:rsidTr="00711A69">
        <w:tc>
          <w:tcPr>
            <w:tcW w:w="5916" w:type="dxa"/>
          </w:tcPr>
          <w:p w14:paraId="65923F00" w14:textId="7274ECD2" w:rsidR="00216B82" w:rsidRDefault="00216B82" w:rsidP="00711A69">
            <w:pPr>
              <w:widowControl w:val="0"/>
              <w:spacing w:after="0" w:line="240" w:lineRule="auto"/>
              <w:rPr>
                <w:rFonts w:ascii="Calibri" w:eastAsia="Calibri" w:hAnsi="Calibri"/>
              </w:rPr>
            </w:pPr>
            <w:r>
              <w:rPr>
                <w:rFonts w:ascii="Calibri" w:eastAsia="Calibri" w:hAnsi="Calibri"/>
              </w:rPr>
              <w:t xml:space="preserve">Prüfung, ob Datenschutz-Folgenabschätzung erforderlich </w:t>
            </w:r>
            <w:r w:rsidRPr="004832F9">
              <w:rPr>
                <w:rFonts w:ascii="Calibri" w:eastAsia="Calibri" w:hAnsi="Calibri"/>
              </w:rPr>
              <w:t>ist</w:t>
            </w:r>
          </w:p>
        </w:tc>
        <w:tc>
          <w:tcPr>
            <w:tcW w:w="1590" w:type="dxa"/>
          </w:tcPr>
          <w:p w14:paraId="3687D32B" w14:textId="77777777" w:rsidR="00216B82" w:rsidRDefault="00216B82" w:rsidP="00711A69">
            <w:pPr>
              <w:widowControl w:val="0"/>
              <w:spacing w:after="0" w:line="240" w:lineRule="auto"/>
              <w:rPr>
                <w:rFonts w:ascii="Calibri" w:eastAsia="Calibri" w:hAnsi="Calibri"/>
              </w:rPr>
            </w:pPr>
          </w:p>
        </w:tc>
        <w:tc>
          <w:tcPr>
            <w:tcW w:w="1590" w:type="dxa"/>
          </w:tcPr>
          <w:p w14:paraId="13BCEF3E" w14:textId="77777777" w:rsidR="00216B82" w:rsidRDefault="00216B82" w:rsidP="00711A69">
            <w:pPr>
              <w:widowControl w:val="0"/>
              <w:spacing w:after="0" w:line="240" w:lineRule="auto"/>
              <w:rPr>
                <w:rFonts w:ascii="Calibri" w:eastAsia="Calibri" w:hAnsi="Calibri"/>
              </w:rPr>
            </w:pPr>
          </w:p>
        </w:tc>
      </w:tr>
      <w:tr w:rsidR="00216B82" w14:paraId="1AB02121" w14:textId="77777777" w:rsidTr="00711A69">
        <w:tc>
          <w:tcPr>
            <w:tcW w:w="5916" w:type="dxa"/>
          </w:tcPr>
          <w:p w14:paraId="1B6CBE30" w14:textId="2D814419" w:rsidR="00216B82" w:rsidRDefault="00216B82" w:rsidP="00711A69">
            <w:pPr>
              <w:widowControl w:val="0"/>
              <w:spacing w:after="0" w:line="240" w:lineRule="auto"/>
              <w:rPr>
                <w:rFonts w:ascii="Calibri" w:eastAsia="Calibri" w:hAnsi="Calibri"/>
              </w:rPr>
            </w:pPr>
            <w:r>
              <w:rPr>
                <w:rFonts w:ascii="Calibri" w:eastAsia="Calibri" w:hAnsi="Calibri"/>
              </w:rPr>
              <w:t xml:space="preserve">Datenschutz-Folgenabschätzung </w:t>
            </w:r>
            <w:r w:rsidRPr="004832F9">
              <w:rPr>
                <w:rFonts w:ascii="Calibri" w:eastAsia="Calibri" w:hAnsi="Calibri"/>
              </w:rPr>
              <w:t>durchgeführt</w:t>
            </w:r>
          </w:p>
        </w:tc>
        <w:tc>
          <w:tcPr>
            <w:tcW w:w="1590" w:type="dxa"/>
          </w:tcPr>
          <w:p w14:paraId="35C8FC5F" w14:textId="77777777" w:rsidR="00216B82" w:rsidRDefault="00216B82" w:rsidP="00711A69">
            <w:pPr>
              <w:widowControl w:val="0"/>
              <w:spacing w:after="0" w:line="240" w:lineRule="auto"/>
              <w:rPr>
                <w:rFonts w:ascii="Calibri" w:eastAsia="Calibri" w:hAnsi="Calibri"/>
              </w:rPr>
            </w:pPr>
          </w:p>
        </w:tc>
        <w:tc>
          <w:tcPr>
            <w:tcW w:w="1590" w:type="dxa"/>
          </w:tcPr>
          <w:p w14:paraId="7A86A68B" w14:textId="77777777" w:rsidR="00216B82" w:rsidRDefault="00216B82" w:rsidP="00711A69">
            <w:pPr>
              <w:widowControl w:val="0"/>
              <w:spacing w:after="0" w:line="240" w:lineRule="auto"/>
              <w:rPr>
                <w:rFonts w:ascii="Calibri" w:eastAsia="Calibri" w:hAnsi="Calibri"/>
              </w:rPr>
            </w:pPr>
          </w:p>
        </w:tc>
      </w:tr>
    </w:tbl>
    <w:p w14:paraId="2C2F3931" w14:textId="77777777" w:rsidR="00216B82" w:rsidRPr="00216B82" w:rsidRDefault="00216B82" w:rsidP="00216B82"/>
    <w:p w14:paraId="4EFA2BF2" w14:textId="149F1F7A" w:rsidR="00216B82" w:rsidRDefault="00216B82">
      <w:pPr>
        <w:pStyle w:val="berschrift2"/>
      </w:pPr>
      <w:bookmarkStart w:id="239" w:name="_Toc154652677"/>
      <w:r>
        <w:t>Inhaltliche Anforderungen</w:t>
      </w:r>
      <w:bookmarkEnd w:id="239"/>
    </w:p>
    <w:tbl>
      <w:tblPr>
        <w:tblStyle w:val="Tabellenraster"/>
        <w:tblW w:w="9096" w:type="dxa"/>
        <w:tblLayout w:type="fixed"/>
        <w:tblLook w:val="04A0" w:firstRow="1" w:lastRow="0" w:firstColumn="1" w:lastColumn="0" w:noHBand="0" w:noVBand="1"/>
      </w:tblPr>
      <w:tblGrid>
        <w:gridCol w:w="5916"/>
        <w:gridCol w:w="1590"/>
        <w:gridCol w:w="1590"/>
      </w:tblGrid>
      <w:tr w:rsidR="00216B82" w14:paraId="155CDAB1" w14:textId="77777777" w:rsidTr="00711A69">
        <w:tc>
          <w:tcPr>
            <w:tcW w:w="5916" w:type="dxa"/>
          </w:tcPr>
          <w:p w14:paraId="14297F2F" w14:textId="77777777" w:rsidR="00216B82" w:rsidRDefault="00216B82" w:rsidP="00711A69">
            <w:pPr>
              <w:widowControl w:val="0"/>
              <w:spacing w:after="0" w:line="240" w:lineRule="auto"/>
              <w:jc w:val="center"/>
              <w:rPr>
                <w:b/>
              </w:rPr>
            </w:pPr>
            <w:r>
              <w:rPr>
                <w:rFonts w:eastAsia="Calibri"/>
                <w:b/>
              </w:rPr>
              <w:t>Anforderung</w:t>
            </w:r>
          </w:p>
        </w:tc>
        <w:tc>
          <w:tcPr>
            <w:tcW w:w="1590" w:type="dxa"/>
          </w:tcPr>
          <w:p w14:paraId="1700DCAF" w14:textId="77777777" w:rsidR="00216B82" w:rsidRDefault="00216B82" w:rsidP="00711A69">
            <w:pPr>
              <w:widowControl w:val="0"/>
              <w:spacing w:after="0" w:line="240" w:lineRule="auto"/>
              <w:jc w:val="center"/>
              <w:rPr>
                <w:b/>
              </w:rPr>
            </w:pPr>
            <w:r>
              <w:rPr>
                <w:rFonts w:eastAsia="Calibri"/>
                <w:b/>
              </w:rPr>
              <w:t>Erfüllt</w:t>
            </w:r>
          </w:p>
        </w:tc>
        <w:tc>
          <w:tcPr>
            <w:tcW w:w="1590" w:type="dxa"/>
          </w:tcPr>
          <w:p w14:paraId="171ED84E" w14:textId="77777777" w:rsidR="00216B82" w:rsidRDefault="00216B82" w:rsidP="00711A69">
            <w:pPr>
              <w:widowControl w:val="0"/>
              <w:spacing w:after="0" w:line="240" w:lineRule="auto"/>
              <w:jc w:val="center"/>
              <w:rPr>
                <w:b/>
              </w:rPr>
            </w:pPr>
            <w:r>
              <w:rPr>
                <w:rFonts w:eastAsia="Calibri"/>
                <w:b/>
              </w:rPr>
              <w:t xml:space="preserve">Nicht </w:t>
            </w:r>
            <w:r w:rsidRPr="004832F9">
              <w:rPr>
                <w:rFonts w:eastAsia="Calibri"/>
                <w:b/>
              </w:rPr>
              <w:t>erfüllt</w:t>
            </w:r>
          </w:p>
        </w:tc>
      </w:tr>
      <w:tr w:rsidR="00216B82" w14:paraId="6C27D4F9" w14:textId="77777777" w:rsidTr="00711A69">
        <w:tc>
          <w:tcPr>
            <w:tcW w:w="5916" w:type="dxa"/>
          </w:tcPr>
          <w:p w14:paraId="263E6E2D" w14:textId="7D3FF088" w:rsidR="00216B82" w:rsidRDefault="00216B82" w:rsidP="00216B82">
            <w:pPr>
              <w:widowControl w:val="0"/>
              <w:spacing w:after="0" w:line="240" w:lineRule="auto"/>
              <w:rPr>
                <w:rFonts w:ascii="Calibri" w:eastAsia="Calibri" w:hAnsi="Calibri"/>
              </w:rPr>
            </w:pPr>
            <w:r>
              <w:rPr>
                <w:rFonts w:ascii="Calibri" w:eastAsia="Calibri" w:hAnsi="Calibri"/>
              </w:rPr>
              <w:t xml:space="preserve">Auswahl eines geeigneten Anonymisierungsverfahrens unter Berücksichtigung des Verwendungszweckes der anonymen Daten, </w:t>
            </w:r>
            <w:r w:rsidRPr="004C1658">
              <w:rPr>
                <w:rFonts w:ascii="Calibri" w:eastAsia="Calibri" w:hAnsi="Calibri"/>
              </w:rPr>
              <w:t>z.</w:t>
            </w:r>
            <w:r w:rsidR="004C1658" w:rsidRPr="004C1658">
              <w:rPr>
                <w:rFonts w:ascii="Calibri" w:eastAsia="Calibri" w:hAnsi="Calibri"/>
              </w:rPr>
              <w:t> </w:t>
            </w:r>
            <w:r w:rsidRPr="004C1658">
              <w:rPr>
                <w:rFonts w:ascii="Calibri" w:eastAsia="Calibri" w:hAnsi="Calibri"/>
              </w:rPr>
              <w:t>B.</w:t>
            </w:r>
            <w:r>
              <w:rPr>
                <w:rFonts w:ascii="Calibri" w:eastAsia="Calibri" w:hAnsi="Calibri"/>
              </w:rPr>
              <w:t xml:space="preserve"> ob statistische Aussagen nach Anonymisierung erhalten </w:t>
            </w:r>
            <w:r w:rsidRPr="004C1658">
              <w:rPr>
                <w:rFonts w:ascii="Calibri" w:eastAsia="Calibri" w:hAnsi="Calibri"/>
              </w:rPr>
              <w:t>bleiben</w:t>
            </w:r>
            <w:r w:rsidR="00027508">
              <w:rPr>
                <w:rFonts w:ascii="Calibri" w:eastAsia="Calibri" w:hAnsi="Calibri"/>
              </w:rPr>
              <w:t>.</w:t>
            </w:r>
          </w:p>
        </w:tc>
        <w:tc>
          <w:tcPr>
            <w:tcW w:w="1590" w:type="dxa"/>
          </w:tcPr>
          <w:p w14:paraId="44157ED4" w14:textId="77777777" w:rsidR="00216B82" w:rsidRDefault="00216B82" w:rsidP="00216B82">
            <w:pPr>
              <w:widowControl w:val="0"/>
              <w:spacing w:after="0" w:line="240" w:lineRule="auto"/>
              <w:rPr>
                <w:rFonts w:ascii="Calibri" w:eastAsia="Calibri" w:hAnsi="Calibri"/>
              </w:rPr>
            </w:pPr>
          </w:p>
        </w:tc>
        <w:tc>
          <w:tcPr>
            <w:tcW w:w="1590" w:type="dxa"/>
          </w:tcPr>
          <w:p w14:paraId="07AF53A0" w14:textId="77777777" w:rsidR="00216B82" w:rsidRDefault="00216B82" w:rsidP="00216B82">
            <w:pPr>
              <w:widowControl w:val="0"/>
              <w:spacing w:after="0" w:line="240" w:lineRule="auto"/>
              <w:rPr>
                <w:rFonts w:ascii="Calibri" w:eastAsia="Calibri" w:hAnsi="Calibri"/>
              </w:rPr>
            </w:pPr>
          </w:p>
        </w:tc>
      </w:tr>
      <w:tr w:rsidR="00216B82" w14:paraId="2A036452" w14:textId="77777777" w:rsidTr="00711A69">
        <w:tc>
          <w:tcPr>
            <w:tcW w:w="5916" w:type="dxa"/>
          </w:tcPr>
          <w:p w14:paraId="4CBDCADD" w14:textId="1E128567" w:rsidR="00216B82" w:rsidRDefault="00216B82" w:rsidP="00216B82">
            <w:pPr>
              <w:widowControl w:val="0"/>
              <w:spacing w:after="0" w:line="240" w:lineRule="auto"/>
              <w:rPr>
                <w:rFonts w:ascii="Calibri" w:eastAsia="Calibri" w:hAnsi="Calibri"/>
              </w:rPr>
            </w:pPr>
            <w:r>
              <w:rPr>
                <w:rFonts w:ascii="Calibri" w:eastAsia="Calibri" w:hAnsi="Calibri"/>
              </w:rPr>
              <w:t xml:space="preserve">Dokumentation </w:t>
            </w:r>
            <w:r w:rsidR="004F4854">
              <w:rPr>
                <w:rFonts w:ascii="Calibri" w:eastAsia="Calibri" w:hAnsi="Calibri"/>
              </w:rPr>
              <w:t xml:space="preserve">zur </w:t>
            </w:r>
            <w:r>
              <w:rPr>
                <w:rFonts w:ascii="Calibri" w:eastAsia="Calibri" w:hAnsi="Calibri"/>
              </w:rPr>
              <w:t xml:space="preserve">Darstellung und zum Nachweis eines ordnungsgemäßen Verfahrens der Anonymisierung veranlasst und </w:t>
            </w:r>
            <w:r w:rsidRPr="004C1658">
              <w:rPr>
                <w:rFonts w:ascii="Calibri" w:eastAsia="Calibri" w:hAnsi="Calibri"/>
              </w:rPr>
              <w:t>begonnen</w:t>
            </w:r>
            <w:r w:rsidR="00027508">
              <w:rPr>
                <w:rFonts w:ascii="Calibri" w:eastAsia="Calibri" w:hAnsi="Calibri"/>
              </w:rPr>
              <w:t>.</w:t>
            </w:r>
          </w:p>
        </w:tc>
        <w:tc>
          <w:tcPr>
            <w:tcW w:w="1590" w:type="dxa"/>
          </w:tcPr>
          <w:p w14:paraId="281C679D" w14:textId="77777777" w:rsidR="00216B82" w:rsidRDefault="00216B82" w:rsidP="00216B82">
            <w:pPr>
              <w:widowControl w:val="0"/>
              <w:spacing w:after="0" w:line="240" w:lineRule="auto"/>
              <w:rPr>
                <w:rFonts w:ascii="Calibri" w:eastAsia="Calibri" w:hAnsi="Calibri"/>
              </w:rPr>
            </w:pPr>
          </w:p>
        </w:tc>
        <w:tc>
          <w:tcPr>
            <w:tcW w:w="1590" w:type="dxa"/>
          </w:tcPr>
          <w:p w14:paraId="64BFB804" w14:textId="77777777" w:rsidR="00216B82" w:rsidRDefault="00216B82" w:rsidP="00216B82">
            <w:pPr>
              <w:widowControl w:val="0"/>
              <w:spacing w:after="0" w:line="240" w:lineRule="auto"/>
              <w:rPr>
                <w:rFonts w:ascii="Calibri" w:eastAsia="Calibri" w:hAnsi="Calibri"/>
              </w:rPr>
            </w:pPr>
          </w:p>
        </w:tc>
      </w:tr>
      <w:tr w:rsidR="00216B82" w14:paraId="2CEB3712" w14:textId="77777777" w:rsidTr="00711A69">
        <w:tc>
          <w:tcPr>
            <w:tcW w:w="5916" w:type="dxa"/>
          </w:tcPr>
          <w:p w14:paraId="5B190830" w14:textId="209CEC8E" w:rsidR="00216B82" w:rsidRDefault="00216B82" w:rsidP="00216B82">
            <w:pPr>
              <w:widowControl w:val="0"/>
              <w:spacing w:after="0" w:line="240" w:lineRule="auto"/>
              <w:rPr>
                <w:rFonts w:ascii="Calibri" w:eastAsia="Calibri" w:hAnsi="Calibri"/>
              </w:rPr>
            </w:pPr>
            <w:r>
              <w:rPr>
                <w:rFonts w:ascii="Calibri" w:eastAsia="Calibri" w:hAnsi="Calibri"/>
              </w:rPr>
              <w:t xml:space="preserve">Es wurden Kennzahlen zur Bestimmung der Güte des Ergebnisses ausgewählt und einzuhaltende Mindestvorgaben für die Kennzahlen </w:t>
            </w:r>
            <w:r w:rsidRPr="004C1658">
              <w:rPr>
                <w:rFonts w:ascii="Calibri" w:eastAsia="Calibri" w:hAnsi="Calibri"/>
              </w:rPr>
              <w:t>festgelegt</w:t>
            </w:r>
            <w:r w:rsidR="00027508">
              <w:rPr>
                <w:rFonts w:ascii="Calibri" w:eastAsia="Calibri" w:hAnsi="Calibri"/>
              </w:rPr>
              <w:t>.</w:t>
            </w:r>
          </w:p>
        </w:tc>
        <w:tc>
          <w:tcPr>
            <w:tcW w:w="1590" w:type="dxa"/>
          </w:tcPr>
          <w:p w14:paraId="6A5C0628" w14:textId="77777777" w:rsidR="00216B82" w:rsidRDefault="00216B82" w:rsidP="00216B82">
            <w:pPr>
              <w:widowControl w:val="0"/>
              <w:spacing w:after="0" w:line="240" w:lineRule="auto"/>
              <w:rPr>
                <w:rFonts w:ascii="Calibri" w:eastAsia="Calibri" w:hAnsi="Calibri"/>
              </w:rPr>
            </w:pPr>
          </w:p>
        </w:tc>
        <w:tc>
          <w:tcPr>
            <w:tcW w:w="1590" w:type="dxa"/>
          </w:tcPr>
          <w:p w14:paraId="67651BDF" w14:textId="77777777" w:rsidR="00216B82" w:rsidRDefault="00216B82" w:rsidP="00216B82">
            <w:pPr>
              <w:widowControl w:val="0"/>
              <w:spacing w:after="0" w:line="240" w:lineRule="auto"/>
              <w:rPr>
                <w:rFonts w:ascii="Calibri" w:eastAsia="Calibri" w:hAnsi="Calibri"/>
              </w:rPr>
            </w:pPr>
          </w:p>
        </w:tc>
      </w:tr>
      <w:tr w:rsidR="00216B82" w14:paraId="7045AAE1" w14:textId="77777777" w:rsidTr="00711A69">
        <w:tc>
          <w:tcPr>
            <w:tcW w:w="5916" w:type="dxa"/>
          </w:tcPr>
          <w:p w14:paraId="3F33DF62" w14:textId="6A6A7A46" w:rsidR="00216B82" w:rsidRDefault="00216B82" w:rsidP="00216B82">
            <w:pPr>
              <w:widowControl w:val="0"/>
              <w:spacing w:after="0" w:line="240" w:lineRule="auto"/>
              <w:rPr>
                <w:rFonts w:ascii="Calibri" w:eastAsia="Calibri" w:hAnsi="Calibri"/>
              </w:rPr>
            </w:pPr>
            <w:r>
              <w:rPr>
                <w:rFonts w:ascii="Calibri" w:eastAsia="Calibri" w:hAnsi="Calibri"/>
              </w:rPr>
              <w:t xml:space="preserve">In den Originaldaten werden alle benötigten statistischen Werte bestimmt, die für die Anonymisierung/Pseudonymisierung sowie die Bewertung des Verfahrens benötigt </w:t>
            </w:r>
            <w:r w:rsidRPr="004C1658">
              <w:rPr>
                <w:rFonts w:ascii="Calibri" w:eastAsia="Calibri" w:hAnsi="Calibri"/>
              </w:rPr>
              <w:t>werden</w:t>
            </w:r>
            <w:r w:rsidR="00027508">
              <w:rPr>
                <w:rFonts w:ascii="Calibri" w:eastAsia="Calibri" w:hAnsi="Calibri"/>
              </w:rPr>
              <w:t>.</w:t>
            </w:r>
          </w:p>
        </w:tc>
        <w:tc>
          <w:tcPr>
            <w:tcW w:w="1590" w:type="dxa"/>
          </w:tcPr>
          <w:p w14:paraId="440D77AF" w14:textId="77777777" w:rsidR="00216B82" w:rsidRDefault="00216B82" w:rsidP="00216B82">
            <w:pPr>
              <w:widowControl w:val="0"/>
              <w:spacing w:after="0" w:line="240" w:lineRule="auto"/>
              <w:rPr>
                <w:rFonts w:ascii="Calibri" w:eastAsia="Calibri" w:hAnsi="Calibri"/>
              </w:rPr>
            </w:pPr>
          </w:p>
        </w:tc>
        <w:tc>
          <w:tcPr>
            <w:tcW w:w="1590" w:type="dxa"/>
          </w:tcPr>
          <w:p w14:paraId="53B5608C" w14:textId="77777777" w:rsidR="00216B82" w:rsidRDefault="00216B82" w:rsidP="00216B82">
            <w:pPr>
              <w:widowControl w:val="0"/>
              <w:spacing w:after="0" w:line="240" w:lineRule="auto"/>
              <w:rPr>
                <w:rFonts w:ascii="Calibri" w:eastAsia="Calibri" w:hAnsi="Calibri"/>
              </w:rPr>
            </w:pPr>
          </w:p>
        </w:tc>
      </w:tr>
      <w:tr w:rsidR="00216B82" w14:paraId="137B57C3" w14:textId="77777777" w:rsidTr="00711A69">
        <w:tc>
          <w:tcPr>
            <w:tcW w:w="5916" w:type="dxa"/>
          </w:tcPr>
          <w:p w14:paraId="46C33664" w14:textId="25C1E628" w:rsidR="00216B82" w:rsidRDefault="00216B82" w:rsidP="00216B82">
            <w:pPr>
              <w:widowControl w:val="0"/>
              <w:spacing w:after="0" w:line="240" w:lineRule="auto"/>
              <w:rPr>
                <w:rFonts w:ascii="Calibri" w:eastAsia="Calibri" w:hAnsi="Calibri"/>
              </w:rPr>
            </w:pPr>
            <w:r>
              <w:rPr>
                <w:rFonts w:eastAsia="Calibri"/>
              </w:rPr>
              <w:t xml:space="preserve">Es sind alle Datenarten/-kategorien bestimmt worden, die überarbeitet werden </w:t>
            </w:r>
            <w:r w:rsidRPr="004C1658">
              <w:rPr>
                <w:rFonts w:eastAsia="Calibri"/>
              </w:rPr>
              <w:t>müssen</w:t>
            </w:r>
            <w:r w:rsidR="00027508">
              <w:rPr>
                <w:rFonts w:eastAsia="Calibri"/>
              </w:rPr>
              <w:t>.</w:t>
            </w:r>
          </w:p>
        </w:tc>
        <w:tc>
          <w:tcPr>
            <w:tcW w:w="1590" w:type="dxa"/>
          </w:tcPr>
          <w:p w14:paraId="4A0A6FF9" w14:textId="77777777" w:rsidR="00216B82" w:rsidRDefault="00216B82" w:rsidP="00216B82">
            <w:pPr>
              <w:widowControl w:val="0"/>
              <w:spacing w:after="0" w:line="240" w:lineRule="auto"/>
              <w:rPr>
                <w:rFonts w:ascii="Calibri" w:eastAsia="Calibri" w:hAnsi="Calibri"/>
              </w:rPr>
            </w:pPr>
          </w:p>
        </w:tc>
        <w:tc>
          <w:tcPr>
            <w:tcW w:w="1590" w:type="dxa"/>
          </w:tcPr>
          <w:p w14:paraId="0D766E8A" w14:textId="77777777" w:rsidR="00216B82" w:rsidRDefault="00216B82" w:rsidP="00216B82">
            <w:pPr>
              <w:widowControl w:val="0"/>
              <w:spacing w:after="0" w:line="240" w:lineRule="auto"/>
              <w:rPr>
                <w:rFonts w:ascii="Calibri" w:eastAsia="Calibri" w:hAnsi="Calibri"/>
              </w:rPr>
            </w:pPr>
          </w:p>
        </w:tc>
      </w:tr>
    </w:tbl>
    <w:p w14:paraId="3410880C" w14:textId="77777777" w:rsidR="00216B82" w:rsidRPr="00216B82" w:rsidRDefault="00216B82" w:rsidP="00216B82"/>
    <w:p w14:paraId="11D1B8B5" w14:textId="77777777" w:rsidR="00216B82" w:rsidRDefault="00216B82">
      <w:pPr>
        <w:spacing w:after="0" w:line="240" w:lineRule="auto"/>
        <w:jc w:val="left"/>
        <w:rPr>
          <w:rFonts w:asciiTheme="majorHAnsi" w:eastAsiaTheme="majorEastAsia" w:hAnsiTheme="majorHAnsi" w:cstheme="majorBidi"/>
          <w:b/>
          <w:bCs/>
          <w:color w:val="4F81BD" w:themeColor="accent1"/>
          <w:sz w:val="26"/>
          <w:szCs w:val="26"/>
        </w:rPr>
      </w:pPr>
      <w:r>
        <w:br w:type="page"/>
      </w:r>
    </w:p>
    <w:p w14:paraId="2521607A" w14:textId="2452A6B2" w:rsidR="00AE4EA7" w:rsidRDefault="00000000">
      <w:pPr>
        <w:pStyle w:val="berschrift2"/>
      </w:pPr>
      <w:bookmarkStart w:id="240" w:name="_Toc154652678"/>
      <w:r>
        <w:t>Organisatorische Anforderungen</w:t>
      </w:r>
      <w:bookmarkEnd w:id="240"/>
    </w:p>
    <w:tbl>
      <w:tblPr>
        <w:tblStyle w:val="Tabellenraster"/>
        <w:tblW w:w="9096" w:type="dxa"/>
        <w:tblLayout w:type="fixed"/>
        <w:tblLook w:val="04A0" w:firstRow="1" w:lastRow="0" w:firstColumn="1" w:lastColumn="0" w:noHBand="0" w:noVBand="1"/>
      </w:tblPr>
      <w:tblGrid>
        <w:gridCol w:w="5916"/>
        <w:gridCol w:w="1590"/>
        <w:gridCol w:w="1590"/>
      </w:tblGrid>
      <w:tr w:rsidR="00AE4EA7" w14:paraId="15783087" w14:textId="77777777">
        <w:tc>
          <w:tcPr>
            <w:tcW w:w="5916" w:type="dxa"/>
          </w:tcPr>
          <w:p w14:paraId="0C7EF127" w14:textId="77777777" w:rsidR="00AE4EA7" w:rsidRDefault="00000000">
            <w:pPr>
              <w:widowControl w:val="0"/>
              <w:spacing w:after="0" w:line="240" w:lineRule="auto"/>
              <w:jc w:val="center"/>
              <w:rPr>
                <w:b/>
              </w:rPr>
            </w:pPr>
            <w:r>
              <w:rPr>
                <w:rFonts w:eastAsia="Calibri"/>
                <w:b/>
              </w:rPr>
              <w:t>Anforderung</w:t>
            </w:r>
          </w:p>
        </w:tc>
        <w:tc>
          <w:tcPr>
            <w:tcW w:w="1590" w:type="dxa"/>
          </w:tcPr>
          <w:p w14:paraId="7CF62DEC" w14:textId="77777777" w:rsidR="00AE4EA7" w:rsidRDefault="00000000">
            <w:pPr>
              <w:widowControl w:val="0"/>
              <w:spacing w:after="0" w:line="240" w:lineRule="auto"/>
              <w:jc w:val="center"/>
              <w:rPr>
                <w:b/>
              </w:rPr>
            </w:pPr>
            <w:r>
              <w:rPr>
                <w:rFonts w:eastAsia="Calibri"/>
                <w:b/>
              </w:rPr>
              <w:t>Erfüllt</w:t>
            </w:r>
          </w:p>
        </w:tc>
        <w:tc>
          <w:tcPr>
            <w:tcW w:w="1590" w:type="dxa"/>
          </w:tcPr>
          <w:p w14:paraId="0B4C9EE3" w14:textId="77777777" w:rsidR="00AE4EA7" w:rsidRDefault="00000000">
            <w:pPr>
              <w:widowControl w:val="0"/>
              <w:spacing w:after="0" w:line="240" w:lineRule="auto"/>
              <w:jc w:val="center"/>
              <w:rPr>
                <w:b/>
              </w:rPr>
            </w:pPr>
            <w:r>
              <w:rPr>
                <w:rFonts w:eastAsia="Calibri"/>
                <w:b/>
              </w:rPr>
              <w:t xml:space="preserve">Nicht </w:t>
            </w:r>
            <w:r w:rsidRPr="004832F9">
              <w:rPr>
                <w:rFonts w:eastAsia="Calibri"/>
                <w:b/>
              </w:rPr>
              <w:t>erfüllt</w:t>
            </w:r>
          </w:p>
        </w:tc>
      </w:tr>
      <w:tr w:rsidR="00AE4EA7" w14:paraId="35E15AF7" w14:textId="77777777">
        <w:tc>
          <w:tcPr>
            <w:tcW w:w="5916" w:type="dxa"/>
          </w:tcPr>
          <w:p w14:paraId="3EEA5826" w14:textId="77777777" w:rsidR="00AE4EA7" w:rsidRDefault="00000000">
            <w:pPr>
              <w:widowControl w:val="0"/>
              <w:spacing w:after="0" w:line="240" w:lineRule="auto"/>
              <w:rPr>
                <w:rFonts w:ascii="Calibri" w:eastAsia="Calibri" w:hAnsi="Calibri"/>
              </w:rPr>
            </w:pPr>
            <w:r>
              <w:rPr>
                <w:rFonts w:eastAsia="Calibri"/>
              </w:rPr>
              <w:t xml:space="preserve">Es werden alle Daten </w:t>
            </w:r>
            <w:r w:rsidRPr="004C1658">
              <w:rPr>
                <w:rFonts w:eastAsia="Calibri"/>
              </w:rPr>
              <w:t>pseudonymisiert</w:t>
            </w:r>
            <w:r>
              <w:rPr>
                <w:rFonts w:eastAsia="Calibri"/>
              </w:rPr>
              <w:t xml:space="preserve">/anonymisiert verarbeitet oder es existiert eine Begründung, warum eine pseudonyme Verarbeitung nicht möglich </w:t>
            </w:r>
            <w:r w:rsidRPr="004832F9">
              <w:rPr>
                <w:rFonts w:eastAsia="Calibri"/>
              </w:rPr>
              <w:t>ist</w:t>
            </w:r>
          </w:p>
        </w:tc>
        <w:tc>
          <w:tcPr>
            <w:tcW w:w="1590" w:type="dxa"/>
          </w:tcPr>
          <w:p w14:paraId="3F4490FB" w14:textId="77777777" w:rsidR="00AE4EA7" w:rsidRDefault="00AE4EA7">
            <w:pPr>
              <w:widowControl w:val="0"/>
              <w:spacing w:after="0" w:line="240" w:lineRule="auto"/>
              <w:rPr>
                <w:rFonts w:ascii="Calibri" w:eastAsia="Calibri" w:hAnsi="Calibri"/>
              </w:rPr>
            </w:pPr>
          </w:p>
        </w:tc>
        <w:tc>
          <w:tcPr>
            <w:tcW w:w="1590" w:type="dxa"/>
          </w:tcPr>
          <w:p w14:paraId="447ACB98" w14:textId="77777777" w:rsidR="00AE4EA7" w:rsidRDefault="00AE4EA7">
            <w:pPr>
              <w:widowControl w:val="0"/>
              <w:spacing w:after="0" w:line="240" w:lineRule="auto"/>
              <w:rPr>
                <w:rFonts w:ascii="Calibri" w:eastAsia="Calibri" w:hAnsi="Calibri"/>
              </w:rPr>
            </w:pPr>
          </w:p>
        </w:tc>
      </w:tr>
      <w:tr w:rsidR="00AE4EA7" w14:paraId="79A08ED9" w14:textId="77777777">
        <w:tc>
          <w:tcPr>
            <w:tcW w:w="5916" w:type="dxa"/>
          </w:tcPr>
          <w:p w14:paraId="216B79EB" w14:textId="77777777" w:rsidR="00AE4EA7" w:rsidRDefault="00000000">
            <w:pPr>
              <w:widowControl w:val="0"/>
              <w:spacing w:after="0" w:line="240" w:lineRule="auto"/>
              <w:rPr>
                <w:rFonts w:ascii="Calibri" w:eastAsia="Calibri" w:hAnsi="Calibri"/>
              </w:rPr>
            </w:pPr>
            <w:r>
              <w:rPr>
                <w:rFonts w:eastAsia="Calibri"/>
              </w:rPr>
              <w:t xml:space="preserve">Es ist gewährleistet, dass eine dezidierte Analyse zur Beurteilung der Kritikalität der Daten und des Aufwandes zur Anonymisierung bzw. Pseudonymisierung durchgeführt wird und die Ergebnisse dokumentiert sind, sodass jederzeit eine Überprüfung der Ergebnisse erfolgen </w:t>
            </w:r>
            <w:r w:rsidRPr="004832F9">
              <w:rPr>
                <w:rFonts w:eastAsia="Calibri"/>
              </w:rPr>
              <w:t>kann</w:t>
            </w:r>
          </w:p>
        </w:tc>
        <w:tc>
          <w:tcPr>
            <w:tcW w:w="1590" w:type="dxa"/>
          </w:tcPr>
          <w:p w14:paraId="3330EB16" w14:textId="77777777" w:rsidR="00AE4EA7" w:rsidRDefault="00AE4EA7">
            <w:pPr>
              <w:widowControl w:val="0"/>
              <w:spacing w:after="0" w:line="240" w:lineRule="auto"/>
              <w:rPr>
                <w:rFonts w:ascii="Calibri" w:eastAsia="Calibri" w:hAnsi="Calibri"/>
              </w:rPr>
            </w:pPr>
          </w:p>
        </w:tc>
        <w:tc>
          <w:tcPr>
            <w:tcW w:w="1590" w:type="dxa"/>
          </w:tcPr>
          <w:p w14:paraId="76B7861A" w14:textId="77777777" w:rsidR="00AE4EA7" w:rsidRDefault="00AE4EA7">
            <w:pPr>
              <w:widowControl w:val="0"/>
              <w:spacing w:after="0" w:line="240" w:lineRule="auto"/>
              <w:rPr>
                <w:rFonts w:ascii="Calibri" w:eastAsia="Calibri" w:hAnsi="Calibri"/>
              </w:rPr>
            </w:pPr>
          </w:p>
        </w:tc>
      </w:tr>
      <w:tr w:rsidR="00AE4EA7" w14:paraId="28F185B3" w14:textId="77777777">
        <w:tc>
          <w:tcPr>
            <w:tcW w:w="5916" w:type="dxa"/>
          </w:tcPr>
          <w:p w14:paraId="1F952155" w14:textId="77777777" w:rsidR="00AE4EA7" w:rsidRDefault="00000000">
            <w:pPr>
              <w:widowControl w:val="0"/>
              <w:spacing w:after="0" w:line="240" w:lineRule="auto"/>
              <w:rPr>
                <w:rFonts w:ascii="Calibri" w:eastAsia="Calibri" w:hAnsi="Calibri"/>
              </w:rPr>
            </w:pPr>
            <w:r>
              <w:rPr>
                <w:rFonts w:eastAsia="Calibri"/>
              </w:rPr>
              <w:t xml:space="preserve">Die Pseudonymisierung/Anonymisierung erfolgt im jeweiligen </w:t>
            </w:r>
            <w:r w:rsidRPr="004832F9">
              <w:rPr>
                <w:rFonts w:eastAsia="Calibri"/>
              </w:rPr>
              <w:t>Quellsystem</w:t>
            </w:r>
          </w:p>
        </w:tc>
        <w:tc>
          <w:tcPr>
            <w:tcW w:w="1590" w:type="dxa"/>
          </w:tcPr>
          <w:p w14:paraId="372C6F27" w14:textId="77777777" w:rsidR="00AE4EA7" w:rsidRDefault="00AE4EA7">
            <w:pPr>
              <w:widowControl w:val="0"/>
              <w:spacing w:after="0" w:line="240" w:lineRule="auto"/>
              <w:rPr>
                <w:rFonts w:ascii="Calibri" w:eastAsia="Calibri" w:hAnsi="Calibri"/>
              </w:rPr>
            </w:pPr>
          </w:p>
        </w:tc>
        <w:tc>
          <w:tcPr>
            <w:tcW w:w="1590" w:type="dxa"/>
          </w:tcPr>
          <w:p w14:paraId="3EB10AA1" w14:textId="77777777" w:rsidR="00AE4EA7" w:rsidRDefault="00AE4EA7">
            <w:pPr>
              <w:widowControl w:val="0"/>
              <w:spacing w:after="0" w:line="240" w:lineRule="auto"/>
              <w:rPr>
                <w:rFonts w:ascii="Calibri" w:eastAsia="Calibri" w:hAnsi="Calibri"/>
              </w:rPr>
            </w:pPr>
          </w:p>
        </w:tc>
      </w:tr>
      <w:tr w:rsidR="00AE4EA7" w14:paraId="063CA9D8" w14:textId="77777777">
        <w:tc>
          <w:tcPr>
            <w:tcW w:w="5916" w:type="dxa"/>
          </w:tcPr>
          <w:p w14:paraId="54A2FB3E" w14:textId="77777777" w:rsidR="00AE4EA7" w:rsidRDefault="00000000">
            <w:pPr>
              <w:widowControl w:val="0"/>
              <w:spacing w:after="0" w:line="240" w:lineRule="auto"/>
              <w:rPr>
                <w:rFonts w:ascii="Calibri" w:eastAsia="Calibri" w:hAnsi="Calibri"/>
              </w:rPr>
            </w:pPr>
            <w:r>
              <w:rPr>
                <w:rFonts w:eastAsia="Calibri"/>
              </w:rPr>
              <w:t xml:space="preserve">Es ist gewährleistet, dass personenbezogenen Daten vor einer Pseudonymisierung/Anonymisierung ausschließlich zu Zwecken der Prüfung auf </w:t>
            </w:r>
            <w:r w:rsidRPr="004832F9">
              <w:rPr>
                <w:rFonts w:eastAsia="Calibri"/>
              </w:rPr>
              <w:t>Inplausibilitäten</w:t>
            </w:r>
            <w:r>
              <w:rPr>
                <w:rFonts w:eastAsia="Calibri"/>
              </w:rPr>
              <w:t xml:space="preserve"> oder Doppelungen zwischengespeichert </w:t>
            </w:r>
            <w:r w:rsidRPr="004832F9">
              <w:rPr>
                <w:rFonts w:eastAsia="Calibri"/>
              </w:rPr>
              <w:t>werden</w:t>
            </w:r>
          </w:p>
        </w:tc>
        <w:tc>
          <w:tcPr>
            <w:tcW w:w="1590" w:type="dxa"/>
          </w:tcPr>
          <w:p w14:paraId="0B8D63DA" w14:textId="77777777" w:rsidR="00AE4EA7" w:rsidRDefault="00AE4EA7">
            <w:pPr>
              <w:widowControl w:val="0"/>
              <w:spacing w:after="0" w:line="240" w:lineRule="auto"/>
              <w:rPr>
                <w:rFonts w:ascii="Calibri" w:eastAsia="Calibri" w:hAnsi="Calibri"/>
              </w:rPr>
            </w:pPr>
          </w:p>
        </w:tc>
        <w:tc>
          <w:tcPr>
            <w:tcW w:w="1590" w:type="dxa"/>
          </w:tcPr>
          <w:p w14:paraId="4A3C4C01" w14:textId="77777777" w:rsidR="00AE4EA7" w:rsidRDefault="00AE4EA7">
            <w:pPr>
              <w:widowControl w:val="0"/>
              <w:spacing w:after="0" w:line="240" w:lineRule="auto"/>
              <w:rPr>
                <w:rFonts w:ascii="Calibri" w:eastAsia="Calibri" w:hAnsi="Calibri"/>
              </w:rPr>
            </w:pPr>
          </w:p>
        </w:tc>
      </w:tr>
      <w:tr w:rsidR="00AE4EA7" w14:paraId="5181DE75" w14:textId="77777777">
        <w:tc>
          <w:tcPr>
            <w:tcW w:w="5916" w:type="dxa"/>
          </w:tcPr>
          <w:p w14:paraId="604C7106" w14:textId="77777777" w:rsidR="00AE4EA7" w:rsidRDefault="00000000">
            <w:pPr>
              <w:widowControl w:val="0"/>
              <w:spacing w:after="0" w:line="240" w:lineRule="auto"/>
              <w:rPr>
                <w:rFonts w:ascii="Calibri" w:eastAsia="Calibri" w:hAnsi="Calibri"/>
              </w:rPr>
            </w:pPr>
            <w:r>
              <w:rPr>
                <w:rFonts w:eastAsia="Calibri"/>
              </w:rPr>
              <w:t xml:space="preserve">Es ist gewährleistet, dass die Prüfung auf </w:t>
            </w:r>
            <w:r w:rsidRPr="004832F9">
              <w:rPr>
                <w:rFonts w:eastAsia="Calibri"/>
              </w:rPr>
              <w:t>Inplausibilitäten</w:t>
            </w:r>
            <w:r>
              <w:rPr>
                <w:rFonts w:eastAsia="Calibri"/>
              </w:rPr>
              <w:t xml:space="preserve"> und Dopplungen im Vorfeld einer Pseudonymisierung/ Anonymisierung grundsätzlich automatisiert </w:t>
            </w:r>
            <w:r w:rsidRPr="004832F9">
              <w:rPr>
                <w:rFonts w:eastAsia="Calibri"/>
              </w:rPr>
              <w:t>erfolgt</w:t>
            </w:r>
          </w:p>
        </w:tc>
        <w:tc>
          <w:tcPr>
            <w:tcW w:w="1590" w:type="dxa"/>
          </w:tcPr>
          <w:p w14:paraId="6F98DDCD" w14:textId="77777777" w:rsidR="00AE4EA7" w:rsidRDefault="00AE4EA7">
            <w:pPr>
              <w:widowControl w:val="0"/>
              <w:spacing w:after="0" w:line="240" w:lineRule="auto"/>
              <w:rPr>
                <w:rFonts w:ascii="Calibri" w:eastAsia="Calibri" w:hAnsi="Calibri"/>
              </w:rPr>
            </w:pPr>
          </w:p>
        </w:tc>
        <w:tc>
          <w:tcPr>
            <w:tcW w:w="1590" w:type="dxa"/>
          </w:tcPr>
          <w:p w14:paraId="5681ED85" w14:textId="77777777" w:rsidR="00AE4EA7" w:rsidRDefault="00AE4EA7">
            <w:pPr>
              <w:widowControl w:val="0"/>
              <w:spacing w:after="0" w:line="240" w:lineRule="auto"/>
              <w:rPr>
                <w:rFonts w:ascii="Calibri" w:eastAsia="Calibri" w:hAnsi="Calibri"/>
              </w:rPr>
            </w:pPr>
          </w:p>
        </w:tc>
      </w:tr>
    </w:tbl>
    <w:p w14:paraId="7E4011DB" w14:textId="77777777" w:rsidR="00AE4EA7" w:rsidRDefault="00000000">
      <w:pPr>
        <w:pStyle w:val="berschrift2"/>
      </w:pPr>
      <w:bookmarkStart w:id="241" w:name="_Toc154652679"/>
      <w:r>
        <w:t>Vorgaben für das Verfahren</w:t>
      </w:r>
      <w:bookmarkEnd w:id="241"/>
    </w:p>
    <w:tbl>
      <w:tblPr>
        <w:tblStyle w:val="Tabellenraster"/>
        <w:tblW w:w="9096" w:type="dxa"/>
        <w:tblLayout w:type="fixed"/>
        <w:tblLook w:val="04A0" w:firstRow="1" w:lastRow="0" w:firstColumn="1" w:lastColumn="0" w:noHBand="0" w:noVBand="1"/>
      </w:tblPr>
      <w:tblGrid>
        <w:gridCol w:w="5916"/>
        <w:gridCol w:w="1590"/>
        <w:gridCol w:w="1590"/>
      </w:tblGrid>
      <w:tr w:rsidR="00AE4EA7" w14:paraId="250AA82B" w14:textId="77777777">
        <w:tc>
          <w:tcPr>
            <w:tcW w:w="5916" w:type="dxa"/>
          </w:tcPr>
          <w:p w14:paraId="7AF9F937" w14:textId="77777777" w:rsidR="00AE4EA7" w:rsidRDefault="00000000">
            <w:pPr>
              <w:widowControl w:val="0"/>
              <w:spacing w:after="0" w:line="240" w:lineRule="auto"/>
              <w:jc w:val="center"/>
              <w:rPr>
                <w:b/>
              </w:rPr>
            </w:pPr>
            <w:r>
              <w:rPr>
                <w:rFonts w:eastAsia="Calibri"/>
                <w:b/>
              </w:rPr>
              <w:t>Anforderung</w:t>
            </w:r>
          </w:p>
        </w:tc>
        <w:tc>
          <w:tcPr>
            <w:tcW w:w="1590" w:type="dxa"/>
          </w:tcPr>
          <w:p w14:paraId="62DA9A28" w14:textId="77777777" w:rsidR="00AE4EA7" w:rsidRDefault="00000000">
            <w:pPr>
              <w:widowControl w:val="0"/>
              <w:spacing w:after="0" w:line="240" w:lineRule="auto"/>
              <w:jc w:val="center"/>
              <w:rPr>
                <w:b/>
              </w:rPr>
            </w:pPr>
            <w:r>
              <w:rPr>
                <w:rFonts w:eastAsia="Calibri"/>
                <w:b/>
              </w:rPr>
              <w:t>Erfüllt</w:t>
            </w:r>
          </w:p>
        </w:tc>
        <w:tc>
          <w:tcPr>
            <w:tcW w:w="1590" w:type="dxa"/>
          </w:tcPr>
          <w:p w14:paraId="7758CF03" w14:textId="77777777" w:rsidR="00AE4EA7" w:rsidRDefault="00000000">
            <w:pPr>
              <w:widowControl w:val="0"/>
              <w:spacing w:after="0" w:line="240" w:lineRule="auto"/>
              <w:jc w:val="center"/>
              <w:rPr>
                <w:b/>
              </w:rPr>
            </w:pPr>
            <w:r>
              <w:rPr>
                <w:rFonts w:eastAsia="Calibri"/>
                <w:b/>
              </w:rPr>
              <w:t xml:space="preserve">Nicht </w:t>
            </w:r>
            <w:r w:rsidRPr="004832F9">
              <w:rPr>
                <w:rFonts w:eastAsia="Calibri"/>
                <w:b/>
              </w:rPr>
              <w:t>erfüllt</w:t>
            </w:r>
          </w:p>
        </w:tc>
      </w:tr>
      <w:tr w:rsidR="00AE4EA7" w14:paraId="43834727" w14:textId="77777777">
        <w:tc>
          <w:tcPr>
            <w:tcW w:w="5916" w:type="dxa"/>
          </w:tcPr>
          <w:p w14:paraId="24E239B0" w14:textId="77777777" w:rsidR="00AE4EA7" w:rsidRDefault="00000000">
            <w:pPr>
              <w:widowControl w:val="0"/>
              <w:spacing w:after="0" w:line="240" w:lineRule="auto"/>
              <w:rPr>
                <w:rFonts w:ascii="Calibri" w:eastAsia="Calibri" w:hAnsi="Calibri"/>
              </w:rPr>
            </w:pPr>
            <w:r>
              <w:rPr>
                <w:rFonts w:eastAsia="Calibri"/>
              </w:rPr>
              <w:t xml:space="preserve">Es ist sichergestellt, dass das eingesetzte Identifikationsschutzverfahren auch Freitextfelder, Kommentarfelder, Anlagen, etc. im Hinblick auf die Ersetzung von personenbezogenen Daten </w:t>
            </w:r>
            <w:r w:rsidRPr="004832F9">
              <w:rPr>
                <w:rFonts w:eastAsia="Calibri"/>
              </w:rPr>
              <w:t>berücksichtigt</w:t>
            </w:r>
          </w:p>
        </w:tc>
        <w:tc>
          <w:tcPr>
            <w:tcW w:w="1590" w:type="dxa"/>
          </w:tcPr>
          <w:p w14:paraId="15CBD408" w14:textId="77777777" w:rsidR="00AE4EA7" w:rsidRDefault="00AE4EA7">
            <w:pPr>
              <w:widowControl w:val="0"/>
              <w:spacing w:after="0" w:line="240" w:lineRule="auto"/>
              <w:rPr>
                <w:rFonts w:ascii="Calibri" w:eastAsia="Calibri" w:hAnsi="Calibri"/>
              </w:rPr>
            </w:pPr>
          </w:p>
        </w:tc>
        <w:tc>
          <w:tcPr>
            <w:tcW w:w="1590" w:type="dxa"/>
          </w:tcPr>
          <w:p w14:paraId="4791E822" w14:textId="77777777" w:rsidR="00AE4EA7" w:rsidRDefault="00AE4EA7">
            <w:pPr>
              <w:widowControl w:val="0"/>
              <w:spacing w:after="0" w:line="240" w:lineRule="auto"/>
              <w:rPr>
                <w:rFonts w:ascii="Calibri" w:eastAsia="Calibri" w:hAnsi="Calibri"/>
              </w:rPr>
            </w:pPr>
          </w:p>
        </w:tc>
      </w:tr>
      <w:tr w:rsidR="00AE4EA7" w14:paraId="7C321289" w14:textId="77777777">
        <w:tc>
          <w:tcPr>
            <w:tcW w:w="5916" w:type="dxa"/>
          </w:tcPr>
          <w:p w14:paraId="1E4D851A" w14:textId="77777777" w:rsidR="00AE4EA7" w:rsidRDefault="00000000">
            <w:pPr>
              <w:widowControl w:val="0"/>
              <w:spacing w:after="0" w:line="240" w:lineRule="auto"/>
              <w:rPr>
                <w:rFonts w:eastAsia="Calibri"/>
              </w:rPr>
            </w:pPr>
            <w:r>
              <w:rPr>
                <w:rFonts w:eastAsia="Calibri"/>
                <w:color w:val="000000"/>
              </w:rPr>
              <w:t xml:space="preserve">Es ist gewährleistet, dass der Aufwand zur </w:t>
            </w:r>
            <w:r w:rsidRPr="004832F9">
              <w:rPr>
                <w:rFonts w:eastAsia="Calibri"/>
                <w:color w:val="000000"/>
              </w:rPr>
              <w:t>De-Pseudonymisierung</w:t>
            </w:r>
            <w:r>
              <w:rPr>
                <w:rFonts w:eastAsia="Calibri"/>
                <w:color w:val="000000"/>
              </w:rPr>
              <w:t xml:space="preserve"> bzw. </w:t>
            </w:r>
            <w:r w:rsidRPr="004832F9">
              <w:rPr>
                <w:rFonts w:eastAsia="Calibri"/>
                <w:color w:val="000000"/>
              </w:rPr>
              <w:t>De-Anonymisierung</w:t>
            </w:r>
            <w:r>
              <w:rPr>
                <w:rFonts w:eastAsia="Calibri"/>
                <w:color w:val="000000"/>
              </w:rPr>
              <w:t xml:space="preserve"> für jedermann unverhältnismäßig hoch (d. h. faktisch ausgeschlossen) </w:t>
            </w:r>
            <w:r w:rsidRPr="004832F9">
              <w:rPr>
                <w:rFonts w:eastAsia="Calibri"/>
                <w:color w:val="000000"/>
              </w:rPr>
              <w:t>ist</w:t>
            </w:r>
          </w:p>
        </w:tc>
        <w:tc>
          <w:tcPr>
            <w:tcW w:w="1590" w:type="dxa"/>
          </w:tcPr>
          <w:p w14:paraId="1EF7F96F" w14:textId="77777777" w:rsidR="00AE4EA7" w:rsidRDefault="00AE4EA7">
            <w:pPr>
              <w:widowControl w:val="0"/>
              <w:spacing w:after="0" w:line="240" w:lineRule="auto"/>
              <w:rPr>
                <w:rFonts w:ascii="Calibri" w:eastAsia="Calibri" w:hAnsi="Calibri"/>
              </w:rPr>
            </w:pPr>
          </w:p>
        </w:tc>
        <w:tc>
          <w:tcPr>
            <w:tcW w:w="1590" w:type="dxa"/>
          </w:tcPr>
          <w:p w14:paraId="2A28D9A3" w14:textId="77777777" w:rsidR="00AE4EA7" w:rsidRDefault="00AE4EA7">
            <w:pPr>
              <w:widowControl w:val="0"/>
              <w:spacing w:after="0" w:line="240" w:lineRule="auto"/>
              <w:rPr>
                <w:rFonts w:ascii="Calibri" w:eastAsia="Calibri" w:hAnsi="Calibri"/>
              </w:rPr>
            </w:pPr>
          </w:p>
        </w:tc>
      </w:tr>
      <w:tr w:rsidR="00AE4EA7" w14:paraId="2BC26A28" w14:textId="77777777">
        <w:tc>
          <w:tcPr>
            <w:tcW w:w="5916" w:type="dxa"/>
          </w:tcPr>
          <w:p w14:paraId="27FE072F" w14:textId="77777777" w:rsidR="00AE4EA7" w:rsidRDefault="00000000">
            <w:pPr>
              <w:widowControl w:val="0"/>
              <w:spacing w:after="0" w:line="240" w:lineRule="auto"/>
              <w:rPr>
                <w:rFonts w:ascii="Calibri" w:eastAsia="Calibri" w:hAnsi="Calibri"/>
              </w:rPr>
            </w:pPr>
            <w:r>
              <w:rPr>
                <w:rFonts w:eastAsia="Calibri"/>
              </w:rPr>
              <w:t xml:space="preserve">Es ist gewährleistet, dass der eingesetzte Verfremdungsprozess so gestaltet ist, dass er das notwendige </w:t>
            </w:r>
            <w:r w:rsidRPr="004832F9">
              <w:rPr>
                <w:rFonts w:eastAsia="Calibri"/>
              </w:rPr>
              <w:t>Identifikations-Schutzverfahren</w:t>
            </w:r>
            <w:r>
              <w:rPr>
                <w:rFonts w:eastAsia="Calibri"/>
              </w:rPr>
              <w:t xml:space="preserve"> wirksam </w:t>
            </w:r>
            <w:r w:rsidRPr="004832F9">
              <w:rPr>
                <w:rFonts w:eastAsia="Calibri"/>
              </w:rPr>
              <w:t>umsetzt</w:t>
            </w:r>
          </w:p>
        </w:tc>
        <w:tc>
          <w:tcPr>
            <w:tcW w:w="1590" w:type="dxa"/>
          </w:tcPr>
          <w:p w14:paraId="576661D3" w14:textId="77777777" w:rsidR="00AE4EA7" w:rsidRDefault="00AE4EA7">
            <w:pPr>
              <w:widowControl w:val="0"/>
              <w:spacing w:after="0" w:line="240" w:lineRule="auto"/>
              <w:rPr>
                <w:rFonts w:ascii="Calibri" w:eastAsia="Calibri" w:hAnsi="Calibri"/>
              </w:rPr>
            </w:pPr>
          </w:p>
        </w:tc>
        <w:tc>
          <w:tcPr>
            <w:tcW w:w="1590" w:type="dxa"/>
          </w:tcPr>
          <w:p w14:paraId="0DC3CDFF" w14:textId="77777777" w:rsidR="00AE4EA7" w:rsidRDefault="00AE4EA7">
            <w:pPr>
              <w:widowControl w:val="0"/>
              <w:spacing w:after="0" w:line="240" w:lineRule="auto"/>
              <w:rPr>
                <w:rFonts w:ascii="Calibri" w:eastAsia="Calibri" w:hAnsi="Calibri"/>
              </w:rPr>
            </w:pPr>
          </w:p>
        </w:tc>
      </w:tr>
      <w:tr w:rsidR="00AE4EA7" w14:paraId="2916F910" w14:textId="77777777">
        <w:tc>
          <w:tcPr>
            <w:tcW w:w="5916" w:type="dxa"/>
          </w:tcPr>
          <w:p w14:paraId="5C6F550D" w14:textId="77777777" w:rsidR="00AE4EA7" w:rsidRDefault="00000000">
            <w:pPr>
              <w:widowControl w:val="0"/>
              <w:spacing w:after="0" w:line="240" w:lineRule="auto"/>
              <w:rPr>
                <w:rFonts w:ascii="Calibri" w:eastAsia="Calibri" w:hAnsi="Calibri"/>
              </w:rPr>
            </w:pPr>
            <w:r>
              <w:rPr>
                <w:rFonts w:eastAsia="Calibri"/>
              </w:rPr>
              <w:t xml:space="preserve">Es ist beim eingesetzten Verfremdungsprozess sichergestellt, dass mittels der verfügbaren Datenfelder eine Rückführbarkeit nur auf Gruppen mit mindestens 5 Personen möglich </w:t>
            </w:r>
            <w:r w:rsidRPr="004832F9">
              <w:rPr>
                <w:rFonts w:eastAsia="Calibri"/>
              </w:rPr>
              <w:t>ist</w:t>
            </w:r>
          </w:p>
        </w:tc>
        <w:tc>
          <w:tcPr>
            <w:tcW w:w="1590" w:type="dxa"/>
          </w:tcPr>
          <w:p w14:paraId="361EA95E" w14:textId="77777777" w:rsidR="00AE4EA7" w:rsidRDefault="00AE4EA7">
            <w:pPr>
              <w:widowControl w:val="0"/>
              <w:spacing w:after="0" w:line="240" w:lineRule="auto"/>
              <w:rPr>
                <w:rFonts w:ascii="Calibri" w:eastAsia="Calibri" w:hAnsi="Calibri"/>
              </w:rPr>
            </w:pPr>
          </w:p>
        </w:tc>
        <w:tc>
          <w:tcPr>
            <w:tcW w:w="1590" w:type="dxa"/>
          </w:tcPr>
          <w:p w14:paraId="5154463A" w14:textId="77777777" w:rsidR="00AE4EA7" w:rsidRDefault="00AE4EA7">
            <w:pPr>
              <w:widowControl w:val="0"/>
              <w:spacing w:after="0" w:line="240" w:lineRule="auto"/>
              <w:rPr>
                <w:rFonts w:ascii="Calibri" w:eastAsia="Calibri" w:hAnsi="Calibri"/>
              </w:rPr>
            </w:pPr>
          </w:p>
        </w:tc>
      </w:tr>
      <w:tr w:rsidR="00AE4EA7" w14:paraId="611FD287" w14:textId="77777777">
        <w:tc>
          <w:tcPr>
            <w:tcW w:w="5916" w:type="dxa"/>
          </w:tcPr>
          <w:p w14:paraId="715D940E" w14:textId="77777777" w:rsidR="00AE4EA7" w:rsidRDefault="00000000">
            <w:pPr>
              <w:widowControl w:val="0"/>
              <w:spacing w:after="0" w:line="240" w:lineRule="auto"/>
              <w:rPr>
                <w:rFonts w:ascii="Calibri" w:eastAsia="Calibri" w:hAnsi="Calibri"/>
              </w:rPr>
            </w:pPr>
            <w:r>
              <w:rPr>
                <w:rFonts w:eastAsia="Calibri"/>
              </w:rPr>
              <w:t xml:space="preserve">Es ist gewährleistet, dass die verwendete Verfremdungsmethode vertrauenswürdig, sicher implementiert und dokumentiert sowie allen beteiligten Parteien bekannt und funktional überprüfbar </w:t>
            </w:r>
            <w:r w:rsidRPr="004832F9">
              <w:rPr>
                <w:rFonts w:eastAsia="Calibri"/>
              </w:rPr>
              <w:t>ist</w:t>
            </w:r>
          </w:p>
        </w:tc>
        <w:tc>
          <w:tcPr>
            <w:tcW w:w="1590" w:type="dxa"/>
          </w:tcPr>
          <w:p w14:paraId="2E05D499" w14:textId="77777777" w:rsidR="00AE4EA7" w:rsidRDefault="00AE4EA7">
            <w:pPr>
              <w:widowControl w:val="0"/>
              <w:spacing w:after="0" w:line="240" w:lineRule="auto"/>
              <w:rPr>
                <w:rFonts w:ascii="Calibri" w:eastAsia="Calibri" w:hAnsi="Calibri"/>
              </w:rPr>
            </w:pPr>
          </w:p>
        </w:tc>
        <w:tc>
          <w:tcPr>
            <w:tcW w:w="1590" w:type="dxa"/>
          </w:tcPr>
          <w:p w14:paraId="30B9C0A2" w14:textId="77777777" w:rsidR="00AE4EA7" w:rsidRDefault="00AE4EA7">
            <w:pPr>
              <w:widowControl w:val="0"/>
              <w:spacing w:after="0" w:line="240" w:lineRule="auto"/>
              <w:rPr>
                <w:rFonts w:ascii="Calibri" w:eastAsia="Calibri" w:hAnsi="Calibri"/>
              </w:rPr>
            </w:pPr>
          </w:p>
        </w:tc>
      </w:tr>
    </w:tbl>
    <w:p w14:paraId="1CDC706B" w14:textId="77777777" w:rsidR="00AE4EA7" w:rsidRDefault="00AE4EA7"/>
    <w:p w14:paraId="31E2B0BC" w14:textId="77777777" w:rsidR="00AE4EA7" w:rsidRDefault="00000000">
      <w:pPr>
        <w:pStyle w:val="berschrift2"/>
      </w:pPr>
      <w:bookmarkStart w:id="242" w:name="_Toc154652680"/>
      <w:r>
        <w:t>Nichtangabe</w:t>
      </w:r>
      <w:bookmarkEnd w:id="242"/>
    </w:p>
    <w:tbl>
      <w:tblPr>
        <w:tblStyle w:val="Tabellenraster"/>
        <w:tblW w:w="9096" w:type="dxa"/>
        <w:tblLayout w:type="fixed"/>
        <w:tblLook w:val="04A0" w:firstRow="1" w:lastRow="0" w:firstColumn="1" w:lastColumn="0" w:noHBand="0" w:noVBand="1"/>
      </w:tblPr>
      <w:tblGrid>
        <w:gridCol w:w="5916"/>
        <w:gridCol w:w="1590"/>
        <w:gridCol w:w="1590"/>
      </w:tblGrid>
      <w:tr w:rsidR="00AE4EA7" w14:paraId="6ED19075" w14:textId="77777777">
        <w:tc>
          <w:tcPr>
            <w:tcW w:w="5916" w:type="dxa"/>
          </w:tcPr>
          <w:p w14:paraId="60A2F576" w14:textId="77777777" w:rsidR="00AE4EA7" w:rsidRDefault="00000000">
            <w:pPr>
              <w:widowControl w:val="0"/>
              <w:spacing w:after="0" w:line="240" w:lineRule="auto"/>
              <w:jc w:val="center"/>
              <w:rPr>
                <w:b/>
              </w:rPr>
            </w:pPr>
            <w:r>
              <w:rPr>
                <w:rFonts w:eastAsia="Calibri"/>
                <w:b/>
              </w:rPr>
              <w:t>Anforderung</w:t>
            </w:r>
          </w:p>
        </w:tc>
        <w:tc>
          <w:tcPr>
            <w:tcW w:w="1590" w:type="dxa"/>
          </w:tcPr>
          <w:p w14:paraId="66AF8F8C" w14:textId="77777777" w:rsidR="00AE4EA7" w:rsidRDefault="00000000">
            <w:pPr>
              <w:widowControl w:val="0"/>
              <w:spacing w:after="0" w:line="240" w:lineRule="auto"/>
              <w:jc w:val="center"/>
              <w:rPr>
                <w:b/>
              </w:rPr>
            </w:pPr>
            <w:r>
              <w:rPr>
                <w:rFonts w:eastAsia="Calibri"/>
                <w:b/>
              </w:rPr>
              <w:t>Erfüllt</w:t>
            </w:r>
          </w:p>
        </w:tc>
        <w:tc>
          <w:tcPr>
            <w:tcW w:w="1590" w:type="dxa"/>
          </w:tcPr>
          <w:p w14:paraId="7822EC56" w14:textId="77777777" w:rsidR="00AE4EA7" w:rsidRDefault="00000000">
            <w:pPr>
              <w:widowControl w:val="0"/>
              <w:spacing w:after="0" w:line="240" w:lineRule="auto"/>
              <w:jc w:val="center"/>
              <w:rPr>
                <w:b/>
              </w:rPr>
            </w:pPr>
            <w:r>
              <w:rPr>
                <w:rFonts w:eastAsia="Calibri"/>
                <w:b/>
              </w:rPr>
              <w:t xml:space="preserve">Nicht </w:t>
            </w:r>
            <w:r w:rsidRPr="004832F9">
              <w:rPr>
                <w:rFonts w:eastAsia="Calibri"/>
                <w:b/>
              </w:rPr>
              <w:t>erfüllt</w:t>
            </w:r>
          </w:p>
        </w:tc>
      </w:tr>
      <w:tr w:rsidR="00AE4EA7" w14:paraId="0BCBB0F0" w14:textId="77777777">
        <w:tc>
          <w:tcPr>
            <w:tcW w:w="5916" w:type="dxa"/>
          </w:tcPr>
          <w:p w14:paraId="789FC406" w14:textId="77777777" w:rsidR="00AE4EA7" w:rsidRDefault="00000000">
            <w:pPr>
              <w:widowControl w:val="0"/>
              <w:spacing w:after="0" w:line="240" w:lineRule="auto"/>
              <w:rPr>
                <w:rFonts w:ascii="Calibri" w:eastAsia="Calibri" w:hAnsi="Calibri"/>
              </w:rPr>
            </w:pPr>
            <w:r>
              <w:rPr>
                <w:rFonts w:eastAsia="Calibri"/>
              </w:rPr>
              <w:t xml:space="preserve">Daten, die einen Personenbezug ermöglichen, werden </w:t>
            </w:r>
            <w:r w:rsidRPr="004832F9">
              <w:rPr>
                <w:rFonts w:eastAsia="Calibri"/>
              </w:rPr>
              <w:t>gelöscht</w:t>
            </w:r>
          </w:p>
        </w:tc>
        <w:tc>
          <w:tcPr>
            <w:tcW w:w="1590" w:type="dxa"/>
          </w:tcPr>
          <w:p w14:paraId="24300D32" w14:textId="77777777" w:rsidR="00AE4EA7" w:rsidRDefault="00AE4EA7">
            <w:pPr>
              <w:widowControl w:val="0"/>
              <w:spacing w:after="0" w:line="240" w:lineRule="auto"/>
              <w:rPr>
                <w:rFonts w:ascii="Calibri" w:eastAsia="Calibri" w:hAnsi="Calibri"/>
              </w:rPr>
            </w:pPr>
          </w:p>
        </w:tc>
        <w:tc>
          <w:tcPr>
            <w:tcW w:w="1590" w:type="dxa"/>
          </w:tcPr>
          <w:p w14:paraId="62770A1C" w14:textId="77777777" w:rsidR="00AE4EA7" w:rsidRDefault="00AE4EA7">
            <w:pPr>
              <w:widowControl w:val="0"/>
              <w:spacing w:after="0" w:line="240" w:lineRule="auto"/>
              <w:rPr>
                <w:rFonts w:ascii="Calibri" w:eastAsia="Calibri" w:hAnsi="Calibri"/>
              </w:rPr>
            </w:pPr>
          </w:p>
        </w:tc>
      </w:tr>
    </w:tbl>
    <w:p w14:paraId="204F95B8" w14:textId="77777777" w:rsidR="00AE4EA7" w:rsidRDefault="00AE4EA7"/>
    <w:p w14:paraId="282F85F8" w14:textId="77777777" w:rsidR="00AE4EA7" w:rsidRDefault="00000000">
      <w:pPr>
        <w:pStyle w:val="berschrift2"/>
      </w:pPr>
      <w:bookmarkStart w:id="243" w:name="_Toc154652681"/>
      <w:r>
        <w:t>Maskierung/Ersetzung</w:t>
      </w:r>
      <w:bookmarkEnd w:id="243"/>
    </w:p>
    <w:tbl>
      <w:tblPr>
        <w:tblStyle w:val="Tabellenraster"/>
        <w:tblW w:w="9096" w:type="dxa"/>
        <w:tblLayout w:type="fixed"/>
        <w:tblLook w:val="04A0" w:firstRow="1" w:lastRow="0" w:firstColumn="1" w:lastColumn="0" w:noHBand="0" w:noVBand="1"/>
      </w:tblPr>
      <w:tblGrid>
        <w:gridCol w:w="5916"/>
        <w:gridCol w:w="1590"/>
        <w:gridCol w:w="1590"/>
      </w:tblGrid>
      <w:tr w:rsidR="00AE4EA7" w14:paraId="5BD1BC90" w14:textId="77777777">
        <w:tc>
          <w:tcPr>
            <w:tcW w:w="5916" w:type="dxa"/>
          </w:tcPr>
          <w:p w14:paraId="42333191" w14:textId="77777777" w:rsidR="00AE4EA7" w:rsidRDefault="00000000">
            <w:pPr>
              <w:widowControl w:val="0"/>
              <w:spacing w:after="0" w:line="240" w:lineRule="auto"/>
              <w:jc w:val="center"/>
              <w:rPr>
                <w:b/>
              </w:rPr>
            </w:pPr>
            <w:r>
              <w:rPr>
                <w:rFonts w:eastAsia="Calibri"/>
                <w:b/>
              </w:rPr>
              <w:t>Anforderung</w:t>
            </w:r>
          </w:p>
        </w:tc>
        <w:tc>
          <w:tcPr>
            <w:tcW w:w="1590" w:type="dxa"/>
          </w:tcPr>
          <w:p w14:paraId="4101638A" w14:textId="77777777" w:rsidR="00AE4EA7" w:rsidRDefault="00000000">
            <w:pPr>
              <w:widowControl w:val="0"/>
              <w:spacing w:after="0" w:line="240" w:lineRule="auto"/>
              <w:jc w:val="center"/>
              <w:rPr>
                <w:b/>
              </w:rPr>
            </w:pPr>
            <w:r>
              <w:rPr>
                <w:rFonts w:eastAsia="Calibri"/>
                <w:b/>
              </w:rPr>
              <w:t>Erfüllt</w:t>
            </w:r>
          </w:p>
        </w:tc>
        <w:tc>
          <w:tcPr>
            <w:tcW w:w="1590" w:type="dxa"/>
          </w:tcPr>
          <w:p w14:paraId="6D547321" w14:textId="77777777" w:rsidR="00AE4EA7" w:rsidRDefault="00000000">
            <w:pPr>
              <w:widowControl w:val="0"/>
              <w:spacing w:after="0" w:line="240" w:lineRule="auto"/>
              <w:jc w:val="center"/>
              <w:rPr>
                <w:b/>
              </w:rPr>
            </w:pPr>
            <w:r>
              <w:rPr>
                <w:rFonts w:eastAsia="Calibri"/>
                <w:b/>
              </w:rPr>
              <w:t xml:space="preserve">Nicht </w:t>
            </w:r>
            <w:r w:rsidRPr="004832F9">
              <w:rPr>
                <w:rFonts w:eastAsia="Calibri"/>
                <w:b/>
              </w:rPr>
              <w:t>erfüllt</w:t>
            </w:r>
          </w:p>
        </w:tc>
      </w:tr>
      <w:tr w:rsidR="00AE4EA7" w14:paraId="78F5124E" w14:textId="77777777">
        <w:tc>
          <w:tcPr>
            <w:tcW w:w="5916" w:type="dxa"/>
          </w:tcPr>
          <w:p w14:paraId="183BB8A8" w14:textId="77777777" w:rsidR="00AE4EA7" w:rsidRDefault="00000000">
            <w:pPr>
              <w:widowControl w:val="0"/>
              <w:spacing w:after="0" w:line="240" w:lineRule="auto"/>
              <w:rPr>
                <w:rFonts w:ascii="Calibri" w:eastAsia="Calibri" w:hAnsi="Calibri"/>
              </w:rPr>
            </w:pPr>
            <w:r>
              <w:rPr>
                <w:rFonts w:eastAsia="Calibri"/>
              </w:rPr>
              <w:t xml:space="preserve">Daten, die einen Personenbezug ermöglichen, werden durch andere konstante oder sich ändernde Werte </w:t>
            </w:r>
            <w:r w:rsidRPr="004832F9">
              <w:rPr>
                <w:rFonts w:eastAsia="Calibri"/>
              </w:rPr>
              <w:t>ersetzt</w:t>
            </w:r>
          </w:p>
        </w:tc>
        <w:tc>
          <w:tcPr>
            <w:tcW w:w="1590" w:type="dxa"/>
          </w:tcPr>
          <w:p w14:paraId="4627BE6D" w14:textId="77777777" w:rsidR="00AE4EA7" w:rsidRDefault="00AE4EA7">
            <w:pPr>
              <w:widowControl w:val="0"/>
              <w:spacing w:after="0" w:line="240" w:lineRule="auto"/>
              <w:rPr>
                <w:rFonts w:ascii="Calibri" w:eastAsia="Calibri" w:hAnsi="Calibri"/>
              </w:rPr>
            </w:pPr>
          </w:p>
        </w:tc>
        <w:tc>
          <w:tcPr>
            <w:tcW w:w="1590" w:type="dxa"/>
          </w:tcPr>
          <w:p w14:paraId="7DC13AAE" w14:textId="77777777" w:rsidR="00AE4EA7" w:rsidRDefault="00AE4EA7">
            <w:pPr>
              <w:widowControl w:val="0"/>
              <w:spacing w:after="0" w:line="240" w:lineRule="auto"/>
              <w:rPr>
                <w:rFonts w:ascii="Calibri" w:eastAsia="Calibri" w:hAnsi="Calibri"/>
              </w:rPr>
            </w:pPr>
          </w:p>
        </w:tc>
      </w:tr>
    </w:tbl>
    <w:p w14:paraId="6CCC2628" w14:textId="77777777" w:rsidR="00AE4EA7" w:rsidRDefault="00AE4EA7"/>
    <w:p w14:paraId="6EE0B50E" w14:textId="77777777" w:rsidR="00AE4EA7" w:rsidRDefault="00000000">
      <w:pPr>
        <w:pStyle w:val="berschrift2"/>
      </w:pPr>
      <w:bookmarkStart w:id="244" w:name="_Toc154652682"/>
      <w:r>
        <w:t>Mischung/</w:t>
      </w:r>
      <w:r w:rsidRPr="004832F9">
        <w:t>Shuffeling</w:t>
      </w:r>
      <w:bookmarkEnd w:id="244"/>
    </w:p>
    <w:tbl>
      <w:tblPr>
        <w:tblStyle w:val="Tabellenraster"/>
        <w:tblW w:w="9096" w:type="dxa"/>
        <w:tblLayout w:type="fixed"/>
        <w:tblLook w:val="04A0" w:firstRow="1" w:lastRow="0" w:firstColumn="1" w:lastColumn="0" w:noHBand="0" w:noVBand="1"/>
      </w:tblPr>
      <w:tblGrid>
        <w:gridCol w:w="5916"/>
        <w:gridCol w:w="1590"/>
        <w:gridCol w:w="1590"/>
      </w:tblGrid>
      <w:tr w:rsidR="00AE4EA7" w14:paraId="70C3F9AC" w14:textId="77777777">
        <w:tc>
          <w:tcPr>
            <w:tcW w:w="5916" w:type="dxa"/>
          </w:tcPr>
          <w:p w14:paraId="3D8EC2E9" w14:textId="77777777" w:rsidR="00AE4EA7" w:rsidRDefault="00000000">
            <w:pPr>
              <w:widowControl w:val="0"/>
              <w:spacing w:after="0" w:line="240" w:lineRule="auto"/>
              <w:jc w:val="center"/>
              <w:rPr>
                <w:b/>
              </w:rPr>
            </w:pPr>
            <w:r>
              <w:rPr>
                <w:rFonts w:eastAsia="Calibri"/>
                <w:b/>
              </w:rPr>
              <w:t>Anforderung</w:t>
            </w:r>
          </w:p>
        </w:tc>
        <w:tc>
          <w:tcPr>
            <w:tcW w:w="1590" w:type="dxa"/>
          </w:tcPr>
          <w:p w14:paraId="28D842FB" w14:textId="77777777" w:rsidR="00AE4EA7" w:rsidRDefault="00000000">
            <w:pPr>
              <w:widowControl w:val="0"/>
              <w:spacing w:after="0" w:line="240" w:lineRule="auto"/>
              <w:jc w:val="center"/>
              <w:rPr>
                <w:b/>
              </w:rPr>
            </w:pPr>
            <w:r>
              <w:rPr>
                <w:rFonts w:eastAsia="Calibri"/>
                <w:b/>
              </w:rPr>
              <w:t>Erfüllt</w:t>
            </w:r>
          </w:p>
        </w:tc>
        <w:tc>
          <w:tcPr>
            <w:tcW w:w="1590" w:type="dxa"/>
          </w:tcPr>
          <w:p w14:paraId="0B8E64F6" w14:textId="77777777" w:rsidR="00AE4EA7" w:rsidRDefault="00000000">
            <w:pPr>
              <w:widowControl w:val="0"/>
              <w:spacing w:after="0" w:line="240" w:lineRule="auto"/>
              <w:jc w:val="center"/>
              <w:rPr>
                <w:b/>
              </w:rPr>
            </w:pPr>
            <w:r>
              <w:rPr>
                <w:rFonts w:eastAsia="Calibri"/>
                <w:b/>
              </w:rPr>
              <w:t xml:space="preserve">Nicht </w:t>
            </w:r>
            <w:r w:rsidRPr="004832F9">
              <w:rPr>
                <w:rFonts w:eastAsia="Calibri"/>
                <w:b/>
              </w:rPr>
              <w:t>erfüllt</w:t>
            </w:r>
          </w:p>
        </w:tc>
      </w:tr>
      <w:tr w:rsidR="00AE4EA7" w14:paraId="7AFEEB9E" w14:textId="77777777">
        <w:tc>
          <w:tcPr>
            <w:tcW w:w="5916" w:type="dxa"/>
          </w:tcPr>
          <w:p w14:paraId="294E2031" w14:textId="77777777" w:rsidR="00AE4EA7" w:rsidRDefault="00000000">
            <w:pPr>
              <w:widowControl w:val="0"/>
              <w:spacing w:after="0" w:line="240" w:lineRule="auto"/>
              <w:rPr>
                <w:rFonts w:ascii="Calibri" w:eastAsia="Calibri" w:hAnsi="Calibri"/>
              </w:rPr>
            </w:pPr>
            <w:r>
              <w:rPr>
                <w:rFonts w:eastAsia="Calibri"/>
              </w:rPr>
              <w:t xml:space="preserve">Es ist sichergestellt, dass die Mischung unter Änderung aller Datensätze und Datenfelder </w:t>
            </w:r>
            <w:r w:rsidRPr="004832F9">
              <w:rPr>
                <w:rFonts w:eastAsia="Calibri"/>
              </w:rPr>
              <w:t>erfolgt</w:t>
            </w:r>
          </w:p>
        </w:tc>
        <w:tc>
          <w:tcPr>
            <w:tcW w:w="1590" w:type="dxa"/>
          </w:tcPr>
          <w:p w14:paraId="3535B013" w14:textId="77777777" w:rsidR="00AE4EA7" w:rsidRDefault="00AE4EA7">
            <w:pPr>
              <w:widowControl w:val="0"/>
              <w:spacing w:after="0" w:line="240" w:lineRule="auto"/>
              <w:rPr>
                <w:rFonts w:ascii="Calibri" w:eastAsia="Calibri" w:hAnsi="Calibri"/>
              </w:rPr>
            </w:pPr>
          </w:p>
        </w:tc>
        <w:tc>
          <w:tcPr>
            <w:tcW w:w="1590" w:type="dxa"/>
          </w:tcPr>
          <w:p w14:paraId="67B08C30" w14:textId="77777777" w:rsidR="00AE4EA7" w:rsidRDefault="00AE4EA7">
            <w:pPr>
              <w:widowControl w:val="0"/>
              <w:spacing w:after="0" w:line="240" w:lineRule="auto"/>
              <w:rPr>
                <w:rFonts w:ascii="Calibri" w:eastAsia="Calibri" w:hAnsi="Calibri"/>
              </w:rPr>
            </w:pPr>
          </w:p>
        </w:tc>
      </w:tr>
      <w:tr w:rsidR="00AE4EA7" w14:paraId="4E4D7C10" w14:textId="77777777">
        <w:tc>
          <w:tcPr>
            <w:tcW w:w="5916" w:type="dxa"/>
          </w:tcPr>
          <w:p w14:paraId="20A218F7" w14:textId="77777777" w:rsidR="00AE4EA7" w:rsidRDefault="00000000">
            <w:pPr>
              <w:widowControl w:val="0"/>
              <w:spacing w:after="0" w:line="240" w:lineRule="auto"/>
              <w:rPr>
                <w:rFonts w:ascii="Calibri" w:eastAsia="Calibri" w:hAnsi="Calibri"/>
              </w:rPr>
            </w:pPr>
            <w:r>
              <w:rPr>
                <w:rFonts w:eastAsia="Calibri"/>
              </w:rPr>
              <w:t xml:space="preserve">Daten, die schon für sich eindeutig personenbeziehbar sind und durch eine Mischung nicht veränderbar sind, werden zusätzlich mit einer anderen Verfremdungsmethode </w:t>
            </w:r>
            <w:r w:rsidRPr="004832F9">
              <w:rPr>
                <w:rFonts w:eastAsia="Calibri"/>
              </w:rPr>
              <w:t>bearbeitet</w:t>
            </w:r>
          </w:p>
        </w:tc>
        <w:tc>
          <w:tcPr>
            <w:tcW w:w="1590" w:type="dxa"/>
          </w:tcPr>
          <w:p w14:paraId="05A48C48" w14:textId="77777777" w:rsidR="00AE4EA7" w:rsidRDefault="00AE4EA7">
            <w:pPr>
              <w:widowControl w:val="0"/>
              <w:spacing w:after="0" w:line="240" w:lineRule="auto"/>
              <w:rPr>
                <w:rFonts w:ascii="Calibri" w:eastAsia="Calibri" w:hAnsi="Calibri"/>
              </w:rPr>
            </w:pPr>
          </w:p>
        </w:tc>
        <w:tc>
          <w:tcPr>
            <w:tcW w:w="1590" w:type="dxa"/>
          </w:tcPr>
          <w:p w14:paraId="14A663C0" w14:textId="77777777" w:rsidR="00AE4EA7" w:rsidRDefault="00AE4EA7">
            <w:pPr>
              <w:widowControl w:val="0"/>
              <w:spacing w:after="0" w:line="240" w:lineRule="auto"/>
              <w:rPr>
                <w:rFonts w:ascii="Calibri" w:eastAsia="Calibri" w:hAnsi="Calibri"/>
              </w:rPr>
            </w:pPr>
          </w:p>
        </w:tc>
      </w:tr>
    </w:tbl>
    <w:p w14:paraId="0D9D5E50" w14:textId="77777777" w:rsidR="00AE4EA7" w:rsidRDefault="00000000">
      <w:pPr>
        <w:pStyle w:val="berschrift2"/>
      </w:pPr>
      <w:bookmarkStart w:id="245" w:name="_Toc154652683"/>
      <w:r>
        <w:t>Varianzmethode</w:t>
      </w:r>
      <w:bookmarkEnd w:id="245"/>
    </w:p>
    <w:tbl>
      <w:tblPr>
        <w:tblStyle w:val="Tabellenraster"/>
        <w:tblW w:w="9096" w:type="dxa"/>
        <w:tblLayout w:type="fixed"/>
        <w:tblLook w:val="04A0" w:firstRow="1" w:lastRow="0" w:firstColumn="1" w:lastColumn="0" w:noHBand="0" w:noVBand="1"/>
      </w:tblPr>
      <w:tblGrid>
        <w:gridCol w:w="5916"/>
        <w:gridCol w:w="1590"/>
        <w:gridCol w:w="1590"/>
      </w:tblGrid>
      <w:tr w:rsidR="00AE4EA7" w14:paraId="6A00BDEA" w14:textId="77777777">
        <w:tc>
          <w:tcPr>
            <w:tcW w:w="5916" w:type="dxa"/>
          </w:tcPr>
          <w:p w14:paraId="6937D723" w14:textId="77777777" w:rsidR="00AE4EA7" w:rsidRDefault="00000000">
            <w:pPr>
              <w:widowControl w:val="0"/>
              <w:spacing w:after="0" w:line="240" w:lineRule="auto"/>
              <w:jc w:val="center"/>
              <w:rPr>
                <w:b/>
              </w:rPr>
            </w:pPr>
            <w:r>
              <w:rPr>
                <w:rFonts w:eastAsia="Calibri"/>
                <w:b/>
              </w:rPr>
              <w:t>Anforderung</w:t>
            </w:r>
          </w:p>
        </w:tc>
        <w:tc>
          <w:tcPr>
            <w:tcW w:w="1590" w:type="dxa"/>
          </w:tcPr>
          <w:p w14:paraId="1E453CC6" w14:textId="77777777" w:rsidR="00AE4EA7" w:rsidRDefault="00000000">
            <w:pPr>
              <w:widowControl w:val="0"/>
              <w:spacing w:after="0" w:line="240" w:lineRule="auto"/>
              <w:jc w:val="center"/>
              <w:rPr>
                <w:b/>
              </w:rPr>
            </w:pPr>
            <w:r>
              <w:rPr>
                <w:rFonts w:eastAsia="Calibri"/>
                <w:b/>
              </w:rPr>
              <w:t>Erfüllt</w:t>
            </w:r>
          </w:p>
        </w:tc>
        <w:tc>
          <w:tcPr>
            <w:tcW w:w="1590" w:type="dxa"/>
          </w:tcPr>
          <w:p w14:paraId="61393059" w14:textId="77777777" w:rsidR="00AE4EA7" w:rsidRDefault="00000000">
            <w:pPr>
              <w:widowControl w:val="0"/>
              <w:spacing w:after="0" w:line="240" w:lineRule="auto"/>
              <w:jc w:val="center"/>
              <w:rPr>
                <w:b/>
              </w:rPr>
            </w:pPr>
            <w:r>
              <w:rPr>
                <w:rFonts w:eastAsia="Calibri"/>
                <w:b/>
              </w:rPr>
              <w:t xml:space="preserve">Nicht </w:t>
            </w:r>
            <w:r w:rsidRPr="004832F9">
              <w:rPr>
                <w:rFonts w:eastAsia="Calibri"/>
                <w:b/>
              </w:rPr>
              <w:t>erfüllt</w:t>
            </w:r>
          </w:p>
        </w:tc>
      </w:tr>
      <w:tr w:rsidR="00AE4EA7" w14:paraId="6E36C41C" w14:textId="77777777">
        <w:tc>
          <w:tcPr>
            <w:tcW w:w="5916" w:type="dxa"/>
          </w:tcPr>
          <w:p w14:paraId="3982B651" w14:textId="77777777" w:rsidR="00AE4EA7" w:rsidRDefault="00000000">
            <w:pPr>
              <w:widowControl w:val="0"/>
              <w:spacing w:after="0" w:line="240" w:lineRule="auto"/>
              <w:rPr>
                <w:rFonts w:ascii="Calibri" w:eastAsia="Calibri" w:hAnsi="Calibri"/>
              </w:rPr>
            </w:pPr>
            <w:r>
              <w:rPr>
                <w:rFonts w:eastAsia="Calibri"/>
              </w:rPr>
              <w:t xml:space="preserve">Die jeweilige Erhöhung oder Verringerung basiert auf </w:t>
            </w:r>
            <w:r w:rsidRPr="004832F9">
              <w:rPr>
                <w:rFonts w:eastAsia="Calibri"/>
              </w:rPr>
              <w:t>Zufallswerten</w:t>
            </w:r>
          </w:p>
        </w:tc>
        <w:tc>
          <w:tcPr>
            <w:tcW w:w="1590" w:type="dxa"/>
          </w:tcPr>
          <w:p w14:paraId="66990203" w14:textId="77777777" w:rsidR="00AE4EA7" w:rsidRDefault="00AE4EA7">
            <w:pPr>
              <w:widowControl w:val="0"/>
              <w:spacing w:after="0" w:line="240" w:lineRule="auto"/>
              <w:rPr>
                <w:rFonts w:ascii="Calibri" w:eastAsia="Calibri" w:hAnsi="Calibri"/>
              </w:rPr>
            </w:pPr>
          </w:p>
        </w:tc>
        <w:tc>
          <w:tcPr>
            <w:tcW w:w="1590" w:type="dxa"/>
          </w:tcPr>
          <w:p w14:paraId="16EF1CF6" w14:textId="77777777" w:rsidR="00AE4EA7" w:rsidRDefault="00AE4EA7">
            <w:pPr>
              <w:widowControl w:val="0"/>
              <w:spacing w:after="0" w:line="240" w:lineRule="auto"/>
              <w:rPr>
                <w:rFonts w:ascii="Calibri" w:eastAsia="Calibri" w:hAnsi="Calibri"/>
              </w:rPr>
            </w:pPr>
          </w:p>
        </w:tc>
      </w:tr>
    </w:tbl>
    <w:p w14:paraId="460E4F99" w14:textId="77777777" w:rsidR="00AE4EA7" w:rsidRDefault="00000000">
      <w:pPr>
        <w:pStyle w:val="berschrift2"/>
      </w:pPr>
      <w:bookmarkStart w:id="246" w:name="_Toc154652684"/>
      <w:r>
        <w:t>Kryptografische Methoden</w:t>
      </w:r>
      <w:bookmarkEnd w:id="246"/>
    </w:p>
    <w:p w14:paraId="2E1069F0" w14:textId="77777777" w:rsidR="00AE4EA7" w:rsidRDefault="00000000">
      <w:pPr>
        <w:pStyle w:val="berschrift3"/>
      </w:pPr>
      <w:bookmarkStart w:id="247" w:name="_Toc154652685"/>
      <w:r>
        <w:t>Verschlüsselung</w:t>
      </w:r>
      <w:bookmarkEnd w:id="247"/>
    </w:p>
    <w:tbl>
      <w:tblPr>
        <w:tblStyle w:val="Tabellenraster"/>
        <w:tblW w:w="9096" w:type="dxa"/>
        <w:tblLayout w:type="fixed"/>
        <w:tblLook w:val="04A0" w:firstRow="1" w:lastRow="0" w:firstColumn="1" w:lastColumn="0" w:noHBand="0" w:noVBand="1"/>
      </w:tblPr>
      <w:tblGrid>
        <w:gridCol w:w="5916"/>
        <w:gridCol w:w="1590"/>
        <w:gridCol w:w="1590"/>
      </w:tblGrid>
      <w:tr w:rsidR="00AE4EA7" w14:paraId="4E509FB1" w14:textId="77777777">
        <w:trPr>
          <w:tblHeader/>
        </w:trPr>
        <w:tc>
          <w:tcPr>
            <w:tcW w:w="5916" w:type="dxa"/>
          </w:tcPr>
          <w:p w14:paraId="46BCEF5C" w14:textId="77777777" w:rsidR="00AE4EA7" w:rsidRDefault="00000000">
            <w:pPr>
              <w:widowControl w:val="0"/>
              <w:spacing w:after="0" w:line="240" w:lineRule="auto"/>
              <w:jc w:val="center"/>
              <w:rPr>
                <w:b/>
              </w:rPr>
            </w:pPr>
            <w:r>
              <w:rPr>
                <w:rFonts w:eastAsia="Calibri"/>
                <w:b/>
              </w:rPr>
              <w:t>Anforderung</w:t>
            </w:r>
          </w:p>
        </w:tc>
        <w:tc>
          <w:tcPr>
            <w:tcW w:w="1590" w:type="dxa"/>
          </w:tcPr>
          <w:p w14:paraId="593767B9" w14:textId="77777777" w:rsidR="00AE4EA7" w:rsidRDefault="00000000">
            <w:pPr>
              <w:widowControl w:val="0"/>
              <w:spacing w:after="0" w:line="240" w:lineRule="auto"/>
              <w:jc w:val="center"/>
              <w:rPr>
                <w:b/>
              </w:rPr>
            </w:pPr>
            <w:r>
              <w:rPr>
                <w:rFonts w:eastAsia="Calibri"/>
                <w:b/>
              </w:rPr>
              <w:t>Erfüllt</w:t>
            </w:r>
          </w:p>
        </w:tc>
        <w:tc>
          <w:tcPr>
            <w:tcW w:w="1590" w:type="dxa"/>
          </w:tcPr>
          <w:p w14:paraId="3D93131A" w14:textId="77777777" w:rsidR="00AE4EA7" w:rsidRDefault="00000000">
            <w:pPr>
              <w:widowControl w:val="0"/>
              <w:spacing w:after="0" w:line="240" w:lineRule="auto"/>
              <w:jc w:val="center"/>
              <w:rPr>
                <w:b/>
              </w:rPr>
            </w:pPr>
            <w:r>
              <w:rPr>
                <w:rFonts w:eastAsia="Calibri"/>
                <w:b/>
              </w:rPr>
              <w:t xml:space="preserve">Nicht </w:t>
            </w:r>
            <w:r w:rsidRPr="004832F9">
              <w:rPr>
                <w:rFonts w:eastAsia="Calibri"/>
                <w:b/>
              </w:rPr>
              <w:t>erfüllt</w:t>
            </w:r>
          </w:p>
        </w:tc>
      </w:tr>
      <w:tr w:rsidR="00AE4EA7" w14:paraId="016966D4" w14:textId="77777777">
        <w:tc>
          <w:tcPr>
            <w:tcW w:w="5916" w:type="dxa"/>
          </w:tcPr>
          <w:p w14:paraId="060B1B93" w14:textId="74369DDC" w:rsidR="00AE4EA7" w:rsidRDefault="00000000">
            <w:pPr>
              <w:widowControl w:val="0"/>
              <w:spacing w:after="0" w:line="240" w:lineRule="auto"/>
              <w:rPr>
                <w:rFonts w:ascii="Calibri" w:eastAsia="Calibri" w:hAnsi="Calibri"/>
              </w:rPr>
            </w:pPr>
            <w:r>
              <w:rPr>
                <w:rFonts w:eastAsia="Calibri"/>
              </w:rPr>
              <w:t xml:space="preserve">Es ist gewährleistet, dass die Erzeugung des Schlüssels bzw. Schlüsselmaterials ein sicherer Prozess </w:t>
            </w:r>
            <w:r w:rsidRPr="004C1658">
              <w:rPr>
                <w:rFonts w:eastAsia="Calibri"/>
              </w:rPr>
              <w:t>ist</w:t>
            </w:r>
            <w:r w:rsidR="00027508">
              <w:rPr>
                <w:rFonts w:eastAsia="Calibri"/>
              </w:rPr>
              <w:t>.</w:t>
            </w:r>
          </w:p>
        </w:tc>
        <w:tc>
          <w:tcPr>
            <w:tcW w:w="1590" w:type="dxa"/>
          </w:tcPr>
          <w:p w14:paraId="732D9ACF" w14:textId="77777777" w:rsidR="00AE4EA7" w:rsidRDefault="00AE4EA7">
            <w:pPr>
              <w:widowControl w:val="0"/>
              <w:spacing w:after="0" w:line="240" w:lineRule="auto"/>
              <w:rPr>
                <w:rFonts w:ascii="Calibri" w:eastAsia="Calibri" w:hAnsi="Calibri"/>
              </w:rPr>
            </w:pPr>
          </w:p>
        </w:tc>
        <w:tc>
          <w:tcPr>
            <w:tcW w:w="1590" w:type="dxa"/>
          </w:tcPr>
          <w:p w14:paraId="3798F12F" w14:textId="77777777" w:rsidR="00AE4EA7" w:rsidRDefault="00AE4EA7">
            <w:pPr>
              <w:widowControl w:val="0"/>
              <w:spacing w:after="0" w:line="240" w:lineRule="auto"/>
              <w:rPr>
                <w:rFonts w:ascii="Calibri" w:eastAsia="Calibri" w:hAnsi="Calibri"/>
              </w:rPr>
            </w:pPr>
          </w:p>
        </w:tc>
      </w:tr>
      <w:tr w:rsidR="00AE4EA7" w14:paraId="033ABE58" w14:textId="77777777">
        <w:tc>
          <w:tcPr>
            <w:tcW w:w="5916" w:type="dxa"/>
          </w:tcPr>
          <w:p w14:paraId="439A82D2" w14:textId="1E507C16" w:rsidR="00AE4EA7" w:rsidRDefault="00000000">
            <w:pPr>
              <w:widowControl w:val="0"/>
              <w:spacing w:after="0" w:line="240" w:lineRule="auto"/>
              <w:rPr>
                <w:rFonts w:ascii="Calibri" w:eastAsia="Calibri" w:hAnsi="Calibri"/>
              </w:rPr>
            </w:pPr>
            <w:r>
              <w:rPr>
                <w:rFonts w:eastAsia="Calibri"/>
              </w:rPr>
              <w:t xml:space="preserve">Es ist gewährleistet, dass der Erzeugung des Schlüssels bzw. Schlüsselmaterials eine qualitativ hochwertige Zufallszahlenquelle zugrunde </w:t>
            </w:r>
            <w:r w:rsidRPr="004C1658">
              <w:rPr>
                <w:rFonts w:eastAsia="Calibri"/>
              </w:rPr>
              <w:t>liegt</w:t>
            </w:r>
            <w:r w:rsidR="00027508">
              <w:rPr>
                <w:rFonts w:eastAsia="Calibri"/>
              </w:rPr>
              <w:t>.</w:t>
            </w:r>
          </w:p>
        </w:tc>
        <w:tc>
          <w:tcPr>
            <w:tcW w:w="1590" w:type="dxa"/>
          </w:tcPr>
          <w:p w14:paraId="199987C9" w14:textId="77777777" w:rsidR="00AE4EA7" w:rsidRDefault="00AE4EA7">
            <w:pPr>
              <w:widowControl w:val="0"/>
              <w:spacing w:after="0" w:line="240" w:lineRule="auto"/>
              <w:rPr>
                <w:rFonts w:ascii="Calibri" w:eastAsia="Calibri" w:hAnsi="Calibri"/>
              </w:rPr>
            </w:pPr>
          </w:p>
        </w:tc>
        <w:tc>
          <w:tcPr>
            <w:tcW w:w="1590" w:type="dxa"/>
          </w:tcPr>
          <w:p w14:paraId="31FAF2A0" w14:textId="77777777" w:rsidR="00AE4EA7" w:rsidRDefault="00AE4EA7">
            <w:pPr>
              <w:widowControl w:val="0"/>
              <w:spacing w:after="0" w:line="240" w:lineRule="auto"/>
              <w:rPr>
                <w:rFonts w:ascii="Calibri" w:eastAsia="Calibri" w:hAnsi="Calibri"/>
              </w:rPr>
            </w:pPr>
          </w:p>
        </w:tc>
      </w:tr>
      <w:tr w:rsidR="00AE4EA7" w14:paraId="6CB1536F" w14:textId="77777777">
        <w:tc>
          <w:tcPr>
            <w:tcW w:w="5916" w:type="dxa"/>
          </w:tcPr>
          <w:p w14:paraId="7FA4DDC1" w14:textId="73E884C8" w:rsidR="00AE4EA7" w:rsidRDefault="00000000">
            <w:pPr>
              <w:widowControl w:val="0"/>
              <w:spacing w:after="0" w:line="240" w:lineRule="auto"/>
              <w:rPr>
                <w:rFonts w:ascii="Calibri" w:eastAsia="Calibri" w:hAnsi="Calibri"/>
              </w:rPr>
            </w:pPr>
            <w:r>
              <w:rPr>
                <w:rFonts w:eastAsia="Calibri"/>
              </w:rPr>
              <w:t xml:space="preserve">Es ist sichergestellt, dass der Schlüssel bzw. das Schlüsselmaterial derart erzeugt wird, dass diese weder vorhersagbar </w:t>
            </w:r>
            <w:r w:rsidRPr="004832F9">
              <w:rPr>
                <w:rFonts w:eastAsia="Calibri"/>
              </w:rPr>
              <w:t>sind</w:t>
            </w:r>
            <w:r w:rsidR="004832F9" w:rsidRPr="004832F9">
              <w:rPr>
                <w:rFonts w:eastAsia="Calibri"/>
              </w:rPr>
              <w:t>,</w:t>
            </w:r>
            <w:r w:rsidRPr="004832F9">
              <w:rPr>
                <w:rFonts w:eastAsia="Calibri"/>
              </w:rPr>
              <w:t xml:space="preserve"> noch erraten werden können</w:t>
            </w:r>
            <w:r w:rsidR="00027508">
              <w:rPr>
                <w:rFonts w:eastAsia="Calibri"/>
              </w:rPr>
              <w:t>.</w:t>
            </w:r>
          </w:p>
        </w:tc>
        <w:tc>
          <w:tcPr>
            <w:tcW w:w="1590" w:type="dxa"/>
          </w:tcPr>
          <w:p w14:paraId="72DC2043" w14:textId="77777777" w:rsidR="00AE4EA7" w:rsidRDefault="00AE4EA7">
            <w:pPr>
              <w:widowControl w:val="0"/>
              <w:spacing w:after="0" w:line="240" w:lineRule="auto"/>
              <w:rPr>
                <w:rFonts w:ascii="Calibri" w:eastAsia="Calibri" w:hAnsi="Calibri"/>
              </w:rPr>
            </w:pPr>
          </w:p>
        </w:tc>
        <w:tc>
          <w:tcPr>
            <w:tcW w:w="1590" w:type="dxa"/>
          </w:tcPr>
          <w:p w14:paraId="01CE9185" w14:textId="77777777" w:rsidR="00AE4EA7" w:rsidRDefault="00AE4EA7">
            <w:pPr>
              <w:widowControl w:val="0"/>
              <w:spacing w:after="0" w:line="240" w:lineRule="auto"/>
              <w:rPr>
                <w:rFonts w:ascii="Calibri" w:eastAsia="Calibri" w:hAnsi="Calibri"/>
              </w:rPr>
            </w:pPr>
          </w:p>
        </w:tc>
      </w:tr>
      <w:tr w:rsidR="00AE4EA7" w14:paraId="4254DEA1" w14:textId="77777777">
        <w:tc>
          <w:tcPr>
            <w:tcW w:w="5916" w:type="dxa"/>
          </w:tcPr>
          <w:p w14:paraId="69DACB66" w14:textId="10F856D1" w:rsidR="00AE4EA7" w:rsidRDefault="00000000">
            <w:pPr>
              <w:widowControl w:val="0"/>
              <w:spacing w:after="0" w:line="240" w:lineRule="auto"/>
              <w:rPr>
                <w:rFonts w:ascii="Calibri" w:eastAsia="Calibri" w:hAnsi="Calibri"/>
              </w:rPr>
            </w:pPr>
            <w:r>
              <w:rPr>
                <w:rFonts w:eastAsia="Calibri"/>
              </w:rPr>
              <w:t xml:space="preserve">Es ist gewährleistet, dass die Vertraulichkeit des Schlüssels bzw. des Schlüsselmaterials während des vollständigen Lebenszyklus der verarbeiteten personenbezogenen Daten gewährleistet </w:t>
            </w:r>
            <w:r w:rsidRPr="004C1658">
              <w:rPr>
                <w:rFonts w:eastAsia="Calibri"/>
              </w:rPr>
              <w:t>ist</w:t>
            </w:r>
            <w:r w:rsidR="00027508">
              <w:rPr>
                <w:rFonts w:eastAsia="Calibri"/>
              </w:rPr>
              <w:t>.</w:t>
            </w:r>
          </w:p>
        </w:tc>
        <w:tc>
          <w:tcPr>
            <w:tcW w:w="1590" w:type="dxa"/>
          </w:tcPr>
          <w:p w14:paraId="09BA0590" w14:textId="77777777" w:rsidR="00AE4EA7" w:rsidRDefault="00AE4EA7">
            <w:pPr>
              <w:widowControl w:val="0"/>
              <w:spacing w:after="0" w:line="240" w:lineRule="auto"/>
              <w:rPr>
                <w:rFonts w:ascii="Calibri" w:eastAsia="Calibri" w:hAnsi="Calibri"/>
              </w:rPr>
            </w:pPr>
          </w:p>
        </w:tc>
        <w:tc>
          <w:tcPr>
            <w:tcW w:w="1590" w:type="dxa"/>
          </w:tcPr>
          <w:p w14:paraId="4074224E" w14:textId="77777777" w:rsidR="00AE4EA7" w:rsidRDefault="00AE4EA7">
            <w:pPr>
              <w:widowControl w:val="0"/>
              <w:spacing w:after="0" w:line="240" w:lineRule="auto"/>
              <w:rPr>
                <w:rFonts w:ascii="Calibri" w:eastAsia="Calibri" w:hAnsi="Calibri"/>
              </w:rPr>
            </w:pPr>
          </w:p>
        </w:tc>
      </w:tr>
      <w:tr w:rsidR="00AE4EA7" w14:paraId="59127121" w14:textId="77777777">
        <w:tc>
          <w:tcPr>
            <w:tcW w:w="5916" w:type="dxa"/>
          </w:tcPr>
          <w:p w14:paraId="4CEDAD97" w14:textId="23A6D533" w:rsidR="00AE4EA7" w:rsidRDefault="00000000">
            <w:pPr>
              <w:widowControl w:val="0"/>
              <w:spacing w:after="0" w:line="240" w:lineRule="auto"/>
              <w:rPr>
                <w:rFonts w:ascii="Calibri" w:eastAsia="Calibri" w:hAnsi="Calibri"/>
              </w:rPr>
            </w:pPr>
            <w:r>
              <w:rPr>
                <w:rFonts w:eastAsia="Calibri"/>
              </w:rPr>
              <w:t xml:space="preserve">Es ist sichergestellt, dass der Zugriff auf den Schlüssel bzw. das Schlüsselmaterial auf ein absolutes Minimum vertrauenswürdiger Anwender beschränkt </w:t>
            </w:r>
            <w:r w:rsidRPr="004C1658">
              <w:rPr>
                <w:rFonts w:eastAsia="Calibri"/>
              </w:rPr>
              <w:t>ist</w:t>
            </w:r>
            <w:r w:rsidR="00027508">
              <w:rPr>
                <w:rFonts w:eastAsia="Calibri"/>
              </w:rPr>
              <w:t>.</w:t>
            </w:r>
          </w:p>
        </w:tc>
        <w:tc>
          <w:tcPr>
            <w:tcW w:w="1590" w:type="dxa"/>
          </w:tcPr>
          <w:p w14:paraId="5529514C" w14:textId="77777777" w:rsidR="00AE4EA7" w:rsidRDefault="00AE4EA7">
            <w:pPr>
              <w:widowControl w:val="0"/>
              <w:spacing w:after="0" w:line="240" w:lineRule="auto"/>
              <w:rPr>
                <w:rFonts w:ascii="Calibri" w:eastAsia="Calibri" w:hAnsi="Calibri"/>
              </w:rPr>
            </w:pPr>
          </w:p>
        </w:tc>
        <w:tc>
          <w:tcPr>
            <w:tcW w:w="1590" w:type="dxa"/>
          </w:tcPr>
          <w:p w14:paraId="2D20A97A" w14:textId="77777777" w:rsidR="00AE4EA7" w:rsidRDefault="00AE4EA7">
            <w:pPr>
              <w:widowControl w:val="0"/>
              <w:spacing w:after="0" w:line="240" w:lineRule="auto"/>
              <w:rPr>
                <w:rFonts w:ascii="Calibri" w:eastAsia="Calibri" w:hAnsi="Calibri"/>
              </w:rPr>
            </w:pPr>
          </w:p>
        </w:tc>
      </w:tr>
      <w:tr w:rsidR="00AE4EA7" w14:paraId="01BECFD7" w14:textId="77777777">
        <w:tc>
          <w:tcPr>
            <w:tcW w:w="5916" w:type="dxa"/>
          </w:tcPr>
          <w:p w14:paraId="338AE797" w14:textId="66AC592B" w:rsidR="00AE4EA7" w:rsidRDefault="00000000">
            <w:pPr>
              <w:widowControl w:val="0"/>
              <w:spacing w:after="0" w:line="240" w:lineRule="auto"/>
              <w:rPr>
                <w:rFonts w:ascii="Calibri" w:eastAsia="Calibri" w:hAnsi="Calibri"/>
              </w:rPr>
            </w:pPr>
            <w:r>
              <w:rPr>
                <w:rFonts w:eastAsia="Calibri"/>
              </w:rPr>
              <w:t xml:space="preserve">Es werden ausschließlich Standard-Verschlüsselungs-Algorithmen entsprechend den Empfehlungen des BSI bzw. der Bundesnetzagentur </w:t>
            </w:r>
            <w:r w:rsidRPr="004C1658">
              <w:rPr>
                <w:rFonts w:eastAsia="Calibri"/>
              </w:rPr>
              <w:t>verwendet</w:t>
            </w:r>
            <w:r w:rsidR="00027508">
              <w:rPr>
                <w:rFonts w:eastAsia="Calibri"/>
              </w:rPr>
              <w:t>.</w:t>
            </w:r>
          </w:p>
        </w:tc>
        <w:tc>
          <w:tcPr>
            <w:tcW w:w="1590" w:type="dxa"/>
          </w:tcPr>
          <w:p w14:paraId="72E35535" w14:textId="77777777" w:rsidR="00AE4EA7" w:rsidRDefault="00AE4EA7">
            <w:pPr>
              <w:widowControl w:val="0"/>
              <w:spacing w:after="0" w:line="240" w:lineRule="auto"/>
              <w:rPr>
                <w:rFonts w:ascii="Calibri" w:eastAsia="Calibri" w:hAnsi="Calibri"/>
              </w:rPr>
            </w:pPr>
          </w:p>
        </w:tc>
        <w:tc>
          <w:tcPr>
            <w:tcW w:w="1590" w:type="dxa"/>
          </w:tcPr>
          <w:p w14:paraId="1648CBCA" w14:textId="77777777" w:rsidR="00AE4EA7" w:rsidRDefault="00AE4EA7">
            <w:pPr>
              <w:widowControl w:val="0"/>
              <w:spacing w:after="0" w:line="240" w:lineRule="auto"/>
              <w:rPr>
                <w:rFonts w:ascii="Calibri" w:eastAsia="Calibri" w:hAnsi="Calibri"/>
              </w:rPr>
            </w:pPr>
          </w:p>
        </w:tc>
      </w:tr>
      <w:tr w:rsidR="00AE4EA7" w14:paraId="1F019BAF" w14:textId="77777777">
        <w:tc>
          <w:tcPr>
            <w:tcW w:w="5916" w:type="dxa"/>
          </w:tcPr>
          <w:p w14:paraId="10381B36" w14:textId="38C00C76" w:rsidR="00AE4EA7" w:rsidRDefault="00000000">
            <w:pPr>
              <w:widowControl w:val="0"/>
              <w:spacing w:after="0" w:line="240" w:lineRule="auto"/>
              <w:rPr>
                <w:rFonts w:ascii="Calibri" w:eastAsia="Calibri" w:hAnsi="Calibri"/>
              </w:rPr>
            </w:pPr>
            <w:r>
              <w:rPr>
                <w:rFonts w:eastAsia="Calibri"/>
              </w:rPr>
              <w:t xml:space="preserve">Es ist sichergestellt, dass das verwendete Verfahren eine hinreichende Stärke sowie keinerlei bekannte Schwächen </w:t>
            </w:r>
            <w:r w:rsidRPr="004C1658">
              <w:rPr>
                <w:rFonts w:eastAsia="Calibri"/>
              </w:rPr>
              <w:t>aufweist</w:t>
            </w:r>
            <w:r w:rsidR="00027508">
              <w:rPr>
                <w:rFonts w:eastAsia="Calibri"/>
              </w:rPr>
              <w:t>.</w:t>
            </w:r>
          </w:p>
        </w:tc>
        <w:tc>
          <w:tcPr>
            <w:tcW w:w="1590" w:type="dxa"/>
          </w:tcPr>
          <w:p w14:paraId="5378B19F" w14:textId="77777777" w:rsidR="00AE4EA7" w:rsidRDefault="00AE4EA7">
            <w:pPr>
              <w:widowControl w:val="0"/>
              <w:spacing w:after="0" w:line="240" w:lineRule="auto"/>
              <w:rPr>
                <w:rFonts w:ascii="Calibri" w:eastAsia="Calibri" w:hAnsi="Calibri"/>
              </w:rPr>
            </w:pPr>
          </w:p>
        </w:tc>
        <w:tc>
          <w:tcPr>
            <w:tcW w:w="1590" w:type="dxa"/>
          </w:tcPr>
          <w:p w14:paraId="58430AC9" w14:textId="77777777" w:rsidR="00AE4EA7" w:rsidRDefault="00AE4EA7">
            <w:pPr>
              <w:widowControl w:val="0"/>
              <w:spacing w:after="0" w:line="240" w:lineRule="auto"/>
              <w:rPr>
                <w:rFonts w:ascii="Calibri" w:eastAsia="Calibri" w:hAnsi="Calibri"/>
              </w:rPr>
            </w:pPr>
          </w:p>
        </w:tc>
      </w:tr>
      <w:tr w:rsidR="00AE4EA7" w14:paraId="485B8171" w14:textId="77777777">
        <w:tc>
          <w:tcPr>
            <w:tcW w:w="5916" w:type="dxa"/>
          </w:tcPr>
          <w:p w14:paraId="1BBE5A2C" w14:textId="4232C959" w:rsidR="00AE4EA7" w:rsidRDefault="00000000">
            <w:pPr>
              <w:widowControl w:val="0"/>
              <w:spacing w:after="0" w:line="240" w:lineRule="auto"/>
              <w:rPr>
                <w:rFonts w:ascii="Calibri" w:eastAsia="Calibri" w:hAnsi="Calibri"/>
              </w:rPr>
            </w:pPr>
            <w:r>
              <w:rPr>
                <w:rFonts w:eastAsia="Calibri"/>
              </w:rPr>
              <w:t xml:space="preserve">Es ist sichergestellt, dass der für die Verschlüsselungsalgorithmen verwendete Schlüssel von ausreichender Qualität </w:t>
            </w:r>
            <w:r w:rsidRPr="004C1658">
              <w:rPr>
                <w:rFonts w:eastAsia="Calibri"/>
              </w:rPr>
              <w:t>ist</w:t>
            </w:r>
            <w:r w:rsidR="00027508">
              <w:rPr>
                <w:rFonts w:eastAsia="Calibri"/>
              </w:rPr>
              <w:t>.</w:t>
            </w:r>
          </w:p>
        </w:tc>
        <w:tc>
          <w:tcPr>
            <w:tcW w:w="1590" w:type="dxa"/>
          </w:tcPr>
          <w:p w14:paraId="70961C67" w14:textId="77777777" w:rsidR="00AE4EA7" w:rsidRDefault="00AE4EA7">
            <w:pPr>
              <w:widowControl w:val="0"/>
              <w:spacing w:after="0" w:line="240" w:lineRule="auto"/>
              <w:rPr>
                <w:rFonts w:ascii="Calibri" w:eastAsia="Calibri" w:hAnsi="Calibri"/>
              </w:rPr>
            </w:pPr>
          </w:p>
        </w:tc>
        <w:tc>
          <w:tcPr>
            <w:tcW w:w="1590" w:type="dxa"/>
          </w:tcPr>
          <w:p w14:paraId="49CC9421" w14:textId="77777777" w:rsidR="00AE4EA7" w:rsidRDefault="00AE4EA7">
            <w:pPr>
              <w:widowControl w:val="0"/>
              <w:spacing w:after="0" w:line="240" w:lineRule="auto"/>
              <w:rPr>
                <w:rFonts w:ascii="Calibri" w:eastAsia="Calibri" w:hAnsi="Calibri"/>
              </w:rPr>
            </w:pPr>
          </w:p>
        </w:tc>
      </w:tr>
      <w:tr w:rsidR="00AE4EA7" w14:paraId="55D45FE0" w14:textId="77777777">
        <w:tc>
          <w:tcPr>
            <w:tcW w:w="5916" w:type="dxa"/>
          </w:tcPr>
          <w:p w14:paraId="7981A284" w14:textId="7E37752C" w:rsidR="00AE4EA7" w:rsidRDefault="00000000">
            <w:pPr>
              <w:widowControl w:val="0"/>
              <w:spacing w:after="0" w:line="240" w:lineRule="auto"/>
              <w:rPr>
                <w:rFonts w:ascii="Calibri" w:eastAsia="Calibri" w:hAnsi="Calibri"/>
              </w:rPr>
            </w:pPr>
            <w:r>
              <w:rPr>
                <w:rFonts w:eastAsia="Calibri"/>
              </w:rPr>
              <w:t xml:space="preserve">Es ist gewährleistet, dass der Schlüssel geheim gehalten </w:t>
            </w:r>
            <w:r w:rsidRPr="004C1658">
              <w:rPr>
                <w:rFonts w:eastAsia="Calibri"/>
              </w:rPr>
              <w:t>wird</w:t>
            </w:r>
            <w:r w:rsidR="00027508">
              <w:rPr>
                <w:rFonts w:eastAsia="Calibri"/>
              </w:rPr>
              <w:t>.</w:t>
            </w:r>
          </w:p>
        </w:tc>
        <w:tc>
          <w:tcPr>
            <w:tcW w:w="1590" w:type="dxa"/>
          </w:tcPr>
          <w:p w14:paraId="7D449351" w14:textId="77777777" w:rsidR="00AE4EA7" w:rsidRDefault="00AE4EA7">
            <w:pPr>
              <w:widowControl w:val="0"/>
              <w:spacing w:after="0" w:line="240" w:lineRule="auto"/>
              <w:rPr>
                <w:rFonts w:ascii="Calibri" w:eastAsia="Calibri" w:hAnsi="Calibri"/>
              </w:rPr>
            </w:pPr>
          </w:p>
        </w:tc>
        <w:tc>
          <w:tcPr>
            <w:tcW w:w="1590" w:type="dxa"/>
          </w:tcPr>
          <w:p w14:paraId="4AD483E2" w14:textId="77777777" w:rsidR="00AE4EA7" w:rsidRDefault="00AE4EA7">
            <w:pPr>
              <w:widowControl w:val="0"/>
              <w:spacing w:after="0" w:line="240" w:lineRule="auto"/>
              <w:rPr>
                <w:rFonts w:ascii="Calibri" w:eastAsia="Calibri" w:hAnsi="Calibri"/>
              </w:rPr>
            </w:pPr>
          </w:p>
        </w:tc>
      </w:tr>
      <w:tr w:rsidR="00AE4EA7" w14:paraId="6709D9FE" w14:textId="77777777">
        <w:tc>
          <w:tcPr>
            <w:tcW w:w="5916" w:type="dxa"/>
          </w:tcPr>
          <w:p w14:paraId="4F6EE7FF" w14:textId="7FEDFAC4" w:rsidR="00AE4EA7" w:rsidRDefault="00000000">
            <w:pPr>
              <w:widowControl w:val="0"/>
              <w:spacing w:after="0" w:line="240" w:lineRule="auto"/>
              <w:rPr>
                <w:rFonts w:ascii="Calibri" w:eastAsia="Calibri" w:hAnsi="Calibri"/>
              </w:rPr>
            </w:pPr>
            <w:r>
              <w:rPr>
                <w:rFonts w:eastAsia="Calibri"/>
              </w:rPr>
              <w:t xml:space="preserve">Es liegt ein Konzept zum Schlüsselmanagement vor und dieses enthält Informationen zum Schlüsseltausch, zur Feststellung von und Vorgehensweisen bei </w:t>
            </w:r>
            <w:r w:rsidRPr="004C1658">
              <w:rPr>
                <w:rFonts w:eastAsia="Calibri"/>
              </w:rPr>
              <w:t>Kompromittierung</w:t>
            </w:r>
            <w:r w:rsidR="00027508">
              <w:rPr>
                <w:rFonts w:eastAsia="Calibri"/>
              </w:rPr>
              <w:t>.</w:t>
            </w:r>
          </w:p>
        </w:tc>
        <w:tc>
          <w:tcPr>
            <w:tcW w:w="1590" w:type="dxa"/>
          </w:tcPr>
          <w:p w14:paraId="6CC6F062" w14:textId="77777777" w:rsidR="00AE4EA7" w:rsidRDefault="00AE4EA7">
            <w:pPr>
              <w:widowControl w:val="0"/>
              <w:spacing w:after="0" w:line="240" w:lineRule="auto"/>
              <w:rPr>
                <w:rFonts w:ascii="Calibri" w:eastAsia="Calibri" w:hAnsi="Calibri"/>
              </w:rPr>
            </w:pPr>
          </w:p>
        </w:tc>
        <w:tc>
          <w:tcPr>
            <w:tcW w:w="1590" w:type="dxa"/>
          </w:tcPr>
          <w:p w14:paraId="2700DC22" w14:textId="77777777" w:rsidR="00AE4EA7" w:rsidRDefault="00AE4EA7">
            <w:pPr>
              <w:widowControl w:val="0"/>
              <w:spacing w:after="0" w:line="240" w:lineRule="auto"/>
              <w:rPr>
                <w:rFonts w:ascii="Calibri" w:eastAsia="Calibri" w:hAnsi="Calibri"/>
              </w:rPr>
            </w:pPr>
          </w:p>
        </w:tc>
      </w:tr>
    </w:tbl>
    <w:p w14:paraId="523DAF86" w14:textId="77777777" w:rsidR="00216B82" w:rsidRDefault="00216B82" w:rsidP="00216B82"/>
    <w:p w14:paraId="06EA1E8B" w14:textId="77777777" w:rsidR="00216B82" w:rsidRDefault="00216B82">
      <w:pPr>
        <w:spacing w:after="0" w:line="240" w:lineRule="auto"/>
        <w:jc w:val="left"/>
        <w:rPr>
          <w:rFonts w:asciiTheme="majorHAnsi" w:eastAsiaTheme="majorEastAsia" w:hAnsiTheme="majorHAnsi" w:cstheme="majorBidi"/>
          <w:b/>
          <w:bCs/>
          <w:color w:val="4F81BD" w:themeColor="accent1"/>
        </w:rPr>
      </w:pPr>
      <w:r>
        <w:br w:type="page"/>
      </w:r>
    </w:p>
    <w:p w14:paraId="7FFCD6B6" w14:textId="2383809F" w:rsidR="00AE4EA7" w:rsidRDefault="00000000">
      <w:pPr>
        <w:pStyle w:val="berschrift3"/>
      </w:pPr>
      <w:bookmarkStart w:id="248" w:name="_Toc154652686"/>
      <w:r>
        <w:t>Hash-Funktionen</w:t>
      </w:r>
      <w:bookmarkEnd w:id="248"/>
    </w:p>
    <w:tbl>
      <w:tblPr>
        <w:tblStyle w:val="Tabellenraster"/>
        <w:tblW w:w="9096" w:type="dxa"/>
        <w:tblLayout w:type="fixed"/>
        <w:tblLook w:val="04A0" w:firstRow="1" w:lastRow="0" w:firstColumn="1" w:lastColumn="0" w:noHBand="0" w:noVBand="1"/>
      </w:tblPr>
      <w:tblGrid>
        <w:gridCol w:w="5916"/>
        <w:gridCol w:w="1590"/>
        <w:gridCol w:w="1590"/>
      </w:tblGrid>
      <w:tr w:rsidR="00AE4EA7" w14:paraId="0EE06B80" w14:textId="77777777">
        <w:tc>
          <w:tcPr>
            <w:tcW w:w="5916" w:type="dxa"/>
          </w:tcPr>
          <w:p w14:paraId="21C60479" w14:textId="77777777" w:rsidR="00AE4EA7" w:rsidRDefault="00000000">
            <w:pPr>
              <w:widowControl w:val="0"/>
              <w:spacing w:after="0" w:line="240" w:lineRule="auto"/>
              <w:jc w:val="center"/>
              <w:rPr>
                <w:b/>
              </w:rPr>
            </w:pPr>
            <w:r>
              <w:rPr>
                <w:rFonts w:eastAsia="Calibri"/>
                <w:b/>
              </w:rPr>
              <w:t>Anforderung</w:t>
            </w:r>
          </w:p>
        </w:tc>
        <w:tc>
          <w:tcPr>
            <w:tcW w:w="1590" w:type="dxa"/>
          </w:tcPr>
          <w:p w14:paraId="44A64F47" w14:textId="77777777" w:rsidR="00AE4EA7" w:rsidRDefault="00000000">
            <w:pPr>
              <w:widowControl w:val="0"/>
              <w:spacing w:after="0" w:line="240" w:lineRule="auto"/>
              <w:jc w:val="center"/>
              <w:rPr>
                <w:b/>
              </w:rPr>
            </w:pPr>
            <w:r>
              <w:rPr>
                <w:rFonts w:eastAsia="Calibri"/>
                <w:b/>
              </w:rPr>
              <w:t>Erfüllt</w:t>
            </w:r>
          </w:p>
        </w:tc>
        <w:tc>
          <w:tcPr>
            <w:tcW w:w="1590" w:type="dxa"/>
          </w:tcPr>
          <w:p w14:paraId="3B3C2EE9" w14:textId="77777777" w:rsidR="00AE4EA7" w:rsidRDefault="00000000">
            <w:pPr>
              <w:widowControl w:val="0"/>
              <w:spacing w:after="0" w:line="240" w:lineRule="auto"/>
              <w:jc w:val="center"/>
              <w:rPr>
                <w:b/>
              </w:rPr>
            </w:pPr>
            <w:r>
              <w:rPr>
                <w:rFonts w:eastAsia="Calibri"/>
                <w:b/>
              </w:rPr>
              <w:t xml:space="preserve">Nicht </w:t>
            </w:r>
            <w:r w:rsidRPr="004832F9">
              <w:rPr>
                <w:rFonts w:eastAsia="Calibri"/>
                <w:b/>
              </w:rPr>
              <w:t>erfüllt</w:t>
            </w:r>
          </w:p>
        </w:tc>
      </w:tr>
      <w:tr w:rsidR="00AE4EA7" w14:paraId="16B7F023" w14:textId="77777777">
        <w:tc>
          <w:tcPr>
            <w:tcW w:w="5916" w:type="dxa"/>
          </w:tcPr>
          <w:p w14:paraId="5288D295" w14:textId="415816B7" w:rsidR="00AE4EA7" w:rsidRDefault="00000000">
            <w:pPr>
              <w:widowControl w:val="0"/>
              <w:spacing w:after="0" w:line="240" w:lineRule="auto"/>
              <w:rPr>
                <w:rFonts w:ascii="Calibri" w:eastAsia="Calibri" w:hAnsi="Calibri"/>
              </w:rPr>
            </w:pPr>
            <w:r>
              <w:rPr>
                <w:rFonts w:eastAsia="Calibri"/>
              </w:rPr>
              <w:t xml:space="preserve">Es ist sichergestellt, dass ausschließlich Standard-Hash-Funktionen verwendet werden, für die es keine bekannten Schwachstellen </w:t>
            </w:r>
            <w:r w:rsidRPr="004C1658">
              <w:rPr>
                <w:rFonts w:eastAsia="Calibri"/>
              </w:rPr>
              <w:t>gibt</w:t>
            </w:r>
            <w:r w:rsidR="00027508">
              <w:rPr>
                <w:rFonts w:eastAsia="Calibri"/>
              </w:rPr>
              <w:t>.</w:t>
            </w:r>
          </w:p>
        </w:tc>
        <w:tc>
          <w:tcPr>
            <w:tcW w:w="1590" w:type="dxa"/>
          </w:tcPr>
          <w:p w14:paraId="66038A19" w14:textId="77777777" w:rsidR="00AE4EA7" w:rsidRDefault="00AE4EA7">
            <w:pPr>
              <w:widowControl w:val="0"/>
              <w:spacing w:after="0" w:line="240" w:lineRule="auto"/>
              <w:rPr>
                <w:rFonts w:ascii="Calibri" w:eastAsia="Calibri" w:hAnsi="Calibri"/>
              </w:rPr>
            </w:pPr>
          </w:p>
        </w:tc>
        <w:tc>
          <w:tcPr>
            <w:tcW w:w="1590" w:type="dxa"/>
          </w:tcPr>
          <w:p w14:paraId="30D5D778" w14:textId="77777777" w:rsidR="00AE4EA7" w:rsidRDefault="00AE4EA7">
            <w:pPr>
              <w:widowControl w:val="0"/>
              <w:spacing w:after="0" w:line="240" w:lineRule="auto"/>
              <w:rPr>
                <w:rFonts w:ascii="Calibri" w:eastAsia="Calibri" w:hAnsi="Calibri"/>
              </w:rPr>
            </w:pPr>
          </w:p>
        </w:tc>
      </w:tr>
      <w:tr w:rsidR="00AE4EA7" w14:paraId="4118E4D8" w14:textId="77777777">
        <w:tc>
          <w:tcPr>
            <w:tcW w:w="5916" w:type="dxa"/>
          </w:tcPr>
          <w:p w14:paraId="29842484" w14:textId="2CCE59E5" w:rsidR="00AE4EA7" w:rsidRDefault="00000000">
            <w:pPr>
              <w:widowControl w:val="0"/>
              <w:spacing w:after="0" w:line="240" w:lineRule="auto"/>
              <w:rPr>
                <w:rFonts w:ascii="Calibri" w:eastAsia="Calibri" w:hAnsi="Calibri"/>
              </w:rPr>
            </w:pPr>
            <w:r>
              <w:rPr>
                <w:rFonts w:eastAsia="Calibri"/>
              </w:rPr>
              <w:t xml:space="preserve">Es ist sichergestellt, dass bei Verwendung von Hash-Funktionen ein </w:t>
            </w:r>
            <w:r w:rsidRPr="004832F9">
              <w:rPr>
                <w:rFonts w:eastAsia="Calibri"/>
              </w:rPr>
              <w:t>Salt</w:t>
            </w:r>
            <w:r>
              <w:rPr>
                <w:rFonts w:eastAsia="Calibri"/>
              </w:rPr>
              <w:t xml:space="preserve"> benutzt </w:t>
            </w:r>
            <w:r w:rsidRPr="004C1658">
              <w:rPr>
                <w:rFonts w:eastAsia="Calibri"/>
              </w:rPr>
              <w:t>wird</w:t>
            </w:r>
            <w:r w:rsidR="00027508">
              <w:rPr>
                <w:rFonts w:eastAsia="Calibri"/>
              </w:rPr>
              <w:t>.</w:t>
            </w:r>
          </w:p>
        </w:tc>
        <w:tc>
          <w:tcPr>
            <w:tcW w:w="1590" w:type="dxa"/>
          </w:tcPr>
          <w:p w14:paraId="4D799F77" w14:textId="77777777" w:rsidR="00AE4EA7" w:rsidRDefault="00AE4EA7">
            <w:pPr>
              <w:widowControl w:val="0"/>
              <w:spacing w:after="0" w:line="240" w:lineRule="auto"/>
              <w:rPr>
                <w:rFonts w:ascii="Calibri" w:eastAsia="Calibri" w:hAnsi="Calibri"/>
              </w:rPr>
            </w:pPr>
          </w:p>
        </w:tc>
        <w:tc>
          <w:tcPr>
            <w:tcW w:w="1590" w:type="dxa"/>
          </w:tcPr>
          <w:p w14:paraId="4DE764F5" w14:textId="77777777" w:rsidR="00AE4EA7" w:rsidRDefault="00AE4EA7">
            <w:pPr>
              <w:widowControl w:val="0"/>
              <w:spacing w:after="0" w:line="240" w:lineRule="auto"/>
              <w:rPr>
                <w:rFonts w:ascii="Calibri" w:eastAsia="Calibri" w:hAnsi="Calibri"/>
              </w:rPr>
            </w:pPr>
          </w:p>
        </w:tc>
      </w:tr>
      <w:tr w:rsidR="00AE4EA7" w14:paraId="10BCEAEA" w14:textId="77777777">
        <w:tc>
          <w:tcPr>
            <w:tcW w:w="5916" w:type="dxa"/>
          </w:tcPr>
          <w:p w14:paraId="73100423" w14:textId="2329102B" w:rsidR="00AE4EA7" w:rsidRDefault="00000000">
            <w:pPr>
              <w:widowControl w:val="0"/>
              <w:spacing w:after="0" w:line="240" w:lineRule="auto"/>
              <w:rPr>
                <w:rFonts w:ascii="Calibri" w:eastAsia="Calibri" w:hAnsi="Calibri"/>
              </w:rPr>
            </w:pPr>
            <w:r>
              <w:rPr>
                <w:rFonts w:eastAsia="Calibri"/>
              </w:rPr>
              <w:t xml:space="preserve">Es ist sichergestellt, dass der </w:t>
            </w:r>
            <w:r w:rsidRPr="004832F9">
              <w:rPr>
                <w:rFonts w:eastAsia="Calibri"/>
              </w:rPr>
              <w:t>Salt</w:t>
            </w:r>
            <w:r>
              <w:rPr>
                <w:rFonts w:eastAsia="Calibri"/>
              </w:rPr>
              <w:t xml:space="preserve"> derart erzeugt wird, dass dieser weder vorhersagbar </w:t>
            </w:r>
            <w:r w:rsidRPr="004832F9">
              <w:rPr>
                <w:rFonts w:eastAsia="Calibri"/>
              </w:rPr>
              <w:t>ist</w:t>
            </w:r>
            <w:r>
              <w:rPr>
                <w:rFonts w:eastAsia="Calibri"/>
              </w:rPr>
              <w:t xml:space="preserve"> noch erraten werden </w:t>
            </w:r>
            <w:r w:rsidRPr="004C1658">
              <w:rPr>
                <w:rFonts w:eastAsia="Calibri"/>
              </w:rPr>
              <w:t>kann</w:t>
            </w:r>
            <w:r w:rsidR="00027508">
              <w:rPr>
                <w:rFonts w:eastAsia="Calibri"/>
              </w:rPr>
              <w:t>.</w:t>
            </w:r>
          </w:p>
        </w:tc>
        <w:tc>
          <w:tcPr>
            <w:tcW w:w="1590" w:type="dxa"/>
          </w:tcPr>
          <w:p w14:paraId="487BB278" w14:textId="77777777" w:rsidR="00AE4EA7" w:rsidRDefault="00AE4EA7">
            <w:pPr>
              <w:widowControl w:val="0"/>
              <w:spacing w:after="0" w:line="240" w:lineRule="auto"/>
              <w:rPr>
                <w:rFonts w:ascii="Calibri" w:eastAsia="Calibri" w:hAnsi="Calibri"/>
              </w:rPr>
            </w:pPr>
          </w:p>
        </w:tc>
        <w:tc>
          <w:tcPr>
            <w:tcW w:w="1590" w:type="dxa"/>
          </w:tcPr>
          <w:p w14:paraId="4C7A73E5" w14:textId="77777777" w:rsidR="00AE4EA7" w:rsidRDefault="00AE4EA7">
            <w:pPr>
              <w:widowControl w:val="0"/>
              <w:spacing w:after="0" w:line="240" w:lineRule="auto"/>
              <w:rPr>
                <w:rFonts w:ascii="Calibri" w:eastAsia="Calibri" w:hAnsi="Calibri"/>
              </w:rPr>
            </w:pPr>
          </w:p>
        </w:tc>
      </w:tr>
      <w:tr w:rsidR="00AE4EA7" w14:paraId="5F47332C" w14:textId="77777777">
        <w:tc>
          <w:tcPr>
            <w:tcW w:w="5916" w:type="dxa"/>
          </w:tcPr>
          <w:p w14:paraId="3A8CDADD" w14:textId="36F56C49" w:rsidR="00AE4EA7" w:rsidRDefault="00000000">
            <w:pPr>
              <w:widowControl w:val="0"/>
              <w:spacing w:after="0" w:line="240" w:lineRule="auto"/>
              <w:rPr>
                <w:rFonts w:ascii="Calibri" w:eastAsia="Calibri" w:hAnsi="Calibri"/>
              </w:rPr>
            </w:pPr>
            <w:r>
              <w:rPr>
                <w:rFonts w:eastAsia="Calibri"/>
              </w:rPr>
              <w:t xml:space="preserve">Es ist sichergestellt, dass der Zugriff auf den </w:t>
            </w:r>
            <w:r w:rsidRPr="004832F9">
              <w:rPr>
                <w:rFonts w:eastAsia="Calibri"/>
              </w:rPr>
              <w:t>Salt</w:t>
            </w:r>
            <w:r>
              <w:rPr>
                <w:rFonts w:eastAsia="Calibri"/>
              </w:rPr>
              <w:t xml:space="preserve"> auf ein absolutes Minimum vertrauenswürdiger Anwender beschränkt </w:t>
            </w:r>
            <w:r w:rsidRPr="004C1658">
              <w:rPr>
                <w:rFonts w:eastAsia="Calibri"/>
              </w:rPr>
              <w:t>ist</w:t>
            </w:r>
            <w:r w:rsidR="00027508">
              <w:rPr>
                <w:rFonts w:eastAsia="Calibri"/>
              </w:rPr>
              <w:t>.</w:t>
            </w:r>
          </w:p>
        </w:tc>
        <w:tc>
          <w:tcPr>
            <w:tcW w:w="1590" w:type="dxa"/>
          </w:tcPr>
          <w:p w14:paraId="48B5318B" w14:textId="77777777" w:rsidR="00AE4EA7" w:rsidRDefault="00AE4EA7">
            <w:pPr>
              <w:widowControl w:val="0"/>
              <w:spacing w:after="0" w:line="240" w:lineRule="auto"/>
              <w:rPr>
                <w:rFonts w:ascii="Calibri" w:eastAsia="Calibri" w:hAnsi="Calibri"/>
              </w:rPr>
            </w:pPr>
          </w:p>
        </w:tc>
        <w:tc>
          <w:tcPr>
            <w:tcW w:w="1590" w:type="dxa"/>
          </w:tcPr>
          <w:p w14:paraId="6A3A727E" w14:textId="77777777" w:rsidR="00AE4EA7" w:rsidRDefault="00AE4EA7">
            <w:pPr>
              <w:widowControl w:val="0"/>
              <w:spacing w:after="0" w:line="240" w:lineRule="auto"/>
              <w:rPr>
                <w:rFonts w:ascii="Calibri" w:eastAsia="Calibri" w:hAnsi="Calibri"/>
              </w:rPr>
            </w:pPr>
          </w:p>
        </w:tc>
      </w:tr>
      <w:tr w:rsidR="00AE4EA7" w14:paraId="736474A9" w14:textId="77777777">
        <w:tc>
          <w:tcPr>
            <w:tcW w:w="5916" w:type="dxa"/>
          </w:tcPr>
          <w:p w14:paraId="4983124C" w14:textId="65E97948" w:rsidR="00AE4EA7" w:rsidRDefault="00000000">
            <w:pPr>
              <w:widowControl w:val="0"/>
              <w:spacing w:after="0" w:line="240" w:lineRule="auto"/>
              <w:rPr>
                <w:rFonts w:ascii="Calibri" w:eastAsia="Calibri" w:hAnsi="Calibri"/>
              </w:rPr>
            </w:pPr>
            <w:r>
              <w:rPr>
                <w:rFonts w:eastAsia="Calibri"/>
              </w:rPr>
              <w:t xml:space="preserve">Es ist sichergestellt, dass der </w:t>
            </w:r>
            <w:r w:rsidRPr="004832F9">
              <w:rPr>
                <w:rFonts w:eastAsia="Calibri"/>
              </w:rPr>
              <w:t>Salt</w:t>
            </w:r>
            <w:r>
              <w:rPr>
                <w:rFonts w:eastAsia="Calibri"/>
              </w:rPr>
              <w:t xml:space="preserve"> von ausreichender Qualität ist (= Mindestentropie von 100 Bit</w:t>
            </w:r>
            <w:r w:rsidRPr="004C1658">
              <w:rPr>
                <w:rFonts w:eastAsia="Calibri"/>
              </w:rPr>
              <w:t>)</w:t>
            </w:r>
            <w:r w:rsidR="00027508">
              <w:rPr>
                <w:rFonts w:eastAsia="Calibri"/>
              </w:rPr>
              <w:t>.</w:t>
            </w:r>
          </w:p>
        </w:tc>
        <w:tc>
          <w:tcPr>
            <w:tcW w:w="1590" w:type="dxa"/>
          </w:tcPr>
          <w:p w14:paraId="4461DC5A" w14:textId="77777777" w:rsidR="00AE4EA7" w:rsidRDefault="00AE4EA7">
            <w:pPr>
              <w:widowControl w:val="0"/>
              <w:spacing w:after="0" w:line="240" w:lineRule="auto"/>
              <w:rPr>
                <w:rFonts w:ascii="Calibri" w:eastAsia="Calibri" w:hAnsi="Calibri"/>
              </w:rPr>
            </w:pPr>
          </w:p>
        </w:tc>
        <w:tc>
          <w:tcPr>
            <w:tcW w:w="1590" w:type="dxa"/>
          </w:tcPr>
          <w:p w14:paraId="794F545D" w14:textId="77777777" w:rsidR="00AE4EA7" w:rsidRDefault="00AE4EA7">
            <w:pPr>
              <w:widowControl w:val="0"/>
              <w:spacing w:after="0" w:line="240" w:lineRule="auto"/>
              <w:rPr>
                <w:rFonts w:ascii="Calibri" w:eastAsia="Calibri" w:hAnsi="Calibri"/>
              </w:rPr>
            </w:pPr>
          </w:p>
        </w:tc>
      </w:tr>
      <w:tr w:rsidR="00AE4EA7" w14:paraId="2012A768" w14:textId="77777777">
        <w:tc>
          <w:tcPr>
            <w:tcW w:w="5916" w:type="dxa"/>
          </w:tcPr>
          <w:p w14:paraId="6FDC616A" w14:textId="1103674F" w:rsidR="00AE4EA7" w:rsidRDefault="00000000">
            <w:pPr>
              <w:widowControl w:val="0"/>
              <w:spacing w:after="0" w:line="240" w:lineRule="auto"/>
              <w:rPr>
                <w:rFonts w:ascii="Calibri" w:eastAsia="Calibri" w:hAnsi="Calibri"/>
              </w:rPr>
            </w:pPr>
            <w:r>
              <w:rPr>
                <w:rFonts w:eastAsia="Calibri"/>
              </w:rPr>
              <w:t xml:space="preserve">Es ist gewährleistet, dass der </w:t>
            </w:r>
            <w:r w:rsidRPr="004832F9">
              <w:rPr>
                <w:rFonts w:eastAsia="Calibri"/>
              </w:rPr>
              <w:t>Salt</w:t>
            </w:r>
            <w:r>
              <w:rPr>
                <w:rFonts w:eastAsia="Calibri"/>
              </w:rPr>
              <w:t xml:space="preserve"> geheim gehalten </w:t>
            </w:r>
            <w:r w:rsidRPr="004C1658">
              <w:rPr>
                <w:rFonts w:eastAsia="Calibri"/>
              </w:rPr>
              <w:t>wird</w:t>
            </w:r>
            <w:r w:rsidR="00027508">
              <w:rPr>
                <w:rFonts w:eastAsia="Calibri"/>
              </w:rPr>
              <w:t>.</w:t>
            </w:r>
          </w:p>
        </w:tc>
        <w:tc>
          <w:tcPr>
            <w:tcW w:w="1590" w:type="dxa"/>
          </w:tcPr>
          <w:p w14:paraId="7492209B" w14:textId="77777777" w:rsidR="00AE4EA7" w:rsidRDefault="00AE4EA7">
            <w:pPr>
              <w:widowControl w:val="0"/>
              <w:spacing w:after="0" w:line="240" w:lineRule="auto"/>
              <w:rPr>
                <w:rFonts w:ascii="Calibri" w:eastAsia="Calibri" w:hAnsi="Calibri"/>
              </w:rPr>
            </w:pPr>
          </w:p>
        </w:tc>
        <w:tc>
          <w:tcPr>
            <w:tcW w:w="1590" w:type="dxa"/>
          </w:tcPr>
          <w:p w14:paraId="24F9D950" w14:textId="77777777" w:rsidR="00AE4EA7" w:rsidRDefault="00AE4EA7">
            <w:pPr>
              <w:widowControl w:val="0"/>
              <w:spacing w:after="0" w:line="240" w:lineRule="auto"/>
              <w:rPr>
                <w:rFonts w:ascii="Calibri" w:eastAsia="Calibri" w:hAnsi="Calibri"/>
              </w:rPr>
            </w:pPr>
          </w:p>
        </w:tc>
      </w:tr>
    </w:tbl>
    <w:p w14:paraId="0849894E" w14:textId="492EC01E" w:rsidR="00216B82" w:rsidRDefault="00216B82" w:rsidP="00216B82">
      <w:pPr>
        <w:pStyle w:val="berschrift2"/>
      </w:pPr>
      <w:bookmarkStart w:id="249" w:name="_Toc154652687"/>
      <w:r>
        <w:t>Risikobewertung</w:t>
      </w:r>
      <w:bookmarkEnd w:id="249"/>
    </w:p>
    <w:tbl>
      <w:tblPr>
        <w:tblStyle w:val="Tabellenraster"/>
        <w:tblW w:w="9096" w:type="dxa"/>
        <w:tblLayout w:type="fixed"/>
        <w:tblLook w:val="04A0" w:firstRow="1" w:lastRow="0" w:firstColumn="1" w:lastColumn="0" w:noHBand="0" w:noVBand="1"/>
      </w:tblPr>
      <w:tblGrid>
        <w:gridCol w:w="5916"/>
        <w:gridCol w:w="1590"/>
        <w:gridCol w:w="1590"/>
      </w:tblGrid>
      <w:tr w:rsidR="00216B82" w14:paraId="5F242BB2" w14:textId="77777777" w:rsidTr="00711A69">
        <w:tc>
          <w:tcPr>
            <w:tcW w:w="5916" w:type="dxa"/>
          </w:tcPr>
          <w:p w14:paraId="101C9AD9" w14:textId="77777777" w:rsidR="00216B82" w:rsidRDefault="00216B82" w:rsidP="00711A69">
            <w:pPr>
              <w:widowControl w:val="0"/>
              <w:spacing w:after="0" w:line="240" w:lineRule="auto"/>
              <w:jc w:val="center"/>
              <w:rPr>
                <w:b/>
              </w:rPr>
            </w:pPr>
            <w:r>
              <w:rPr>
                <w:rFonts w:eastAsia="Calibri"/>
                <w:b/>
              </w:rPr>
              <w:t>Anforderung</w:t>
            </w:r>
          </w:p>
        </w:tc>
        <w:tc>
          <w:tcPr>
            <w:tcW w:w="1590" w:type="dxa"/>
          </w:tcPr>
          <w:p w14:paraId="346D2656" w14:textId="77777777" w:rsidR="00216B82" w:rsidRDefault="00216B82" w:rsidP="00711A69">
            <w:pPr>
              <w:widowControl w:val="0"/>
              <w:spacing w:after="0" w:line="240" w:lineRule="auto"/>
              <w:jc w:val="center"/>
              <w:rPr>
                <w:b/>
              </w:rPr>
            </w:pPr>
            <w:r>
              <w:rPr>
                <w:rFonts w:eastAsia="Calibri"/>
                <w:b/>
              </w:rPr>
              <w:t>Erfüllt</w:t>
            </w:r>
          </w:p>
        </w:tc>
        <w:tc>
          <w:tcPr>
            <w:tcW w:w="1590" w:type="dxa"/>
          </w:tcPr>
          <w:p w14:paraId="5A649139" w14:textId="77777777" w:rsidR="00216B82" w:rsidRDefault="00216B82" w:rsidP="00711A69">
            <w:pPr>
              <w:widowControl w:val="0"/>
              <w:spacing w:after="0" w:line="240" w:lineRule="auto"/>
              <w:jc w:val="center"/>
              <w:rPr>
                <w:b/>
              </w:rPr>
            </w:pPr>
            <w:r>
              <w:rPr>
                <w:rFonts w:eastAsia="Calibri"/>
                <w:b/>
              </w:rPr>
              <w:t xml:space="preserve">Nicht </w:t>
            </w:r>
            <w:r w:rsidRPr="004832F9">
              <w:rPr>
                <w:rFonts w:eastAsia="Calibri"/>
                <w:b/>
              </w:rPr>
              <w:t>erfüllt</w:t>
            </w:r>
          </w:p>
        </w:tc>
      </w:tr>
      <w:tr w:rsidR="00216B82" w14:paraId="709B91C6" w14:textId="77777777" w:rsidTr="00711A69">
        <w:tc>
          <w:tcPr>
            <w:tcW w:w="5916" w:type="dxa"/>
          </w:tcPr>
          <w:p w14:paraId="09AD2C66" w14:textId="62FDCB9C" w:rsidR="00216B82" w:rsidRDefault="00216B82" w:rsidP="00711A69">
            <w:pPr>
              <w:widowControl w:val="0"/>
              <w:spacing w:after="0" w:line="240" w:lineRule="auto"/>
              <w:rPr>
                <w:rFonts w:ascii="Calibri" w:eastAsia="Calibri" w:hAnsi="Calibri"/>
              </w:rPr>
            </w:pPr>
            <w:r>
              <w:rPr>
                <w:rFonts w:eastAsia="Calibri"/>
              </w:rPr>
              <w:t>Analyse, welche Risiken zur Re-Identifizierung bestehen (könnten</w:t>
            </w:r>
            <w:r w:rsidRPr="004832F9">
              <w:rPr>
                <w:rFonts w:eastAsia="Calibri"/>
              </w:rPr>
              <w:t>)</w:t>
            </w:r>
          </w:p>
        </w:tc>
        <w:tc>
          <w:tcPr>
            <w:tcW w:w="1590" w:type="dxa"/>
          </w:tcPr>
          <w:p w14:paraId="538D0BA3" w14:textId="77777777" w:rsidR="00216B82" w:rsidRDefault="00216B82" w:rsidP="00711A69">
            <w:pPr>
              <w:widowControl w:val="0"/>
              <w:spacing w:after="0" w:line="240" w:lineRule="auto"/>
              <w:rPr>
                <w:rFonts w:ascii="Calibri" w:eastAsia="Calibri" w:hAnsi="Calibri"/>
              </w:rPr>
            </w:pPr>
          </w:p>
        </w:tc>
        <w:tc>
          <w:tcPr>
            <w:tcW w:w="1590" w:type="dxa"/>
          </w:tcPr>
          <w:p w14:paraId="65044A19" w14:textId="77777777" w:rsidR="00216B82" w:rsidRDefault="00216B82" w:rsidP="00711A69">
            <w:pPr>
              <w:widowControl w:val="0"/>
              <w:spacing w:after="0" w:line="240" w:lineRule="auto"/>
              <w:rPr>
                <w:rFonts w:ascii="Calibri" w:eastAsia="Calibri" w:hAnsi="Calibri"/>
              </w:rPr>
            </w:pPr>
          </w:p>
        </w:tc>
      </w:tr>
      <w:tr w:rsidR="00216B82" w14:paraId="38EC3901" w14:textId="77777777" w:rsidTr="00711A69">
        <w:tc>
          <w:tcPr>
            <w:tcW w:w="5916" w:type="dxa"/>
          </w:tcPr>
          <w:p w14:paraId="76929B7E" w14:textId="0D514A2C" w:rsidR="00216B82" w:rsidRDefault="00216B82" w:rsidP="00711A69">
            <w:pPr>
              <w:widowControl w:val="0"/>
              <w:spacing w:after="0" w:line="240" w:lineRule="auto"/>
              <w:rPr>
                <w:rFonts w:eastAsia="Calibri"/>
              </w:rPr>
            </w:pPr>
            <w:r>
              <w:rPr>
                <w:rFonts w:eastAsia="Calibri"/>
              </w:rPr>
              <w:t xml:space="preserve">Bewertung, ob </w:t>
            </w:r>
            <w:r w:rsidRPr="004C1658">
              <w:rPr>
                <w:rFonts w:eastAsia="Calibri"/>
              </w:rPr>
              <w:t>Ris</w:t>
            </w:r>
            <w:r w:rsidR="00B979F5">
              <w:rPr>
                <w:rFonts w:eastAsia="Calibri"/>
              </w:rPr>
              <w:t>i</w:t>
            </w:r>
            <w:r w:rsidRPr="004C1658">
              <w:rPr>
                <w:rFonts w:eastAsia="Calibri"/>
              </w:rPr>
              <w:t>ken</w:t>
            </w:r>
            <w:r>
              <w:rPr>
                <w:rFonts w:eastAsia="Calibri"/>
              </w:rPr>
              <w:t xml:space="preserve"> der Re-Identifizierung akzeptabel sind oder </w:t>
            </w:r>
            <w:r w:rsidRPr="004832F9">
              <w:rPr>
                <w:rFonts w:eastAsia="Calibri"/>
              </w:rPr>
              <w:t>nicht</w:t>
            </w:r>
          </w:p>
        </w:tc>
        <w:tc>
          <w:tcPr>
            <w:tcW w:w="1590" w:type="dxa"/>
          </w:tcPr>
          <w:p w14:paraId="716419BF" w14:textId="77777777" w:rsidR="00216B82" w:rsidRDefault="00216B82" w:rsidP="00711A69">
            <w:pPr>
              <w:widowControl w:val="0"/>
              <w:spacing w:after="0" w:line="240" w:lineRule="auto"/>
              <w:rPr>
                <w:rFonts w:ascii="Calibri" w:eastAsia="Calibri" w:hAnsi="Calibri"/>
              </w:rPr>
            </w:pPr>
          </w:p>
        </w:tc>
        <w:tc>
          <w:tcPr>
            <w:tcW w:w="1590" w:type="dxa"/>
          </w:tcPr>
          <w:p w14:paraId="283CA0A9" w14:textId="77777777" w:rsidR="00216B82" w:rsidRDefault="00216B82" w:rsidP="00711A69">
            <w:pPr>
              <w:widowControl w:val="0"/>
              <w:spacing w:after="0" w:line="240" w:lineRule="auto"/>
              <w:rPr>
                <w:rFonts w:ascii="Calibri" w:eastAsia="Calibri" w:hAnsi="Calibri"/>
              </w:rPr>
            </w:pPr>
          </w:p>
        </w:tc>
      </w:tr>
    </w:tbl>
    <w:p w14:paraId="06AD165A" w14:textId="097AD6A7" w:rsidR="00AE4EA7" w:rsidRDefault="00AE4EA7"/>
    <w:p w14:paraId="393F3ECE"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5E8F1472" w14:textId="77777777" w:rsidR="0093736C" w:rsidRDefault="0093736C" w:rsidP="0093736C">
      <w:pPr>
        <w:pStyle w:val="berschrift1"/>
      </w:pPr>
      <w:bookmarkStart w:id="250" w:name="_Toc154652688"/>
      <w:r>
        <w:t>Gerichtsurteile</w:t>
      </w:r>
      <w:bookmarkEnd w:id="250"/>
    </w:p>
    <w:p w14:paraId="32103893" w14:textId="77777777" w:rsidR="0093736C" w:rsidRDefault="0093736C" w:rsidP="0093736C">
      <w:pPr>
        <w:spacing w:after="0"/>
        <w:rPr>
          <w:color w:val="365F91" w:themeColor="accent1" w:themeShade="BF"/>
        </w:rPr>
      </w:pPr>
      <w:r>
        <w:rPr>
          <w:color w:val="365F91" w:themeColor="accent1" w:themeShade="BF"/>
        </w:rPr>
        <w:t>LG Berlin (27. Zivilkammer), Urteil vom 09.05.2023, Az. 27 O 140/23</w:t>
      </w:r>
    </w:p>
    <w:p w14:paraId="33572D1B" w14:textId="77777777" w:rsidR="0093736C" w:rsidRDefault="0093736C" w:rsidP="0093736C">
      <w:pPr>
        <w:pStyle w:val="Listenabsatz"/>
        <w:numPr>
          <w:ilvl w:val="0"/>
          <w:numId w:val="29"/>
        </w:numPr>
        <w:suppressAutoHyphens w:val="0"/>
        <w:spacing w:after="160" w:line="256" w:lineRule="auto"/>
        <w:jc w:val="left"/>
      </w:pPr>
      <w:r>
        <w:t>Titel: Erwähnung von identifizierbarem früheren Partner in juristischer Fachzeitschrift</w:t>
      </w:r>
    </w:p>
    <w:p w14:paraId="326A2626" w14:textId="77777777" w:rsidR="0093736C" w:rsidRDefault="0093736C" w:rsidP="0093736C">
      <w:pPr>
        <w:pStyle w:val="Listenabsatz"/>
        <w:numPr>
          <w:ilvl w:val="0"/>
          <w:numId w:val="29"/>
        </w:numPr>
        <w:suppressAutoHyphens w:val="0"/>
        <w:spacing w:after="160" w:line="256" w:lineRule="auto"/>
        <w:jc w:val="left"/>
      </w:pPr>
      <w:r>
        <w:t>Leitsätze:</w:t>
      </w:r>
    </w:p>
    <w:p w14:paraId="2D464244" w14:textId="77777777" w:rsidR="0093736C" w:rsidRDefault="0093736C" w:rsidP="0093736C">
      <w:pPr>
        <w:pStyle w:val="Listenabsatz"/>
        <w:numPr>
          <w:ilvl w:val="1"/>
          <w:numId w:val="29"/>
        </w:numPr>
        <w:suppressAutoHyphens w:val="0"/>
        <w:spacing w:after="160" w:line="256" w:lineRule="auto"/>
        <w:jc w:val="left"/>
      </w:pPr>
      <w:r>
        <w:t>Für die Frage, ob er – der Antragsteller – auch ohne Namensnennung identifizierbar sei, sei nicht der Durchschnittsleser entscheidend, sondern das Umfeld mit Vorwissen. (Rn. 13)</w:t>
      </w:r>
    </w:p>
    <w:p w14:paraId="7B6908F6" w14:textId="77777777" w:rsidR="0093736C" w:rsidRDefault="0093736C" w:rsidP="0093736C">
      <w:pPr>
        <w:pStyle w:val="Listenabsatz"/>
        <w:numPr>
          <w:ilvl w:val="1"/>
          <w:numId w:val="29"/>
        </w:numPr>
        <w:suppressAutoHyphens w:val="0"/>
        <w:spacing w:after="160" w:line="256" w:lineRule="auto"/>
        <w:jc w:val="left"/>
      </w:pPr>
      <w:r>
        <w:t xml:space="preserve">Wie der Bundesgerichtshof entschieden hat, reicht es aber aus, dass die Information an solche Personen gerät, die aufgrund ihrer sonstigen Kenntnisse in der Lage sind, den Antragsteller zu identifizieren (BGH, Urteil vom 6. Dezember 2022 – VI </w:t>
      </w:r>
      <w:r w:rsidRPr="004832F9">
        <w:t>ZR</w:t>
      </w:r>
      <w:r>
        <w:t xml:space="preserve"> 237/21</w:t>
      </w:r>
      <w:r w:rsidRPr="004832F9">
        <w:t>)</w:t>
      </w:r>
    </w:p>
    <w:p w14:paraId="0789B28B" w14:textId="453735B0" w:rsidR="0093736C" w:rsidRDefault="0093736C" w:rsidP="0093736C">
      <w:pPr>
        <w:pStyle w:val="Listenabsatz"/>
        <w:numPr>
          <w:ilvl w:val="0"/>
          <w:numId w:val="29"/>
        </w:numPr>
        <w:suppressAutoHyphens w:val="0"/>
        <w:spacing w:after="160" w:line="256" w:lineRule="auto"/>
        <w:jc w:val="left"/>
      </w:pPr>
      <w:r w:rsidRPr="004832F9">
        <w:t>Dejure</w:t>
      </w:r>
      <w:r>
        <w:t xml:space="preserve">: </w:t>
      </w:r>
      <w:hyperlink r:id="rId53" w:history="1">
        <w:r>
          <w:rPr>
            <w:rStyle w:val="Hyperlink"/>
          </w:rPr>
          <w:t>https://dejure.org/2023</w:t>
        </w:r>
        <w:r w:rsidRPr="004832F9">
          <w:rPr>
            <w:rStyle w:val="Hyperlink"/>
          </w:rPr>
          <w:t>,13104</w:t>
        </w:r>
      </w:hyperlink>
    </w:p>
    <w:p w14:paraId="489324A2" w14:textId="72C11A49" w:rsidR="0093736C" w:rsidRDefault="0093736C" w:rsidP="0093736C">
      <w:pPr>
        <w:pStyle w:val="Listenabsatz"/>
        <w:numPr>
          <w:ilvl w:val="0"/>
          <w:numId w:val="29"/>
        </w:numPr>
        <w:suppressAutoHyphens w:val="0"/>
        <w:spacing w:after="160" w:line="256" w:lineRule="auto"/>
        <w:jc w:val="left"/>
      </w:pPr>
      <w:r>
        <w:t xml:space="preserve">Entscheidungsdatenbank Berlin: </w:t>
      </w:r>
      <w:hyperlink r:id="rId54" w:history="1">
        <w:r>
          <w:rPr>
            <w:rStyle w:val="Hyperlink"/>
          </w:rPr>
          <w:t>https://gesetze.berlin.de/bsbe/document/KORE521262023</w:t>
        </w:r>
      </w:hyperlink>
    </w:p>
    <w:p w14:paraId="4FF14626" w14:textId="77777777" w:rsidR="0093736C" w:rsidRDefault="0093736C" w:rsidP="0093736C">
      <w:pPr>
        <w:spacing w:after="0"/>
        <w:rPr>
          <w:color w:val="365F91" w:themeColor="accent1" w:themeShade="BF"/>
        </w:rPr>
      </w:pPr>
      <w:r w:rsidRPr="004832F9">
        <w:rPr>
          <w:color w:val="365F91" w:themeColor="accent1" w:themeShade="BF"/>
        </w:rPr>
        <w:t>EuG</w:t>
      </w:r>
      <w:r>
        <w:rPr>
          <w:color w:val="365F91" w:themeColor="accent1" w:themeShade="BF"/>
        </w:rPr>
        <w:t>, Urteil vom 26.4.2023 – T-557/20</w:t>
      </w:r>
    </w:p>
    <w:p w14:paraId="761CFDD6" w14:textId="77777777" w:rsidR="0093736C" w:rsidRDefault="0093736C" w:rsidP="0093736C">
      <w:pPr>
        <w:pStyle w:val="Listenabsatz"/>
        <w:numPr>
          <w:ilvl w:val="0"/>
          <w:numId w:val="30"/>
        </w:numPr>
        <w:suppressAutoHyphens w:val="0"/>
        <w:spacing w:after="160" w:line="256" w:lineRule="auto"/>
        <w:jc w:val="left"/>
      </w:pPr>
      <w:r>
        <w:t>Titel: Bestimmung des Personenbezugs von Daten</w:t>
      </w:r>
    </w:p>
    <w:p w14:paraId="5142F95F" w14:textId="77777777" w:rsidR="0093736C" w:rsidRDefault="0093736C" w:rsidP="0093736C">
      <w:pPr>
        <w:pStyle w:val="Listenabsatz"/>
        <w:numPr>
          <w:ilvl w:val="0"/>
          <w:numId w:val="30"/>
        </w:numPr>
        <w:suppressAutoHyphens w:val="0"/>
        <w:spacing w:after="160" w:line="256" w:lineRule="auto"/>
        <w:jc w:val="left"/>
      </w:pPr>
      <w:r>
        <w:t>Leitsätze:</w:t>
      </w:r>
    </w:p>
    <w:p w14:paraId="11658A74" w14:textId="77777777" w:rsidR="0093736C" w:rsidRDefault="0093736C" w:rsidP="0093736C">
      <w:pPr>
        <w:pStyle w:val="Listenabsatz"/>
        <w:numPr>
          <w:ilvl w:val="1"/>
          <w:numId w:val="30"/>
        </w:numPr>
        <w:suppressAutoHyphens w:val="0"/>
        <w:spacing w:after="160" w:line="256" w:lineRule="auto"/>
        <w:jc w:val="left"/>
      </w:pPr>
      <w:r>
        <w:t>Der Ausdruck „alle Informationen“ im Zusammenhang mit der Bestimmung des Begriffs „personenbezogene Daten“ in Art. 3 Nr. 1 der Verordnung 2018/1725 ist weit auszulegen. Er ist nicht auf sensible oder private Informationen beschränkt, sondern umfasst potenziell alle Arten von Informationen sowohl objektiver als auch subjektiver Natur in Form von Stellungnahmen oder Beurteilungen, unter der Voraussetzung, dass es sich um Informationen „über“ die in Rede stehende Person handelt. (Rn. 68)</w:t>
      </w:r>
    </w:p>
    <w:p w14:paraId="7F7D4EEA" w14:textId="77777777" w:rsidR="0093736C" w:rsidRDefault="0093736C" w:rsidP="0093736C">
      <w:pPr>
        <w:pStyle w:val="Listenabsatz"/>
        <w:numPr>
          <w:ilvl w:val="1"/>
          <w:numId w:val="30"/>
        </w:numPr>
        <w:suppressAutoHyphens w:val="0"/>
        <w:spacing w:after="160" w:line="256" w:lineRule="auto"/>
        <w:jc w:val="left"/>
      </w:pPr>
      <w:r>
        <w:t>Die letztgenannte Voraussetzung ist erfüllt, wenn die Information aufgrund ihres Inhalts, ihres Zwecks oder ihrer Auswirkungen mit einer bestimmten Person verknüpft ist. (Rn. 69)</w:t>
      </w:r>
    </w:p>
    <w:p w14:paraId="054971DB" w14:textId="104A24F5" w:rsidR="0093736C" w:rsidRDefault="0093736C" w:rsidP="0093736C">
      <w:pPr>
        <w:pStyle w:val="Listenabsatz"/>
        <w:numPr>
          <w:ilvl w:val="0"/>
          <w:numId w:val="30"/>
        </w:numPr>
        <w:suppressAutoHyphens w:val="0"/>
        <w:spacing w:after="160" w:line="256" w:lineRule="auto"/>
        <w:jc w:val="left"/>
      </w:pPr>
      <w:r w:rsidRPr="004832F9">
        <w:t>Dejure</w:t>
      </w:r>
      <w:r>
        <w:t xml:space="preserve">: </w:t>
      </w:r>
      <w:hyperlink r:id="rId55" w:history="1">
        <w:r>
          <w:rPr>
            <w:rStyle w:val="Hyperlink"/>
          </w:rPr>
          <w:t>https://dejure.org/2023</w:t>
        </w:r>
        <w:r w:rsidRPr="004832F9">
          <w:rPr>
            <w:rStyle w:val="Hyperlink"/>
          </w:rPr>
          <w:t>,8600</w:t>
        </w:r>
      </w:hyperlink>
    </w:p>
    <w:p w14:paraId="6DA181FF" w14:textId="3595FAFA" w:rsidR="0093736C" w:rsidRDefault="0093736C" w:rsidP="0093736C">
      <w:pPr>
        <w:pStyle w:val="Listenabsatz"/>
        <w:numPr>
          <w:ilvl w:val="0"/>
          <w:numId w:val="30"/>
        </w:numPr>
        <w:suppressAutoHyphens w:val="0"/>
        <w:spacing w:after="160" w:line="256" w:lineRule="auto"/>
        <w:jc w:val="left"/>
      </w:pPr>
      <w:r>
        <w:t xml:space="preserve">EUR-Lex: </w:t>
      </w:r>
      <w:hyperlink r:id="rId56" w:history="1">
        <w:r>
          <w:rPr>
            <w:rStyle w:val="Hyperlink"/>
          </w:rPr>
          <w:t>https://eur-lex.europa.eu/legal-content/DE/TXT/?uri=CELEX:62020TJ0557</w:t>
        </w:r>
      </w:hyperlink>
    </w:p>
    <w:p w14:paraId="6805109D" w14:textId="77777777" w:rsidR="0093736C" w:rsidRDefault="0093736C" w:rsidP="0093736C">
      <w:pPr>
        <w:spacing w:after="0"/>
        <w:rPr>
          <w:color w:val="365F91" w:themeColor="accent1" w:themeShade="BF"/>
        </w:rPr>
      </w:pPr>
      <w:r>
        <w:rPr>
          <w:color w:val="365F91" w:themeColor="accent1" w:themeShade="BF"/>
        </w:rPr>
        <w:t xml:space="preserve">BGH, Urteil vom 06.12.2022, Az. VI </w:t>
      </w:r>
      <w:r w:rsidRPr="004832F9">
        <w:rPr>
          <w:color w:val="365F91" w:themeColor="accent1" w:themeShade="BF"/>
        </w:rPr>
        <w:t>ZR</w:t>
      </w:r>
      <w:r>
        <w:rPr>
          <w:color w:val="365F91" w:themeColor="accent1" w:themeShade="BF"/>
        </w:rPr>
        <w:t xml:space="preserve"> 237/21</w:t>
      </w:r>
    </w:p>
    <w:p w14:paraId="255B5657" w14:textId="77777777" w:rsidR="0093736C" w:rsidRDefault="0093736C" w:rsidP="0093736C">
      <w:pPr>
        <w:pStyle w:val="Listenabsatz"/>
        <w:numPr>
          <w:ilvl w:val="0"/>
          <w:numId w:val="30"/>
        </w:numPr>
        <w:suppressAutoHyphens w:val="0"/>
        <w:spacing w:after="160" w:line="256" w:lineRule="auto"/>
        <w:jc w:val="left"/>
      </w:pPr>
      <w:r>
        <w:t xml:space="preserve">Titel: Zur Personenbestimmbarkeit reicht es aus, wenn nicht jeder die Person identifizieren kann, sondern Informationen an solche Personen geraten können, die aufgrund ihrer sonstigen Kenntnisse in der Lage sind, die betroffene Person zu </w:t>
      </w:r>
      <w:r w:rsidRPr="004832F9">
        <w:t>identifizieren</w:t>
      </w:r>
    </w:p>
    <w:p w14:paraId="3C0C1262" w14:textId="77777777" w:rsidR="0093736C" w:rsidRDefault="0093736C" w:rsidP="0093736C">
      <w:pPr>
        <w:pStyle w:val="Listenabsatz"/>
        <w:numPr>
          <w:ilvl w:val="0"/>
          <w:numId w:val="30"/>
        </w:numPr>
        <w:suppressAutoHyphens w:val="0"/>
        <w:spacing w:after="160" w:line="256" w:lineRule="auto"/>
        <w:jc w:val="left"/>
      </w:pPr>
      <w:r>
        <w:t>Leitsatz</w:t>
      </w:r>
    </w:p>
    <w:p w14:paraId="362A1E15" w14:textId="18CFBF97" w:rsidR="0093736C" w:rsidRDefault="0093736C" w:rsidP="0093736C">
      <w:pPr>
        <w:pStyle w:val="Listenabsatz"/>
        <w:numPr>
          <w:ilvl w:val="1"/>
          <w:numId w:val="30"/>
        </w:numPr>
        <w:suppressAutoHyphens w:val="0"/>
        <w:spacing w:after="160" w:line="256" w:lineRule="auto"/>
        <w:jc w:val="left"/>
      </w:pPr>
      <w:r>
        <w:t xml:space="preserve">Eine Berichterstattung über eine nicht öffentlich gemachte Liebesbeziehung und ihr Ende sind Teil der Privatsphäre beider daran beteiligter Partner. Sie berührt damit die Privatsphäre beider Partner, soweit diese für </w:t>
      </w:r>
      <w:r w:rsidR="004832F9" w:rsidRPr="004832F9">
        <w:t>potenzielle</w:t>
      </w:r>
      <w:r>
        <w:t xml:space="preserve"> Leser identifizierbar sind. Dabei ist nicht entscheidend, ob alle oder ein erheblicher Teil der Adressaten der Berichterstattung oder gar der "Durchschnittsleser" die betroffene Person identifizieren können. Es reicht vielmehr aus, dass über die Berichterstattung Informationen über den Betroffenen an solche Personen geraten, die aufgrund ihrer sonstigen Kenntnisse in der Lage sind, die betroffene Person zu identifizieren.</w:t>
      </w:r>
    </w:p>
    <w:p w14:paraId="08D0D55D" w14:textId="77777777" w:rsidR="0093736C" w:rsidRDefault="0093736C" w:rsidP="0093736C">
      <w:pPr>
        <w:pStyle w:val="Listenabsatz"/>
        <w:numPr>
          <w:ilvl w:val="1"/>
          <w:numId w:val="30"/>
        </w:numPr>
        <w:suppressAutoHyphens w:val="0"/>
        <w:spacing w:after="160" w:line="256" w:lineRule="auto"/>
        <w:jc w:val="left"/>
      </w:pPr>
    </w:p>
    <w:p w14:paraId="4E95FA12" w14:textId="43F45DD9" w:rsidR="0093736C" w:rsidRDefault="0093736C" w:rsidP="0093736C">
      <w:pPr>
        <w:pStyle w:val="Listenabsatz"/>
        <w:numPr>
          <w:ilvl w:val="0"/>
          <w:numId w:val="30"/>
        </w:numPr>
        <w:suppressAutoHyphens w:val="0"/>
        <w:spacing w:after="160" w:line="256" w:lineRule="auto"/>
        <w:jc w:val="left"/>
      </w:pPr>
      <w:r w:rsidRPr="004832F9">
        <w:t>Dejure</w:t>
      </w:r>
      <w:r>
        <w:t xml:space="preserve">: </w:t>
      </w:r>
      <w:hyperlink r:id="rId57" w:history="1">
        <w:r>
          <w:rPr>
            <w:rStyle w:val="Hyperlink"/>
          </w:rPr>
          <w:t>https://dejure.org/2022</w:t>
        </w:r>
        <w:r w:rsidRPr="004832F9">
          <w:rPr>
            <w:rStyle w:val="Hyperlink"/>
          </w:rPr>
          <w:t>,40374</w:t>
        </w:r>
      </w:hyperlink>
    </w:p>
    <w:p w14:paraId="6AA76199" w14:textId="5A8C60A4" w:rsidR="0093736C" w:rsidRPr="004832F9" w:rsidRDefault="0093736C" w:rsidP="0093736C">
      <w:pPr>
        <w:pStyle w:val="Listenabsatz"/>
        <w:numPr>
          <w:ilvl w:val="0"/>
          <w:numId w:val="30"/>
        </w:numPr>
        <w:suppressAutoHyphens w:val="0"/>
        <w:spacing w:after="160" w:line="256" w:lineRule="auto"/>
        <w:jc w:val="left"/>
      </w:pPr>
      <w:r w:rsidRPr="004832F9">
        <w:t xml:space="preserve">openJur: </w:t>
      </w:r>
      <w:hyperlink r:id="rId58" w:history="1">
        <w:r w:rsidRPr="004832F9">
          <w:rPr>
            <w:rStyle w:val="Hyperlink"/>
          </w:rPr>
          <w:t>https://openjur.de/u/2461988.html</w:t>
        </w:r>
      </w:hyperlink>
    </w:p>
    <w:p w14:paraId="0F905AF7" w14:textId="77777777" w:rsidR="0093736C" w:rsidRDefault="0093736C">
      <w:pPr>
        <w:spacing w:after="0" w:line="240" w:lineRule="auto"/>
        <w:jc w:val="left"/>
        <w:rPr>
          <w:color w:val="365F91" w:themeColor="accent1" w:themeShade="BF"/>
        </w:rPr>
      </w:pPr>
      <w:r>
        <w:rPr>
          <w:color w:val="365F91" w:themeColor="accent1" w:themeShade="BF"/>
        </w:rPr>
        <w:br w:type="page"/>
      </w:r>
    </w:p>
    <w:p w14:paraId="32581B5A" w14:textId="0A84467A" w:rsidR="0093736C" w:rsidRDefault="0093736C" w:rsidP="0093736C">
      <w:pPr>
        <w:spacing w:after="0"/>
        <w:rPr>
          <w:color w:val="365F91" w:themeColor="accent1" w:themeShade="BF"/>
        </w:rPr>
      </w:pPr>
      <w:r w:rsidRPr="004832F9">
        <w:rPr>
          <w:color w:val="365F91" w:themeColor="accent1" w:themeShade="BF"/>
        </w:rPr>
        <w:t>VG</w:t>
      </w:r>
      <w:r>
        <w:rPr>
          <w:color w:val="365F91" w:themeColor="accent1" w:themeShade="BF"/>
        </w:rPr>
        <w:t xml:space="preserve"> Hamburg, Urteil vom 28.7.2022, Az. 21 K 1802/21</w:t>
      </w:r>
    </w:p>
    <w:p w14:paraId="791E0D54" w14:textId="77777777" w:rsidR="0093736C" w:rsidRDefault="0093736C" w:rsidP="0093736C">
      <w:pPr>
        <w:pStyle w:val="Listenabsatz"/>
        <w:numPr>
          <w:ilvl w:val="0"/>
          <w:numId w:val="30"/>
        </w:numPr>
        <w:suppressAutoHyphens w:val="0"/>
        <w:spacing w:after="160" w:line="256" w:lineRule="auto"/>
        <w:jc w:val="left"/>
      </w:pPr>
      <w:r>
        <w:t>Titel: Bestimmung des Personenbezugs von Daten</w:t>
      </w:r>
    </w:p>
    <w:p w14:paraId="10F25438" w14:textId="77777777" w:rsidR="0093736C" w:rsidRDefault="0093736C" w:rsidP="0093736C">
      <w:pPr>
        <w:pStyle w:val="Listenabsatz"/>
        <w:numPr>
          <w:ilvl w:val="0"/>
          <w:numId w:val="30"/>
        </w:numPr>
        <w:suppressAutoHyphens w:val="0"/>
        <w:spacing w:after="160" w:line="256" w:lineRule="auto"/>
        <w:jc w:val="left"/>
      </w:pPr>
      <w:r>
        <w:t>Leitsätze:</w:t>
      </w:r>
    </w:p>
    <w:p w14:paraId="3B958FD5" w14:textId="77777777" w:rsidR="0093736C" w:rsidRDefault="0093736C" w:rsidP="0093736C">
      <w:pPr>
        <w:pStyle w:val="Listenabsatz"/>
        <w:numPr>
          <w:ilvl w:val="1"/>
          <w:numId w:val="30"/>
        </w:numPr>
        <w:suppressAutoHyphens w:val="0"/>
        <w:spacing w:after="160" w:line="256" w:lineRule="auto"/>
        <w:jc w:val="left"/>
      </w:pPr>
      <w:r>
        <w:t xml:space="preserve">Personenbezogene Daten können auch dann vorliegen, wenn diese mittels eines Hash-Verfahrens und anschließender </w:t>
      </w:r>
      <w:r w:rsidRPr="004832F9">
        <w:t>Überschlüsselung</w:t>
      </w:r>
      <w:r>
        <w:t xml:space="preserve"> verarbeitet worden sind.</w:t>
      </w:r>
    </w:p>
    <w:p w14:paraId="73BBADA6" w14:textId="77777777" w:rsidR="0093736C" w:rsidRDefault="0093736C" w:rsidP="0093736C">
      <w:pPr>
        <w:pStyle w:val="Listenabsatz"/>
        <w:numPr>
          <w:ilvl w:val="1"/>
          <w:numId w:val="30"/>
        </w:numPr>
        <w:suppressAutoHyphens w:val="0"/>
        <w:spacing w:after="160" w:line="256" w:lineRule="auto"/>
        <w:jc w:val="left"/>
      </w:pPr>
      <w:r>
        <w:t>Eine unmögliche Zuordnung zu einer Person setzt voraus, dass eine Zuordnung endgültig nicht durchführbar ist.</w:t>
      </w:r>
    </w:p>
    <w:p w14:paraId="0201C041" w14:textId="68FCF673" w:rsidR="0093736C" w:rsidRDefault="0093736C" w:rsidP="0093736C">
      <w:pPr>
        <w:pStyle w:val="Listenabsatz"/>
        <w:numPr>
          <w:ilvl w:val="1"/>
          <w:numId w:val="30"/>
        </w:numPr>
        <w:suppressAutoHyphens w:val="0"/>
        <w:spacing w:after="160" w:line="256" w:lineRule="auto"/>
        <w:jc w:val="left"/>
      </w:pPr>
      <w:r>
        <w:t xml:space="preserve">Eine Formulierung wie „es ist sicherzustellen, dass [...] </w:t>
      </w:r>
      <w:r w:rsidRPr="004832F9">
        <w:t>eine</w:t>
      </w:r>
      <w:r>
        <w:t xml:space="preserve"> </w:t>
      </w:r>
      <w:r w:rsidRPr="004832F9">
        <w:t>Reidentifizierung</w:t>
      </w:r>
      <w:r>
        <w:t xml:space="preserve"> nicht erfolgt“ ist kein Verbot der </w:t>
      </w:r>
      <w:r w:rsidRPr="004832F9">
        <w:t>Reidentifizierung</w:t>
      </w:r>
      <w:r>
        <w:t xml:space="preserve">, daher ist diese </w:t>
      </w:r>
      <w:r w:rsidRPr="004C1658">
        <w:t xml:space="preserve">auch </w:t>
      </w:r>
      <w:r>
        <w:t>nicht rechtlich unmöglich.</w:t>
      </w:r>
    </w:p>
    <w:p w14:paraId="18393656" w14:textId="63BDF3BA" w:rsidR="0093736C" w:rsidRDefault="0093736C" w:rsidP="0093736C">
      <w:pPr>
        <w:pStyle w:val="Listenabsatz"/>
        <w:numPr>
          <w:ilvl w:val="0"/>
          <w:numId w:val="30"/>
        </w:numPr>
        <w:suppressAutoHyphens w:val="0"/>
        <w:spacing w:after="160" w:line="256" w:lineRule="auto"/>
        <w:jc w:val="left"/>
      </w:pPr>
      <w:r w:rsidRPr="004832F9">
        <w:t>Dejure</w:t>
      </w:r>
      <w:r>
        <w:t xml:space="preserve">: </w:t>
      </w:r>
      <w:hyperlink r:id="rId59" w:history="1">
        <w:r>
          <w:rPr>
            <w:rStyle w:val="Hyperlink"/>
          </w:rPr>
          <w:t>https://dejure.org/2022</w:t>
        </w:r>
        <w:r w:rsidRPr="004832F9">
          <w:rPr>
            <w:rStyle w:val="Hyperlink"/>
          </w:rPr>
          <w:t>,36335</w:t>
        </w:r>
      </w:hyperlink>
    </w:p>
    <w:p w14:paraId="65E647FA" w14:textId="61246892" w:rsidR="0093736C" w:rsidRPr="004832F9" w:rsidRDefault="0093736C" w:rsidP="0093736C">
      <w:pPr>
        <w:pStyle w:val="Listenabsatz"/>
        <w:numPr>
          <w:ilvl w:val="0"/>
          <w:numId w:val="30"/>
        </w:numPr>
        <w:suppressAutoHyphens w:val="0"/>
        <w:spacing w:after="160" w:line="256" w:lineRule="auto"/>
        <w:jc w:val="left"/>
      </w:pPr>
      <w:r w:rsidRPr="004832F9">
        <w:t xml:space="preserve">openJur: </w:t>
      </w:r>
      <w:hyperlink r:id="rId60" w:history="1">
        <w:r w:rsidRPr="004832F9">
          <w:rPr>
            <w:rStyle w:val="Hyperlink"/>
          </w:rPr>
          <w:t>https://openjur.de/u/2459330.html</w:t>
        </w:r>
      </w:hyperlink>
    </w:p>
    <w:p w14:paraId="4E641E48" w14:textId="77777777" w:rsidR="0093736C" w:rsidRDefault="0093736C" w:rsidP="0093736C">
      <w:pPr>
        <w:spacing w:after="0"/>
        <w:rPr>
          <w:color w:val="365F91" w:themeColor="accent1" w:themeShade="BF"/>
        </w:rPr>
      </w:pPr>
      <w:r>
        <w:rPr>
          <w:color w:val="365F91" w:themeColor="accent1" w:themeShade="BF"/>
        </w:rPr>
        <w:t>LG München I (7. Zivilkammer), Beschluss vom 01.06.2021, Az. 7 O 14276/20</w:t>
      </w:r>
    </w:p>
    <w:p w14:paraId="71EA8F8A" w14:textId="77777777" w:rsidR="0093736C" w:rsidRDefault="0093736C" w:rsidP="0093736C">
      <w:pPr>
        <w:pStyle w:val="Listenabsatz"/>
        <w:numPr>
          <w:ilvl w:val="0"/>
          <w:numId w:val="31"/>
        </w:numPr>
        <w:suppressAutoHyphens w:val="0"/>
        <w:spacing w:after="160" w:line="256" w:lineRule="auto"/>
        <w:jc w:val="left"/>
      </w:pPr>
      <w:r>
        <w:t>Titel: Anonymisierung von Gerichtsentscheidungen in Patentstreitsachen</w:t>
      </w:r>
    </w:p>
    <w:p w14:paraId="4E9183BD" w14:textId="77777777" w:rsidR="0093736C" w:rsidRDefault="0093736C" w:rsidP="0093736C">
      <w:pPr>
        <w:pStyle w:val="Listenabsatz"/>
        <w:numPr>
          <w:ilvl w:val="0"/>
          <w:numId w:val="31"/>
        </w:numPr>
        <w:suppressAutoHyphens w:val="0"/>
        <w:spacing w:after="160" w:line="256" w:lineRule="auto"/>
        <w:jc w:val="left"/>
      </w:pPr>
      <w:r>
        <w:t>Leitsatz:</w:t>
      </w:r>
    </w:p>
    <w:p w14:paraId="3F77C500" w14:textId="77777777" w:rsidR="0093736C" w:rsidRDefault="0093736C" w:rsidP="0093736C">
      <w:pPr>
        <w:pStyle w:val="Listenabsatz"/>
        <w:numPr>
          <w:ilvl w:val="1"/>
          <w:numId w:val="31"/>
        </w:numPr>
        <w:suppressAutoHyphens w:val="0"/>
        <w:spacing w:after="160" w:line="256" w:lineRule="auto"/>
        <w:jc w:val="left"/>
      </w:pPr>
      <w:r>
        <w:t xml:space="preserve">Zu den Voraussetzungen und Maßstäben bei der Anonymisierung eines Urteils in einer Patentstreitsache betreffend eine </w:t>
      </w:r>
      <w:r w:rsidRPr="004832F9">
        <w:t>Anti-Anti-Suit-Injunction</w:t>
      </w:r>
    </w:p>
    <w:p w14:paraId="70CD5495" w14:textId="5D10800C" w:rsidR="0093736C" w:rsidRDefault="0093736C" w:rsidP="0093736C">
      <w:pPr>
        <w:pStyle w:val="Listenabsatz"/>
        <w:numPr>
          <w:ilvl w:val="0"/>
          <w:numId w:val="31"/>
        </w:numPr>
        <w:suppressAutoHyphens w:val="0"/>
        <w:spacing w:after="160" w:line="256" w:lineRule="auto"/>
        <w:jc w:val="left"/>
      </w:pPr>
      <w:r w:rsidRPr="004832F9">
        <w:t>Dejure</w:t>
      </w:r>
      <w:r>
        <w:t xml:space="preserve">: </w:t>
      </w:r>
      <w:hyperlink r:id="rId61" w:history="1">
        <w:r>
          <w:rPr>
            <w:rStyle w:val="Hyperlink"/>
          </w:rPr>
          <w:t>https://dejure.org/2021</w:t>
        </w:r>
        <w:r w:rsidRPr="004832F9">
          <w:rPr>
            <w:rStyle w:val="Hyperlink"/>
          </w:rPr>
          <w:t>,22969</w:t>
        </w:r>
      </w:hyperlink>
    </w:p>
    <w:p w14:paraId="1032D231" w14:textId="5D9EB744" w:rsidR="0093736C" w:rsidRPr="004832F9" w:rsidRDefault="0093736C" w:rsidP="0093736C">
      <w:pPr>
        <w:pStyle w:val="Listenabsatz"/>
        <w:numPr>
          <w:ilvl w:val="0"/>
          <w:numId w:val="31"/>
        </w:numPr>
        <w:suppressAutoHyphens w:val="0"/>
        <w:spacing w:after="160" w:line="256" w:lineRule="auto"/>
        <w:jc w:val="left"/>
      </w:pPr>
      <w:r w:rsidRPr="004832F9">
        <w:t xml:space="preserve">openJur: </w:t>
      </w:r>
      <w:hyperlink r:id="rId62" w:history="1">
        <w:r w:rsidRPr="004832F9">
          <w:rPr>
            <w:rStyle w:val="Hyperlink"/>
          </w:rPr>
          <w:t>https://openjur.de/u/2347437.html</w:t>
        </w:r>
      </w:hyperlink>
    </w:p>
    <w:p w14:paraId="08B6513C" w14:textId="77777777" w:rsidR="0093736C" w:rsidRDefault="0093736C" w:rsidP="0093736C">
      <w:pPr>
        <w:spacing w:after="0"/>
        <w:rPr>
          <w:color w:val="365F91" w:themeColor="accent1" w:themeShade="BF"/>
        </w:rPr>
      </w:pPr>
      <w:r>
        <w:rPr>
          <w:color w:val="365F91" w:themeColor="accent1" w:themeShade="BF"/>
        </w:rPr>
        <w:t>OLG Köln (7. Zivilsenat), Beschluss vom 13.04.2021, Az. 7 VA 9/21</w:t>
      </w:r>
    </w:p>
    <w:p w14:paraId="55571D73" w14:textId="77777777" w:rsidR="0093736C" w:rsidRDefault="0093736C" w:rsidP="0093736C">
      <w:pPr>
        <w:pStyle w:val="Listenabsatz"/>
        <w:numPr>
          <w:ilvl w:val="0"/>
          <w:numId w:val="31"/>
        </w:numPr>
        <w:suppressAutoHyphens w:val="0"/>
        <w:spacing w:after="160" w:line="256" w:lineRule="auto"/>
        <w:jc w:val="left"/>
      </w:pPr>
      <w:r>
        <w:t>Titel: Anonymisierung von Gerichtsentscheidungen</w:t>
      </w:r>
    </w:p>
    <w:p w14:paraId="0A119687" w14:textId="77777777" w:rsidR="0093736C" w:rsidRDefault="0093736C" w:rsidP="0093736C">
      <w:pPr>
        <w:pStyle w:val="Listenabsatz"/>
        <w:numPr>
          <w:ilvl w:val="0"/>
          <w:numId w:val="31"/>
        </w:numPr>
        <w:suppressAutoHyphens w:val="0"/>
        <w:spacing w:after="160" w:line="256" w:lineRule="auto"/>
        <w:jc w:val="left"/>
      </w:pPr>
      <w:r>
        <w:t>Leitsatz:</w:t>
      </w:r>
    </w:p>
    <w:p w14:paraId="5FC87309" w14:textId="77777777" w:rsidR="0093736C" w:rsidRDefault="0093736C" w:rsidP="0093736C">
      <w:pPr>
        <w:pStyle w:val="Listenabsatz"/>
        <w:numPr>
          <w:ilvl w:val="1"/>
          <w:numId w:val="31"/>
        </w:numPr>
        <w:suppressAutoHyphens w:val="0"/>
        <w:spacing w:after="160" w:line="256" w:lineRule="auto"/>
        <w:jc w:val="left"/>
      </w:pPr>
      <w:r>
        <w:t>Ob einzelne Dritte, die die Prozessparteien näher kennen, den Sachverhalt trotz der Anonymisierung einer veröffentlichten Gerichtsentscheidung unter Umständen „wiedererkennen“ könnten, ist für die Frage, ob eine ausreichende Anonymisierung vorliegt, nicht ausschlaggebend.</w:t>
      </w:r>
    </w:p>
    <w:p w14:paraId="27F210BD" w14:textId="171F26E0" w:rsidR="0093736C" w:rsidRDefault="0093736C" w:rsidP="0093736C">
      <w:pPr>
        <w:pStyle w:val="Listenabsatz"/>
        <w:numPr>
          <w:ilvl w:val="0"/>
          <w:numId w:val="31"/>
        </w:numPr>
        <w:suppressAutoHyphens w:val="0"/>
        <w:spacing w:after="160" w:line="256" w:lineRule="auto"/>
        <w:jc w:val="left"/>
      </w:pPr>
      <w:r w:rsidRPr="004832F9">
        <w:t>Dejure</w:t>
      </w:r>
      <w:r>
        <w:t xml:space="preserve">: </w:t>
      </w:r>
      <w:hyperlink r:id="rId63" w:history="1">
        <w:r>
          <w:rPr>
            <w:rStyle w:val="Hyperlink"/>
          </w:rPr>
          <w:t>https://dejure.org/2021</w:t>
        </w:r>
        <w:r w:rsidRPr="004832F9">
          <w:rPr>
            <w:rStyle w:val="Hyperlink"/>
          </w:rPr>
          <w:t>,38668</w:t>
        </w:r>
      </w:hyperlink>
    </w:p>
    <w:p w14:paraId="0C78EECA" w14:textId="5C31E8DD" w:rsidR="0093736C" w:rsidRPr="004832F9" w:rsidRDefault="0093736C" w:rsidP="0093736C">
      <w:pPr>
        <w:pStyle w:val="Listenabsatz"/>
        <w:numPr>
          <w:ilvl w:val="0"/>
          <w:numId w:val="31"/>
        </w:numPr>
        <w:suppressAutoHyphens w:val="0"/>
        <w:spacing w:after="160" w:line="256" w:lineRule="auto"/>
        <w:jc w:val="left"/>
      </w:pPr>
      <w:r w:rsidRPr="004832F9">
        <w:t xml:space="preserve">openJur: </w:t>
      </w:r>
      <w:hyperlink r:id="rId64" w:history="1">
        <w:r w:rsidRPr="004832F9">
          <w:rPr>
            <w:rStyle w:val="Hyperlink"/>
          </w:rPr>
          <w:t>https://openjur.de/u/2360820.html</w:t>
        </w:r>
      </w:hyperlink>
    </w:p>
    <w:p w14:paraId="166D83D7" w14:textId="77777777" w:rsidR="0093736C" w:rsidRDefault="0093736C" w:rsidP="0093736C">
      <w:pPr>
        <w:spacing w:after="0"/>
        <w:rPr>
          <w:color w:val="365F91" w:themeColor="accent1" w:themeShade="BF"/>
        </w:rPr>
      </w:pPr>
      <w:r>
        <w:rPr>
          <w:color w:val="365F91" w:themeColor="accent1" w:themeShade="BF"/>
        </w:rPr>
        <w:t>OLG Karlsruhe (6. Zivilsenat), Beschluss vom 22.12.2020, Az. 6 VA 25/20</w:t>
      </w:r>
    </w:p>
    <w:p w14:paraId="02679B63" w14:textId="77777777" w:rsidR="0093736C" w:rsidRDefault="0093736C" w:rsidP="0093736C">
      <w:pPr>
        <w:pStyle w:val="Listenabsatz"/>
        <w:numPr>
          <w:ilvl w:val="0"/>
          <w:numId w:val="32"/>
        </w:numPr>
        <w:suppressAutoHyphens w:val="0"/>
        <w:spacing w:after="160" w:line="256" w:lineRule="auto"/>
        <w:jc w:val="left"/>
      </w:pPr>
      <w:r>
        <w:t>Titel: Anforderungen an die Anonymisierung bei Urteilsveröffentlichungen</w:t>
      </w:r>
    </w:p>
    <w:p w14:paraId="5BC0D4FE" w14:textId="77777777" w:rsidR="0093736C" w:rsidRDefault="0093736C" w:rsidP="0093736C">
      <w:pPr>
        <w:pStyle w:val="Listenabsatz"/>
        <w:numPr>
          <w:ilvl w:val="0"/>
          <w:numId w:val="32"/>
        </w:numPr>
        <w:suppressAutoHyphens w:val="0"/>
        <w:spacing w:after="160" w:line="256" w:lineRule="auto"/>
        <w:jc w:val="left"/>
      </w:pPr>
      <w:r>
        <w:t>Leitsätze</w:t>
      </w:r>
    </w:p>
    <w:p w14:paraId="0FB7FEAD" w14:textId="77777777" w:rsidR="0093736C" w:rsidRDefault="0093736C" w:rsidP="0093736C">
      <w:pPr>
        <w:pStyle w:val="Listenabsatz"/>
        <w:numPr>
          <w:ilvl w:val="1"/>
          <w:numId w:val="32"/>
        </w:numPr>
        <w:suppressAutoHyphens w:val="0"/>
        <w:spacing w:after="160" w:line="256" w:lineRule="auto"/>
        <w:jc w:val="left"/>
      </w:pPr>
      <w:r>
        <w:t>Die Entscheidung der Gerichtsverwaltung darüber, ob eine Gerichtsentscheidung als veröffentlichungswürdig publiziert wird, unterliegt ihrem pflichtgemäßen Ermessen. Dies erfordert eine Abwägung der widerstreitenden Interessen, vorliegend des Informationsinteresses der Öffentlichkeit und gegebenenfalls der Fachöffentlichkeit an der Veröffentlichung der Gerichtsentscheidung sowie des Geheimhaltungsinteresses des Betroffenen als Ausfluss des allgemeinen Persönlichkeitsrechts.</w:t>
      </w:r>
    </w:p>
    <w:p w14:paraId="20B1FAA2" w14:textId="77777777" w:rsidR="0093736C" w:rsidRDefault="0093736C" w:rsidP="0093736C">
      <w:pPr>
        <w:pStyle w:val="Listenabsatz"/>
        <w:numPr>
          <w:ilvl w:val="1"/>
          <w:numId w:val="32"/>
        </w:numPr>
        <w:suppressAutoHyphens w:val="0"/>
        <w:spacing w:after="160" w:line="256" w:lineRule="auto"/>
        <w:jc w:val="left"/>
      </w:pPr>
      <w:r>
        <w:t>Ein Verfahrensbeteiligter kann grundsätzlich nicht ausschließen, dass die ihn betreffende Entscheidung veröffentlicht wird, auch wenn die Prozessparteien der Öffentlichkeit oder einzelnen Dritten trotz Anonymisierung bekannt werden. Allerdings ist bei der Ermessensentscheidung zu beachten, dass der Antragsteller grundsätzlich ein berücksichtigungsfähiges und berechtigtes Interesse daran hat, dass seine persönlichen Angaben und Umstände in der veröffentlichten Entscheidung anonymisiert sind.</w:t>
      </w:r>
    </w:p>
    <w:p w14:paraId="66E8CCC6" w14:textId="216D98E7" w:rsidR="0093736C" w:rsidRDefault="0093736C" w:rsidP="0093736C">
      <w:pPr>
        <w:pStyle w:val="Listenabsatz"/>
        <w:numPr>
          <w:ilvl w:val="0"/>
          <w:numId w:val="32"/>
        </w:numPr>
        <w:suppressAutoHyphens w:val="0"/>
        <w:spacing w:after="160" w:line="256" w:lineRule="auto"/>
        <w:jc w:val="left"/>
      </w:pPr>
      <w:r w:rsidRPr="004832F9">
        <w:t>Dejure</w:t>
      </w:r>
      <w:r>
        <w:t xml:space="preserve">: </w:t>
      </w:r>
      <w:hyperlink r:id="rId65" w:history="1">
        <w:r>
          <w:rPr>
            <w:rStyle w:val="Hyperlink"/>
          </w:rPr>
          <w:t>https://dejure.org/2020</w:t>
        </w:r>
        <w:r w:rsidRPr="004832F9">
          <w:rPr>
            <w:rStyle w:val="Hyperlink"/>
          </w:rPr>
          <w:t>,48121</w:t>
        </w:r>
      </w:hyperlink>
    </w:p>
    <w:p w14:paraId="0C04C36A" w14:textId="13853A20" w:rsidR="0093736C" w:rsidRPr="004832F9" w:rsidRDefault="0093736C" w:rsidP="0093736C">
      <w:pPr>
        <w:pStyle w:val="Listenabsatz"/>
        <w:numPr>
          <w:ilvl w:val="0"/>
          <w:numId w:val="32"/>
        </w:numPr>
        <w:suppressAutoHyphens w:val="0"/>
        <w:spacing w:after="160" w:line="256" w:lineRule="auto"/>
        <w:jc w:val="left"/>
      </w:pPr>
      <w:r w:rsidRPr="004832F9">
        <w:t xml:space="preserve">openJur: </w:t>
      </w:r>
      <w:hyperlink r:id="rId66" w:history="1">
        <w:r w:rsidRPr="004832F9">
          <w:rPr>
            <w:rStyle w:val="Hyperlink"/>
          </w:rPr>
          <w:t>https://openjur.de/u/2352730.html</w:t>
        </w:r>
      </w:hyperlink>
    </w:p>
    <w:p w14:paraId="4D1153B2" w14:textId="77777777" w:rsidR="0093736C" w:rsidRDefault="0093736C">
      <w:pPr>
        <w:spacing w:after="0" w:line="240" w:lineRule="auto"/>
        <w:jc w:val="left"/>
        <w:rPr>
          <w:color w:val="365F91" w:themeColor="accent1" w:themeShade="BF"/>
        </w:rPr>
      </w:pPr>
      <w:r>
        <w:rPr>
          <w:color w:val="365F91" w:themeColor="accent1" w:themeShade="BF"/>
        </w:rPr>
        <w:br w:type="page"/>
      </w:r>
    </w:p>
    <w:p w14:paraId="2DC97A2C" w14:textId="2FFE6264" w:rsidR="0093736C" w:rsidRDefault="0093736C" w:rsidP="0093736C">
      <w:pPr>
        <w:spacing w:after="0"/>
        <w:rPr>
          <w:color w:val="365F91" w:themeColor="accent1" w:themeShade="BF"/>
        </w:rPr>
      </w:pPr>
      <w:r>
        <w:rPr>
          <w:color w:val="365F91" w:themeColor="accent1" w:themeShade="BF"/>
        </w:rPr>
        <w:t>OLG Köln (15. Zivilsenat), Beschluss vom 14.05.2020, Az. 15 W 10/20</w:t>
      </w:r>
    </w:p>
    <w:p w14:paraId="2560BA76" w14:textId="77777777" w:rsidR="0093736C" w:rsidRDefault="0093736C" w:rsidP="0093736C">
      <w:pPr>
        <w:pStyle w:val="Listenabsatz"/>
        <w:numPr>
          <w:ilvl w:val="0"/>
          <w:numId w:val="32"/>
        </w:numPr>
        <w:suppressAutoHyphens w:val="0"/>
        <w:spacing w:after="160" w:line="256" w:lineRule="auto"/>
        <w:jc w:val="left"/>
      </w:pPr>
      <w:r>
        <w:t xml:space="preserve">Titel: </w:t>
      </w:r>
      <w:r w:rsidRPr="004832F9">
        <w:t>Unzureichende</w:t>
      </w:r>
      <w:r>
        <w:t xml:space="preserve"> Anonymisierung bei Verdachtsberichterstattung</w:t>
      </w:r>
    </w:p>
    <w:p w14:paraId="0ADDF77E" w14:textId="77777777" w:rsidR="0093736C" w:rsidRDefault="0093736C" w:rsidP="0093736C">
      <w:pPr>
        <w:pStyle w:val="Listenabsatz"/>
        <w:numPr>
          <w:ilvl w:val="0"/>
          <w:numId w:val="32"/>
        </w:numPr>
        <w:suppressAutoHyphens w:val="0"/>
        <w:spacing w:after="160" w:line="256" w:lineRule="auto"/>
        <w:jc w:val="left"/>
      </w:pPr>
      <w:r>
        <w:t>Leitsätze:</w:t>
      </w:r>
    </w:p>
    <w:p w14:paraId="006C6037" w14:textId="77777777" w:rsidR="0093736C" w:rsidRDefault="0093736C" w:rsidP="0093736C">
      <w:pPr>
        <w:pStyle w:val="Listenabsatz"/>
        <w:numPr>
          <w:ilvl w:val="1"/>
          <w:numId w:val="32"/>
        </w:numPr>
        <w:suppressAutoHyphens w:val="0"/>
        <w:spacing w:after="160" w:line="256" w:lineRule="auto"/>
        <w:jc w:val="left"/>
      </w:pPr>
      <w:r>
        <w:t>Bei einer identifizierenden Bildberichterstattung über einen strafrechtlichen Verdacht (hier: Spionageverdacht gegen einen Berater der Bundeswehr) muss zusätzlich zu den in der Rechtsprechung anerkannten Grundvoraussetzungen einer identifizierenden Verdachtsberichterstattung im Rahmen des § 23 Abs. 1 Nr. 1 KUG ein sog. „qualifiziertes öffentliches Interesse“ vorliegen.</w:t>
      </w:r>
    </w:p>
    <w:p w14:paraId="58B3BD60" w14:textId="77777777" w:rsidR="0093736C" w:rsidRDefault="0093736C" w:rsidP="0093736C">
      <w:pPr>
        <w:pStyle w:val="Listenabsatz"/>
        <w:numPr>
          <w:ilvl w:val="1"/>
          <w:numId w:val="32"/>
        </w:numPr>
        <w:suppressAutoHyphens w:val="0"/>
        <w:spacing w:after="160" w:line="256" w:lineRule="auto"/>
        <w:jc w:val="left"/>
      </w:pPr>
      <w:r>
        <w:t xml:space="preserve">Bis zu einem erstinstanzlichen Schuldspruch soll "oftmals" das Recht des Beschuldigten auf Schutz der Persönlichkeit das Interesse an einer identifizierenden Bildberichterstattung überwiegen; das gilt - wie hier - jedenfalls dann, wenn die Gefahr der Stigmatisierung aufgrund des </w:t>
      </w:r>
      <w:r w:rsidRPr="004832F9">
        <w:t>Deliktstyps</w:t>
      </w:r>
      <w:r>
        <w:t xml:space="preserve"> besonders hoch ist und der Beschuldigte bislang nicht im Blickfeld der Öffentlichkeit stand.</w:t>
      </w:r>
    </w:p>
    <w:p w14:paraId="0274E9D7" w14:textId="0047B1E3" w:rsidR="0093736C" w:rsidRDefault="0093736C" w:rsidP="0093736C">
      <w:pPr>
        <w:pStyle w:val="Listenabsatz"/>
        <w:numPr>
          <w:ilvl w:val="0"/>
          <w:numId w:val="32"/>
        </w:numPr>
        <w:suppressAutoHyphens w:val="0"/>
        <w:spacing w:after="160" w:line="256" w:lineRule="auto"/>
        <w:jc w:val="left"/>
      </w:pPr>
      <w:r w:rsidRPr="004832F9">
        <w:t>Dejure</w:t>
      </w:r>
      <w:r>
        <w:t xml:space="preserve">: </w:t>
      </w:r>
      <w:hyperlink r:id="rId67" w:history="1">
        <w:r>
          <w:rPr>
            <w:rStyle w:val="Hyperlink"/>
          </w:rPr>
          <w:t>https://dejure.org/2020</w:t>
        </w:r>
        <w:r w:rsidRPr="004832F9">
          <w:rPr>
            <w:rStyle w:val="Hyperlink"/>
          </w:rPr>
          <w:t>,22065</w:t>
        </w:r>
      </w:hyperlink>
    </w:p>
    <w:p w14:paraId="5A3B9381" w14:textId="1E646D93" w:rsidR="0093736C" w:rsidRPr="004832F9" w:rsidRDefault="0093736C" w:rsidP="0093736C">
      <w:pPr>
        <w:pStyle w:val="Listenabsatz"/>
        <w:numPr>
          <w:ilvl w:val="0"/>
          <w:numId w:val="32"/>
        </w:numPr>
        <w:suppressAutoHyphens w:val="0"/>
        <w:spacing w:after="160" w:line="256" w:lineRule="auto"/>
        <w:jc w:val="left"/>
      </w:pPr>
      <w:r w:rsidRPr="004832F9">
        <w:t xml:space="preserve">openJur: </w:t>
      </w:r>
      <w:hyperlink r:id="rId68" w:history="1">
        <w:r w:rsidRPr="004832F9">
          <w:rPr>
            <w:rStyle w:val="Hyperlink"/>
          </w:rPr>
          <w:t>https://openjur.de/u/2343388.html</w:t>
        </w:r>
      </w:hyperlink>
    </w:p>
    <w:p w14:paraId="3A9690C3" w14:textId="77777777" w:rsidR="0093736C" w:rsidRDefault="0093736C" w:rsidP="0093736C">
      <w:pPr>
        <w:spacing w:after="0"/>
        <w:rPr>
          <w:color w:val="365F91" w:themeColor="accent1" w:themeShade="BF"/>
        </w:rPr>
      </w:pPr>
      <w:r w:rsidRPr="004832F9">
        <w:rPr>
          <w:color w:val="365F91" w:themeColor="accent1" w:themeShade="BF"/>
        </w:rPr>
        <w:t>VG</w:t>
      </w:r>
      <w:r>
        <w:rPr>
          <w:color w:val="365F91" w:themeColor="accent1" w:themeShade="BF"/>
        </w:rPr>
        <w:t xml:space="preserve"> Bayreuth, Beschluss vom 8.5.2018, Az. B 1 S 18.105</w:t>
      </w:r>
    </w:p>
    <w:p w14:paraId="3D3C4B9A" w14:textId="77777777" w:rsidR="0093736C" w:rsidRDefault="0093736C" w:rsidP="0093736C">
      <w:pPr>
        <w:pStyle w:val="Listenabsatz"/>
        <w:numPr>
          <w:ilvl w:val="0"/>
          <w:numId w:val="32"/>
        </w:numPr>
        <w:suppressAutoHyphens w:val="0"/>
        <w:spacing w:after="160" w:line="256" w:lineRule="auto"/>
        <w:jc w:val="left"/>
      </w:pPr>
      <w:r>
        <w:t xml:space="preserve">Titel: Personenidentifizierbarkeit </w:t>
      </w:r>
      <w:r w:rsidRPr="004832F9">
        <w:t>gehashten</w:t>
      </w:r>
      <w:r>
        <w:t xml:space="preserve"> E-Mail-Adressen</w:t>
      </w:r>
    </w:p>
    <w:p w14:paraId="4D2D26B7" w14:textId="77777777" w:rsidR="0093736C" w:rsidRDefault="0093736C" w:rsidP="0093736C">
      <w:pPr>
        <w:pStyle w:val="Listenabsatz"/>
        <w:numPr>
          <w:ilvl w:val="0"/>
          <w:numId w:val="32"/>
        </w:numPr>
        <w:suppressAutoHyphens w:val="0"/>
        <w:spacing w:after="160" w:line="256" w:lineRule="auto"/>
        <w:jc w:val="left"/>
      </w:pPr>
      <w:r>
        <w:t>Leitsätze:</w:t>
      </w:r>
    </w:p>
    <w:p w14:paraId="5833172A" w14:textId="77777777" w:rsidR="0093736C" w:rsidRDefault="0093736C" w:rsidP="0093736C">
      <w:pPr>
        <w:pStyle w:val="Listenabsatz"/>
        <w:numPr>
          <w:ilvl w:val="1"/>
          <w:numId w:val="32"/>
        </w:numPr>
        <w:suppressAutoHyphens w:val="0"/>
        <w:spacing w:after="160" w:line="256" w:lineRule="auto"/>
        <w:jc w:val="left"/>
      </w:pPr>
      <w:r>
        <w:t>Durch den Vorgang des „</w:t>
      </w:r>
      <w:r w:rsidRPr="004832F9">
        <w:t>Hashens</w:t>
      </w:r>
      <w:r>
        <w:t>“ werden die Daten auch nicht anonymisiert, da der Personenbezug hierdurch nicht völlig aufgehoben wird.</w:t>
      </w:r>
    </w:p>
    <w:p w14:paraId="3B0C9A8C" w14:textId="77777777" w:rsidR="0093736C" w:rsidRDefault="0093736C" w:rsidP="0093736C">
      <w:pPr>
        <w:pStyle w:val="Listenabsatz"/>
        <w:numPr>
          <w:ilvl w:val="1"/>
          <w:numId w:val="32"/>
        </w:numPr>
        <w:suppressAutoHyphens w:val="0"/>
        <w:spacing w:after="160" w:line="256" w:lineRule="auto"/>
        <w:jc w:val="left"/>
      </w:pPr>
      <w:r>
        <w:t>Vielmehr ist es weiterhin mit nicht nur unverhältnismäßigem Aufwand möglich, sie einer bestimmten oder bestimmbaren Person zuzuordnen.</w:t>
      </w:r>
    </w:p>
    <w:p w14:paraId="6D91C319" w14:textId="727B7341" w:rsidR="0093736C" w:rsidRDefault="0093736C" w:rsidP="0093736C">
      <w:pPr>
        <w:pStyle w:val="Listenabsatz"/>
        <w:numPr>
          <w:ilvl w:val="0"/>
          <w:numId w:val="32"/>
        </w:numPr>
        <w:suppressAutoHyphens w:val="0"/>
        <w:spacing w:after="160" w:line="256" w:lineRule="auto"/>
        <w:jc w:val="left"/>
      </w:pPr>
      <w:r w:rsidRPr="004832F9">
        <w:t>Dejure</w:t>
      </w:r>
      <w:r>
        <w:t xml:space="preserve">: </w:t>
      </w:r>
      <w:hyperlink r:id="rId69" w:history="1">
        <w:r>
          <w:rPr>
            <w:rStyle w:val="Hyperlink"/>
          </w:rPr>
          <w:t>https://dejure.org/2018</w:t>
        </w:r>
        <w:r w:rsidRPr="004832F9">
          <w:rPr>
            <w:rStyle w:val="Hyperlink"/>
          </w:rPr>
          <w:t>,13905</w:t>
        </w:r>
      </w:hyperlink>
    </w:p>
    <w:p w14:paraId="0BF698E9" w14:textId="2296C29C" w:rsidR="0093736C" w:rsidRPr="004832F9" w:rsidRDefault="0093736C" w:rsidP="0093736C">
      <w:pPr>
        <w:pStyle w:val="Listenabsatz"/>
        <w:numPr>
          <w:ilvl w:val="0"/>
          <w:numId w:val="32"/>
        </w:numPr>
        <w:suppressAutoHyphens w:val="0"/>
        <w:spacing w:after="160" w:line="256" w:lineRule="auto"/>
        <w:jc w:val="left"/>
      </w:pPr>
      <w:r w:rsidRPr="004832F9">
        <w:t xml:space="preserve">openJur: </w:t>
      </w:r>
      <w:hyperlink r:id="rId70" w:history="1">
        <w:r w:rsidRPr="004832F9">
          <w:rPr>
            <w:rStyle w:val="Hyperlink"/>
          </w:rPr>
          <w:t>https://openjur.de/u/2280784.html</w:t>
        </w:r>
      </w:hyperlink>
    </w:p>
    <w:p w14:paraId="7E1433D5" w14:textId="204DBDD2" w:rsidR="007E6C0A" w:rsidRDefault="007E6C0A" w:rsidP="0093736C">
      <w:pPr>
        <w:spacing w:after="0"/>
        <w:rPr>
          <w:color w:val="365F91" w:themeColor="accent1" w:themeShade="BF"/>
        </w:rPr>
      </w:pPr>
      <w:r>
        <w:rPr>
          <w:color w:val="365F91" w:themeColor="accent1" w:themeShade="BF"/>
        </w:rPr>
        <w:t xml:space="preserve">EuGH, Urteil vom </w:t>
      </w:r>
      <w:r w:rsidRPr="007E6C0A">
        <w:rPr>
          <w:color w:val="365F91" w:themeColor="accent1" w:themeShade="BF"/>
        </w:rPr>
        <w:t>19. Oktober 2016</w:t>
      </w:r>
      <w:r>
        <w:rPr>
          <w:color w:val="365F91" w:themeColor="accent1" w:themeShade="BF"/>
        </w:rPr>
        <w:t xml:space="preserve">, Az. </w:t>
      </w:r>
      <w:r w:rsidRPr="007E6C0A">
        <w:rPr>
          <w:color w:val="365F91" w:themeColor="accent1" w:themeShade="BF"/>
        </w:rPr>
        <w:t>C-582/14</w:t>
      </w:r>
    </w:p>
    <w:p w14:paraId="2D23A8A7" w14:textId="51E44BF8" w:rsidR="007E6C0A" w:rsidRDefault="007E6C0A" w:rsidP="007E6C0A">
      <w:pPr>
        <w:pStyle w:val="Listenabsatz"/>
        <w:numPr>
          <w:ilvl w:val="0"/>
          <w:numId w:val="32"/>
        </w:numPr>
        <w:suppressAutoHyphens w:val="0"/>
        <w:spacing w:after="160" w:line="256" w:lineRule="auto"/>
        <w:jc w:val="left"/>
      </w:pPr>
      <w:r>
        <w:t xml:space="preserve">Titel: Personenbezug </w:t>
      </w:r>
      <w:r w:rsidRPr="007E6C0A">
        <w:t>dynamische</w:t>
      </w:r>
      <w:r>
        <w:t>r</w:t>
      </w:r>
      <w:r w:rsidRPr="007E6C0A">
        <w:t xml:space="preserve"> Internetprotokoll-Adresse</w:t>
      </w:r>
      <w:r>
        <w:t>n</w:t>
      </w:r>
    </w:p>
    <w:p w14:paraId="4C09C883" w14:textId="77777777" w:rsidR="007E6C0A" w:rsidRDefault="007E6C0A" w:rsidP="007E6C0A">
      <w:pPr>
        <w:pStyle w:val="Listenabsatz"/>
        <w:numPr>
          <w:ilvl w:val="0"/>
          <w:numId w:val="32"/>
        </w:numPr>
        <w:suppressAutoHyphens w:val="0"/>
        <w:spacing w:after="160" w:line="256" w:lineRule="auto"/>
        <w:jc w:val="left"/>
      </w:pPr>
      <w:r>
        <w:t>Leitsätze:</w:t>
      </w:r>
    </w:p>
    <w:p w14:paraId="2282797A" w14:textId="77777777" w:rsidR="007E6C0A" w:rsidRDefault="007E6C0A" w:rsidP="007E6C0A">
      <w:pPr>
        <w:pStyle w:val="Listenabsatz"/>
        <w:numPr>
          <w:ilvl w:val="1"/>
          <w:numId w:val="32"/>
        </w:numPr>
        <w:suppressAutoHyphens w:val="0"/>
        <w:spacing w:after="160" w:line="256" w:lineRule="auto"/>
        <w:jc w:val="left"/>
      </w:pPr>
      <w:r>
        <w:t>Art. 2 Buchst. a der Richtlinie 95/46/EG des Europäischen Parlaments und des Rates vom 24. Oktober 1995 zum Schutz natürlicher Personen bei der Verarbeitung personenbezogener Daten und zum freien Datenverkehr ist dahin auszulegen, dass eine dynamische Internetprotokoll-Adresse, die von einem Anbieter von Online-Mediendiensten beim Zugriff einer Person auf eine Website, die dieser Anbieter allgemein zugänglich macht, gespeichert wird, für den Anbieter ein personenbezogenes Datum im Sinne der genannten Bestimmung darstellt, wenn er über rechtliche Mittel verfügt, die es ihm erlauben, die betreffende Person anhand der Zusatzinformationen, über die der Internetzugangsanbieter dieser Person verfügt, bestimmen zu lassen.</w:t>
      </w:r>
    </w:p>
    <w:p w14:paraId="6DCF75A1" w14:textId="5104CDDC" w:rsidR="007E6C0A" w:rsidRDefault="007E6C0A" w:rsidP="007E6C0A">
      <w:pPr>
        <w:pStyle w:val="Listenabsatz"/>
        <w:numPr>
          <w:ilvl w:val="1"/>
          <w:numId w:val="32"/>
        </w:numPr>
        <w:suppressAutoHyphens w:val="0"/>
        <w:spacing w:after="160" w:line="256" w:lineRule="auto"/>
        <w:jc w:val="left"/>
      </w:pPr>
      <w:r>
        <w:t>Art. 7 Buchst. f der Richtlinie 95/46 ist dahin auszulegen, dass er einer Regelung eines Mitgliedstaats entgegensteht, nach der ein Anbieter von Online-Mediendiensten personenbezogene Daten eines Nutzers dieser Dienste ohne dessen Einwilligung nur erheben und verwenden darf, soweit ihre Erhebung und ihre Verwendung erforderlich sind, um die konkrete Inanspruchnahme der Dienste durch den betreffenden Nutzer zu ermöglichen und abzurechnen, ohne dass der Zweck, die generelle Funktionsfähigkeit der Dienste zu gewährleisten, die Verwendung der Daten über das Ende eines Nutzungsvorgangs hinaus rechtfertigen kann.</w:t>
      </w:r>
    </w:p>
    <w:p w14:paraId="4AE08F8F" w14:textId="0A898242" w:rsidR="007E6C0A" w:rsidRDefault="007E6C0A" w:rsidP="007E6C0A">
      <w:pPr>
        <w:pStyle w:val="Listenabsatz"/>
        <w:numPr>
          <w:ilvl w:val="0"/>
          <w:numId w:val="32"/>
        </w:numPr>
        <w:suppressAutoHyphens w:val="0"/>
        <w:spacing w:after="160" w:line="256" w:lineRule="auto"/>
        <w:jc w:val="left"/>
      </w:pPr>
      <w:r w:rsidRPr="004832F9">
        <w:t>Dejure</w:t>
      </w:r>
      <w:r>
        <w:t xml:space="preserve">: </w:t>
      </w:r>
      <w:hyperlink r:id="rId71" w:history="1">
        <w:r w:rsidRPr="009C2A1C">
          <w:rPr>
            <w:rStyle w:val="Hyperlink"/>
          </w:rPr>
          <w:t>https://dejure.org/dienste/vernetzung/rechtsprechung</w:t>
        </w:r>
        <w:r w:rsidRPr="004832F9">
          <w:rPr>
            <w:rStyle w:val="Hyperlink"/>
          </w:rPr>
          <w:t>?Text</w:t>
        </w:r>
        <w:r w:rsidRPr="009C2A1C">
          <w:rPr>
            <w:rStyle w:val="Hyperlink"/>
          </w:rPr>
          <w:t>=C-582/14</w:t>
        </w:r>
      </w:hyperlink>
    </w:p>
    <w:p w14:paraId="23F03459" w14:textId="165D78ED" w:rsidR="007E6C0A" w:rsidRPr="004832F9" w:rsidRDefault="007E6C0A" w:rsidP="007E6C0A">
      <w:pPr>
        <w:pStyle w:val="Listenabsatz"/>
        <w:numPr>
          <w:ilvl w:val="0"/>
          <w:numId w:val="32"/>
        </w:numPr>
        <w:suppressAutoHyphens w:val="0"/>
        <w:spacing w:after="160" w:line="256" w:lineRule="auto"/>
        <w:jc w:val="left"/>
      </w:pPr>
      <w:r w:rsidRPr="004832F9">
        <w:t xml:space="preserve">openJur: </w:t>
      </w:r>
      <w:hyperlink r:id="rId72" w:history="1">
        <w:r w:rsidRPr="004832F9">
          <w:rPr>
            <w:rStyle w:val="Hyperlink"/>
          </w:rPr>
          <w:t>https://openjur.de/u/2392731.html</w:t>
        </w:r>
      </w:hyperlink>
    </w:p>
    <w:p w14:paraId="3C256D64" w14:textId="3F4D0F3C" w:rsidR="007E6C0A" w:rsidRDefault="007E6C0A" w:rsidP="007E6C0A">
      <w:pPr>
        <w:pStyle w:val="Listenabsatz"/>
        <w:numPr>
          <w:ilvl w:val="0"/>
          <w:numId w:val="32"/>
        </w:numPr>
        <w:suppressAutoHyphens w:val="0"/>
        <w:spacing w:after="160" w:line="256" w:lineRule="auto"/>
        <w:jc w:val="left"/>
      </w:pPr>
      <w:r>
        <w:t xml:space="preserve">EUR-Lex: </w:t>
      </w:r>
      <w:hyperlink r:id="rId73" w:history="1">
        <w:r w:rsidRPr="009C2A1C">
          <w:rPr>
            <w:rStyle w:val="Hyperlink"/>
          </w:rPr>
          <w:t>https://eur-lex.europa.eu/legal-content/DE/TXT/?uri=CELEX%3A62014CJ0582</w:t>
        </w:r>
      </w:hyperlink>
    </w:p>
    <w:p w14:paraId="0E54DBD1" w14:textId="4F9ABB67" w:rsidR="0093736C" w:rsidRDefault="0093736C" w:rsidP="0093736C">
      <w:pPr>
        <w:spacing w:after="0"/>
        <w:rPr>
          <w:color w:val="365F91" w:themeColor="accent1" w:themeShade="BF"/>
        </w:rPr>
      </w:pPr>
      <w:r w:rsidRPr="004832F9">
        <w:rPr>
          <w:color w:val="365F91" w:themeColor="accent1" w:themeShade="BF"/>
        </w:rPr>
        <w:t>VG</w:t>
      </w:r>
      <w:r>
        <w:rPr>
          <w:color w:val="365F91" w:themeColor="accent1" w:themeShade="BF"/>
        </w:rPr>
        <w:t xml:space="preserve"> Leipzig, Urteil vom 18.05.2016, Az. 1 K 1720/14</w:t>
      </w:r>
    </w:p>
    <w:p w14:paraId="6881AB1A" w14:textId="77777777" w:rsidR="0093736C" w:rsidRDefault="0093736C" w:rsidP="0093736C">
      <w:pPr>
        <w:pStyle w:val="Listenabsatz"/>
        <w:numPr>
          <w:ilvl w:val="0"/>
          <w:numId w:val="32"/>
        </w:numPr>
        <w:suppressAutoHyphens w:val="0"/>
        <w:spacing w:after="160" w:line="256" w:lineRule="auto"/>
        <w:jc w:val="left"/>
      </w:pPr>
      <w:r>
        <w:t>Titel: Anforderungen an die Anonymisierung bei Urteilsveröffentlichungen</w:t>
      </w:r>
    </w:p>
    <w:p w14:paraId="518DFDE7" w14:textId="77777777" w:rsidR="0093736C" w:rsidRDefault="0093736C" w:rsidP="0093736C">
      <w:pPr>
        <w:pStyle w:val="Listenabsatz"/>
        <w:numPr>
          <w:ilvl w:val="0"/>
          <w:numId w:val="32"/>
        </w:numPr>
        <w:suppressAutoHyphens w:val="0"/>
        <w:spacing w:after="160" w:line="256" w:lineRule="auto"/>
        <w:jc w:val="left"/>
      </w:pPr>
      <w:r>
        <w:t>Leitsatz:</w:t>
      </w:r>
    </w:p>
    <w:p w14:paraId="4F52719E" w14:textId="7703CFC2" w:rsidR="0093736C" w:rsidRDefault="0093736C" w:rsidP="0093736C">
      <w:pPr>
        <w:pStyle w:val="Listenabsatz"/>
        <w:numPr>
          <w:ilvl w:val="1"/>
          <w:numId w:val="32"/>
        </w:numPr>
        <w:suppressAutoHyphens w:val="0"/>
        <w:spacing w:after="160" w:line="256" w:lineRule="auto"/>
        <w:jc w:val="left"/>
      </w:pPr>
      <w:r>
        <w:t xml:space="preserve">Die Veröffentlichung von Urteilen eines </w:t>
      </w:r>
      <w:r w:rsidR="009C7361">
        <w:t>Finanzgerichts</w:t>
      </w:r>
      <w:r w:rsidR="00B979F5">
        <w:t xml:space="preserve"> </w:t>
      </w:r>
      <w:r>
        <w:t>ist rechtswidrig, wenn die Urteile vor Weitergabe nicht anonymisiert sind. Eine Anonymisierung erfordert, dass die Person des Klägers auch dann nicht mehr erkennbar ist, wenn diese persönliche</w:t>
      </w:r>
      <w:r w:rsidR="00045A16">
        <w:t>n</w:t>
      </w:r>
      <w:r>
        <w:t xml:space="preserve"> Daten (Beruf, Geburtsdaten, Kinder) an Dritte (sozialüblich) </w:t>
      </w:r>
      <w:r w:rsidRPr="004832F9">
        <w:t>bekannt</w:t>
      </w:r>
      <w:r w:rsidR="004832F9" w:rsidRPr="004832F9">
        <w:t xml:space="preserve"> </w:t>
      </w:r>
      <w:r w:rsidRPr="004832F9">
        <w:t>gegeben</w:t>
      </w:r>
      <w:r>
        <w:t xml:space="preserve"> hat. Eine vorbeugende Unterlassungsklage gegen eine zu befürchtende unzureichend anonymisierte Veröffentlichung ist zulässig und begründet, wenn konkrete Anhaltspunkte für eine künftig zu erwartende Rechtsverletzung durch das </w:t>
      </w:r>
      <w:r w:rsidR="009C7361" w:rsidRPr="009C7361">
        <w:t>Finanzgericht</w:t>
      </w:r>
      <w:r>
        <w:t xml:space="preserve"> vorliegen.</w:t>
      </w:r>
    </w:p>
    <w:p w14:paraId="28DD870D" w14:textId="78C2FEAF" w:rsidR="0093736C" w:rsidRDefault="0093736C" w:rsidP="0093736C">
      <w:pPr>
        <w:pStyle w:val="Listenabsatz"/>
        <w:numPr>
          <w:ilvl w:val="0"/>
          <w:numId w:val="32"/>
        </w:numPr>
        <w:suppressAutoHyphens w:val="0"/>
        <w:spacing w:after="160" w:line="256" w:lineRule="auto"/>
        <w:jc w:val="left"/>
      </w:pPr>
      <w:r w:rsidRPr="004832F9">
        <w:t>Dejure</w:t>
      </w:r>
      <w:r>
        <w:t xml:space="preserve">: </w:t>
      </w:r>
      <w:hyperlink r:id="rId74" w:history="1">
        <w:r>
          <w:rPr>
            <w:rStyle w:val="Hyperlink"/>
          </w:rPr>
          <w:t>https://dejure.org/2016</w:t>
        </w:r>
        <w:r w:rsidRPr="004832F9">
          <w:rPr>
            <w:rStyle w:val="Hyperlink"/>
          </w:rPr>
          <w:t>,22574</w:t>
        </w:r>
      </w:hyperlink>
    </w:p>
    <w:p w14:paraId="2BE0A54F" w14:textId="77777777" w:rsidR="0093736C" w:rsidRDefault="0093736C">
      <w:pPr>
        <w:spacing w:after="0" w:line="240" w:lineRule="auto"/>
        <w:jc w:val="left"/>
      </w:pPr>
    </w:p>
    <w:p w14:paraId="3011A8D2" w14:textId="30865110" w:rsidR="0093736C" w:rsidRDefault="0093736C">
      <w:pPr>
        <w:spacing w:after="0" w:line="240" w:lineRule="auto"/>
        <w:jc w:val="left"/>
        <w:rPr>
          <w:rFonts w:asciiTheme="majorHAnsi" w:eastAsiaTheme="majorEastAsia" w:hAnsiTheme="majorHAnsi" w:cstheme="majorBidi"/>
          <w:b/>
          <w:bCs/>
          <w:color w:val="365F91" w:themeColor="accent1" w:themeShade="BF"/>
          <w:sz w:val="28"/>
          <w:szCs w:val="28"/>
        </w:rPr>
      </w:pPr>
      <w:r>
        <w:br w:type="page"/>
      </w:r>
    </w:p>
    <w:p w14:paraId="4A5942F2" w14:textId="69EC7A03" w:rsidR="00AE4EA7" w:rsidRDefault="00000000">
      <w:pPr>
        <w:pStyle w:val="berschrift1"/>
      </w:pPr>
      <w:bookmarkStart w:id="251" w:name="_Toc154652689"/>
      <w:r>
        <w:t>Abkürzungen</w:t>
      </w:r>
      <w:bookmarkEnd w:id="251"/>
    </w:p>
    <w:p w14:paraId="5D6A1D25" w14:textId="77777777" w:rsidR="00AE4EA7" w:rsidRDefault="00AE4EA7"/>
    <w:tbl>
      <w:tblPr>
        <w:tblStyle w:val="Tabellenraster"/>
        <w:tblW w:w="9212" w:type="dxa"/>
        <w:tblLayout w:type="fixed"/>
        <w:tblLook w:val="04A0" w:firstRow="1" w:lastRow="0" w:firstColumn="1" w:lastColumn="0" w:noHBand="0" w:noVBand="1"/>
      </w:tblPr>
      <w:tblGrid>
        <w:gridCol w:w="1239"/>
        <w:gridCol w:w="7973"/>
      </w:tblGrid>
      <w:tr w:rsidR="00AE4EA7" w14:paraId="195808F9" w14:textId="77777777">
        <w:tc>
          <w:tcPr>
            <w:tcW w:w="1239" w:type="dxa"/>
          </w:tcPr>
          <w:p w14:paraId="4AED0F79" w14:textId="77777777" w:rsidR="00AE4EA7" w:rsidRDefault="00000000">
            <w:pPr>
              <w:widowControl w:val="0"/>
              <w:spacing w:after="0" w:line="240" w:lineRule="auto"/>
              <w:rPr>
                <w:rFonts w:ascii="Calibri" w:eastAsia="Calibri" w:hAnsi="Calibri"/>
              </w:rPr>
            </w:pPr>
            <w:r>
              <w:rPr>
                <w:rFonts w:eastAsia="Calibri"/>
              </w:rPr>
              <w:t>Abs.</w:t>
            </w:r>
          </w:p>
        </w:tc>
        <w:tc>
          <w:tcPr>
            <w:tcW w:w="7972" w:type="dxa"/>
          </w:tcPr>
          <w:p w14:paraId="0377788A" w14:textId="77777777" w:rsidR="00AE4EA7" w:rsidRDefault="00000000">
            <w:pPr>
              <w:widowControl w:val="0"/>
              <w:spacing w:after="0" w:line="240" w:lineRule="auto"/>
              <w:rPr>
                <w:rFonts w:ascii="Calibri" w:eastAsia="Calibri" w:hAnsi="Calibri"/>
              </w:rPr>
            </w:pPr>
            <w:r>
              <w:rPr>
                <w:rFonts w:eastAsia="Calibri"/>
              </w:rPr>
              <w:t>Absatz</w:t>
            </w:r>
          </w:p>
        </w:tc>
      </w:tr>
      <w:tr w:rsidR="00AE4EA7" w14:paraId="3F973537" w14:textId="77777777">
        <w:tc>
          <w:tcPr>
            <w:tcW w:w="1239" w:type="dxa"/>
          </w:tcPr>
          <w:p w14:paraId="615CECD5" w14:textId="77777777" w:rsidR="00AE4EA7" w:rsidRDefault="00000000">
            <w:pPr>
              <w:widowControl w:val="0"/>
              <w:spacing w:after="0" w:line="240" w:lineRule="auto"/>
              <w:rPr>
                <w:rFonts w:ascii="Calibri" w:eastAsia="Calibri" w:hAnsi="Calibri"/>
              </w:rPr>
            </w:pPr>
            <w:r>
              <w:rPr>
                <w:rFonts w:eastAsia="Calibri"/>
              </w:rPr>
              <w:t>AEUV</w:t>
            </w:r>
          </w:p>
        </w:tc>
        <w:tc>
          <w:tcPr>
            <w:tcW w:w="7972" w:type="dxa"/>
          </w:tcPr>
          <w:p w14:paraId="44F67FF2" w14:textId="77777777" w:rsidR="00AE4EA7" w:rsidRDefault="00000000">
            <w:pPr>
              <w:widowControl w:val="0"/>
              <w:spacing w:after="0" w:line="240" w:lineRule="auto"/>
              <w:rPr>
                <w:rFonts w:ascii="Calibri" w:eastAsia="Calibri" w:hAnsi="Calibri"/>
              </w:rPr>
            </w:pPr>
            <w:r>
              <w:rPr>
                <w:rFonts w:eastAsia="Calibri"/>
              </w:rPr>
              <w:t>Vertrag über die Arbeitsweise der Europäischen Union</w:t>
            </w:r>
          </w:p>
        </w:tc>
      </w:tr>
      <w:tr w:rsidR="00AE4EA7" w14:paraId="2DE30825" w14:textId="77777777">
        <w:tc>
          <w:tcPr>
            <w:tcW w:w="1239" w:type="dxa"/>
          </w:tcPr>
          <w:p w14:paraId="26E151B4" w14:textId="77777777" w:rsidR="00AE4EA7" w:rsidRDefault="00000000">
            <w:pPr>
              <w:widowControl w:val="0"/>
              <w:spacing w:after="0" w:line="240" w:lineRule="auto"/>
              <w:rPr>
                <w:rFonts w:ascii="Calibri" w:eastAsia="Calibri" w:hAnsi="Calibri"/>
              </w:rPr>
            </w:pPr>
            <w:r>
              <w:rPr>
                <w:rFonts w:eastAsia="Calibri"/>
              </w:rPr>
              <w:t>Art.</w:t>
            </w:r>
          </w:p>
        </w:tc>
        <w:tc>
          <w:tcPr>
            <w:tcW w:w="7972" w:type="dxa"/>
          </w:tcPr>
          <w:p w14:paraId="2D082E40" w14:textId="77777777" w:rsidR="00AE4EA7" w:rsidRDefault="00000000">
            <w:pPr>
              <w:widowControl w:val="0"/>
              <w:spacing w:after="0" w:line="240" w:lineRule="auto"/>
              <w:rPr>
                <w:rFonts w:ascii="Calibri" w:eastAsia="Calibri" w:hAnsi="Calibri"/>
              </w:rPr>
            </w:pPr>
            <w:r>
              <w:rPr>
                <w:rFonts w:eastAsia="Calibri"/>
              </w:rPr>
              <w:t>Artikel</w:t>
            </w:r>
          </w:p>
        </w:tc>
      </w:tr>
      <w:tr w:rsidR="00AE4EA7" w:rsidRPr="004C1658" w14:paraId="2BFE934F" w14:textId="77777777">
        <w:tc>
          <w:tcPr>
            <w:tcW w:w="1239" w:type="dxa"/>
          </w:tcPr>
          <w:p w14:paraId="79BC4470" w14:textId="77777777" w:rsidR="00AE4EA7" w:rsidRDefault="00000000">
            <w:pPr>
              <w:widowControl w:val="0"/>
              <w:spacing w:after="0" w:line="240" w:lineRule="auto"/>
              <w:rPr>
                <w:rFonts w:ascii="Calibri" w:eastAsia="Calibri" w:hAnsi="Calibri"/>
              </w:rPr>
            </w:pPr>
            <w:r>
              <w:rPr>
                <w:rFonts w:eastAsia="Calibri"/>
              </w:rPr>
              <w:t>BDSG</w:t>
            </w:r>
          </w:p>
        </w:tc>
        <w:tc>
          <w:tcPr>
            <w:tcW w:w="7972" w:type="dxa"/>
          </w:tcPr>
          <w:p w14:paraId="469A6417" w14:textId="77777777" w:rsidR="00AE4EA7" w:rsidRPr="004C1658" w:rsidRDefault="00000000">
            <w:pPr>
              <w:widowControl w:val="0"/>
              <w:spacing w:after="0" w:line="240" w:lineRule="auto"/>
              <w:rPr>
                <w:rFonts w:ascii="Calibri" w:eastAsia="Calibri" w:hAnsi="Calibri"/>
              </w:rPr>
            </w:pPr>
            <w:r>
              <w:rPr>
                <w:rFonts w:eastAsia="Calibri"/>
              </w:rPr>
              <w:t>Bundesdaten</w:t>
            </w:r>
            <w:r w:rsidRPr="004C1658">
              <w:rPr>
                <w:rFonts w:eastAsia="Calibri"/>
              </w:rPr>
              <w:t>schutzgesetz</w:t>
            </w:r>
          </w:p>
        </w:tc>
      </w:tr>
      <w:tr w:rsidR="00AE4EA7" w14:paraId="493D89B3" w14:textId="77777777">
        <w:tc>
          <w:tcPr>
            <w:tcW w:w="1239" w:type="dxa"/>
          </w:tcPr>
          <w:p w14:paraId="60660614" w14:textId="77777777" w:rsidR="00AE4EA7" w:rsidRPr="004C1658" w:rsidRDefault="00000000">
            <w:pPr>
              <w:widowControl w:val="0"/>
              <w:spacing w:after="0" w:line="240" w:lineRule="auto"/>
              <w:rPr>
                <w:rFonts w:ascii="Calibri" w:eastAsia="Calibri" w:hAnsi="Calibri"/>
              </w:rPr>
            </w:pPr>
            <w:r w:rsidRPr="004C1658">
              <w:rPr>
                <w:rFonts w:eastAsia="Calibri"/>
              </w:rPr>
              <w:t>BfDI</w:t>
            </w:r>
          </w:p>
        </w:tc>
        <w:tc>
          <w:tcPr>
            <w:tcW w:w="7972" w:type="dxa"/>
          </w:tcPr>
          <w:p w14:paraId="450418F0" w14:textId="77777777" w:rsidR="00AE4EA7" w:rsidRDefault="00000000">
            <w:pPr>
              <w:widowControl w:val="0"/>
              <w:spacing w:after="0" w:line="240" w:lineRule="auto"/>
              <w:rPr>
                <w:rFonts w:ascii="Calibri" w:eastAsia="Calibri" w:hAnsi="Calibri"/>
              </w:rPr>
            </w:pPr>
            <w:r w:rsidRPr="004C1658">
              <w:rPr>
                <w:rFonts w:eastAsia="Calibri"/>
              </w:rPr>
              <w:t>Bundesbeauftragte für den Da</w:t>
            </w:r>
            <w:r>
              <w:rPr>
                <w:rFonts w:eastAsia="Calibri"/>
              </w:rPr>
              <w:t>tenschutz und die Informationsfreiheit</w:t>
            </w:r>
          </w:p>
        </w:tc>
      </w:tr>
      <w:tr w:rsidR="00027508" w:rsidRPr="004832F9" w14:paraId="14EFA4F0" w14:textId="77777777">
        <w:tc>
          <w:tcPr>
            <w:tcW w:w="1239" w:type="dxa"/>
          </w:tcPr>
          <w:p w14:paraId="56ACB26A" w14:textId="67228C8B" w:rsidR="00027508" w:rsidRPr="004C1658" w:rsidRDefault="00027508">
            <w:pPr>
              <w:widowControl w:val="0"/>
              <w:spacing w:after="0" w:line="240" w:lineRule="auto"/>
              <w:rPr>
                <w:rFonts w:eastAsia="Calibri"/>
              </w:rPr>
            </w:pPr>
            <w:r w:rsidRPr="00027508">
              <w:rPr>
                <w:rFonts w:eastAsia="Calibri"/>
              </w:rPr>
              <w:t>BvD</w:t>
            </w:r>
          </w:p>
        </w:tc>
        <w:tc>
          <w:tcPr>
            <w:tcW w:w="7972" w:type="dxa"/>
          </w:tcPr>
          <w:p w14:paraId="3A45703D" w14:textId="569C9043" w:rsidR="00027508" w:rsidRPr="004C1658" w:rsidRDefault="00027508">
            <w:pPr>
              <w:widowControl w:val="0"/>
              <w:spacing w:after="0" w:line="240" w:lineRule="auto"/>
              <w:rPr>
                <w:rFonts w:eastAsia="Calibri"/>
              </w:rPr>
            </w:pPr>
            <w:r w:rsidRPr="00027508">
              <w:rPr>
                <w:rFonts w:eastAsia="Calibri"/>
              </w:rPr>
              <w:t xml:space="preserve">Berufsverband der Datenschutzbeauftragten Deutschlands (BvD) </w:t>
            </w:r>
            <w:r w:rsidRPr="004832F9">
              <w:rPr>
                <w:rFonts w:eastAsia="Calibri"/>
              </w:rPr>
              <w:t>e.</w:t>
            </w:r>
            <w:r w:rsidR="004832F9" w:rsidRPr="004832F9">
              <w:rPr>
                <w:rFonts w:eastAsia="Calibri"/>
              </w:rPr>
              <w:t> </w:t>
            </w:r>
            <w:r w:rsidRPr="004832F9">
              <w:rPr>
                <w:rFonts w:eastAsia="Calibri"/>
              </w:rPr>
              <w:t>V.</w:t>
            </w:r>
          </w:p>
        </w:tc>
      </w:tr>
      <w:tr w:rsidR="00723031" w:rsidRPr="004832F9" w14:paraId="27AF54B2" w14:textId="77777777">
        <w:tc>
          <w:tcPr>
            <w:tcW w:w="1239" w:type="dxa"/>
          </w:tcPr>
          <w:p w14:paraId="1F47F195" w14:textId="29F33505" w:rsidR="00723031" w:rsidRPr="004832F9" w:rsidRDefault="00723031">
            <w:pPr>
              <w:widowControl w:val="0"/>
              <w:spacing w:after="0" w:line="240" w:lineRule="auto"/>
              <w:rPr>
                <w:rFonts w:eastAsia="Calibri"/>
              </w:rPr>
            </w:pPr>
            <w:r w:rsidRPr="004832F9">
              <w:rPr>
                <w:rFonts w:eastAsia="Calibri"/>
              </w:rPr>
              <w:t>BVerfG</w:t>
            </w:r>
          </w:p>
        </w:tc>
        <w:tc>
          <w:tcPr>
            <w:tcW w:w="7972" w:type="dxa"/>
          </w:tcPr>
          <w:p w14:paraId="260BA46B" w14:textId="05C6CD9A" w:rsidR="00723031" w:rsidRPr="004832F9" w:rsidRDefault="00723031">
            <w:pPr>
              <w:widowControl w:val="0"/>
              <w:spacing w:after="0" w:line="240" w:lineRule="auto"/>
              <w:rPr>
                <w:rFonts w:eastAsia="Calibri"/>
              </w:rPr>
            </w:pPr>
            <w:r w:rsidRPr="004832F9">
              <w:rPr>
                <w:rFonts w:eastAsia="Calibri"/>
              </w:rPr>
              <w:t>Bundesverfassungsgericht</w:t>
            </w:r>
          </w:p>
        </w:tc>
      </w:tr>
      <w:tr w:rsidR="00027508" w14:paraId="4BAF3B9B" w14:textId="77777777">
        <w:tc>
          <w:tcPr>
            <w:tcW w:w="1239" w:type="dxa"/>
          </w:tcPr>
          <w:p w14:paraId="510B6CEC" w14:textId="28611120" w:rsidR="00027508" w:rsidRPr="004832F9" w:rsidRDefault="00723031">
            <w:pPr>
              <w:widowControl w:val="0"/>
              <w:spacing w:after="0" w:line="240" w:lineRule="auto"/>
              <w:rPr>
                <w:rFonts w:eastAsia="Calibri"/>
              </w:rPr>
            </w:pPr>
            <w:r w:rsidRPr="004832F9">
              <w:rPr>
                <w:rFonts w:eastAsia="Calibri"/>
              </w:rPr>
              <w:t>B</w:t>
            </w:r>
            <w:r w:rsidR="00027508" w:rsidRPr="004832F9">
              <w:rPr>
                <w:rFonts w:eastAsia="Calibri"/>
              </w:rPr>
              <w:t>vitg</w:t>
            </w:r>
          </w:p>
        </w:tc>
        <w:tc>
          <w:tcPr>
            <w:tcW w:w="7972" w:type="dxa"/>
          </w:tcPr>
          <w:p w14:paraId="3E5E88B4" w14:textId="408DEA57" w:rsidR="00027508" w:rsidRPr="00027508" w:rsidRDefault="00027508">
            <w:pPr>
              <w:widowControl w:val="0"/>
              <w:spacing w:after="0" w:line="240" w:lineRule="auto"/>
              <w:rPr>
                <w:rFonts w:eastAsia="Calibri"/>
              </w:rPr>
            </w:pPr>
            <w:r w:rsidRPr="004832F9">
              <w:rPr>
                <w:rFonts w:eastAsia="Calibri"/>
              </w:rPr>
              <w:t>Bundesv</w:t>
            </w:r>
            <w:r w:rsidRPr="00027508">
              <w:rPr>
                <w:rFonts w:eastAsia="Calibri"/>
              </w:rPr>
              <w:t xml:space="preserve">erband Gesundheits-IT – bvitg </w:t>
            </w:r>
            <w:r w:rsidRPr="004832F9">
              <w:rPr>
                <w:rFonts w:eastAsia="Calibri"/>
              </w:rPr>
              <w:t>e.</w:t>
            </w:r>
            <w:r w:rsidR="004832F9" w:rsidRPr="004832F9">
              <w:rPr>
                <w:rFonts w:eastAsia="Calibri"/>
              </w:rPr>
              <w:t> </w:t>
            </w:r>
            <w:r w:rsidRPr="004832F9">
              <w:rPr>
                <w:rFonts w:eastAsia="Calibri"/>
              </w:rPr>
              <w:t>V.</w:t>
            </w:r>
          </w:p>
        </w:tc>
      </w:tr>
      <w:tr w:rsidR="00AE4EA7" w14:paraId="39E23290" w14:textId="77777777">
        <w:tc>
          <w:tcPr>
            <w:tcW w:w="1239" w:type="dxa"/>
          </w:tcPr>
          <w:p w14:paraId="58D8820D" w14:textId="77777777" w:rsidR="00AE4EA7" w:rsidRDefault="00000000">
            <w:pPr>
              <w:widowControl w:val="0"/>
              <w:spacing w:after="0" w:line="240" w:lineRule="auto"/>
              <w:rPr>
                <w:rFonts w:ascii="Calibri" w:eastAsia="Calibri" w:hAnsi="Calibri"/>
              </w:rPr>
            </w:pPr>
            <w:r w:rsidRPr="004C1658">
              <w:rPr>
                <w:rFonts w:eastAsia="Calibri"/>
              </w:rPr>
              <w:t>DICOM</w:t>
            </w:r>
          </w:p>
        </w:tc>
        <w:tc>
          <w:tcPr>
            <w:tcW w:w="7972" w:type="dxa"/>
          </w:tcPr>
          <w:p w14:paraId="05020764" w14:textId="77777777" w:rsidR="00AE4EA7" w:rsidRDefault="00000000">
            <w:pPr>
              <w:widowControl w:val="0"/>
              <w:spacing w:after="0" w:line="240" w:lineRule="auto"/>
              <w:rPr>
                <w:rFonts w:eastAsiaTheme="majorEastAsia"/>
              </w:rPr>
            </w:pPr>
            <w:r>
              <w:rPr>
                <w:rFonts w:eastAsiaTheme="majorEastAsia"/>
              </w:rPr>
              <w:t>Digital Imaging and Communications in Medicine</w:t>
            </w:r>
          </w:p>
        </w:tc>
      </w:tr>
      <w:tr w:rsidR="00AE4EA7" w14:paraId="6A88DB51" w14:textId="77777777">
        <w:tc>
          <w:tcPr>
            <w:tcW w:w="1239" w:type="dxa"/>
          </w:tcPr>
          <w:p w14:paraId="35BA90BC" w14:textId="77777777" w:rsidR="00AE4EA7" w:rsidRDefault="00000000">
            <w:pPr>
              <w:widowControl w:val="0"/>
              <w:spacing w:after="0" w:line="240" w:lineRule="auto"/>
              <w:rPr>
                <w:rFonts w:ascii="Calibri" w:eastAsia="Calibri" w:hAnsi="Calibri"/>
              </w:rPr>
            </w:pPr>
            <w:r>
              <w:rPr>
                <w:rFonts w:eastAsia="Calibri"/>
              </w:rPr>
              <w:t>DIN</w:t>
            </w:r>
          </w:p>
        </w:tc>
        <w:tc>
          <w:tcPr>
            <w:tcW w:w="7972" w:type="dxa"/>
          </w:tcPr>
          <w:p w14:paraId="514F4EA4" w14:textId="77777777" w:rsidR="00AE4EA7" w:rsidRDefault="00000000">
            <w:pPr>
              <w:widowControl w:val="0"/>
              <w:spacing w:after="0" w:line="240" w:lineRule="auto"/>
              <w:rPr>
                <w:rFonts w:eastAsiaTheme="majorEastAsia"/>
              </w:rPr>
            </w:pPr>
            <w:r>
              <w:t>Deutsche Institut für Normung e. V.</w:t>
            </w:r>
          </w:p>
        </w:tc>
      </w:tr>
      <w:tr w:rsidR="00AE4EA7" w14:paraId="74CD955F" w14:textId="77777777">
        <w:tc>
          <w:tcPr>
            <w:tcW w:w="1239" w:type="dxa"/>
          </w:tcPr>
          <w:p w14:paraId="1F52A84A" w14:textId="77777777" w:rsidR="00AE4EA7" w:rsidRDefault="00000000">
            <w:pPr>
              <w:widowControl w:val="0"/>
              <w:spacing w:after="0" w:line="240" w:lineRule="auto"/>
              <w:rPr>
                <w:rFonts w:ascii="Calibri" w:eastAsia="Calibri" w:hAnsi="Calibri"/>
              </w:rPr>
            </w:pPr>
            <w:r>
              <w:rPr>
                <w:rFonts w:eastAsia="Calibri"/>
              </w:rPr>
              <w:t>DSFA</w:t>
            </w:r>
          </w:p>
        </w:tc>
        <w:tc>
          <w:tcPr>
            <w:tcW w:w="7972" w:type="dxa"/>
          </w:tcPr>
          <w:p w14:paraId="410EEE02" w14:textId="77777777" w:rsidR="00AE4EA7" w:rsidRDefault="00000000">
            <w:pPr>
              <w:widowControl w:val="0"/>
              <w:spacing w:after="0" w:line="240" w:lineRule="auto"/>
              <w:rPr>
                <w:rFonts w:eastAsiaTheme="majorEastAsia"/>
              </w:rPr>
            </w:pPr>
            <w:r>
              <w:t>Datenschutz-Folgenabschätzung</w:t>
            </w:r>
          </w:p>
        </w:tc>
      </w:tr>
      <w:tr w:rsidR="00AE4EA7" w14:paraId="5B6D3EB5" w14:textId="77777777">
        <w:tc>
          <w:tcPr>
            <w:tcW w:w="1239" w:type="dxa"/>
          </w:tcPr>
          <w:p w14:paraId="0DE844C4" w14:textId="77777777" w:rsidR="00AE4EA7" w:rsidRDefault="00000000">
            <w:pPr>
              <w:widowControl w:val="0"/>
              <w:spacing w:after="0" w:line="240" w:lineRule="auto"/>
              <w:rPr>
                <w:rFonts w:ascii="Calibri" w:eastAsia="Calibri" w:hAnsi="Calibri"/>
              </w:rPr>
            </w:pPr>
            <w:r>
              <w:rPr>
                <w:rFonts w:eastAsia="Calibri"/>
              </w:rPr>
              <w:t>DSG</w:t>
            </w:r>
          </w:p>
        </w:tc>
        <w:tc>
          <w:tcPr>
            <w:tcW w:w="7972" w:type="dxa"/>
          </w:tcPr>
          <w:p w14:paraId="22A2D25F" w14:textId="77777777" w:rsidR="00AE4EA7" w:rsidRDefault="00000000">
            <w:pPr>
              <w:widowControl w:val="0"/>
              <w:spacing w:after="0" w:line="240" w:lineRule="auto"/>
              <w:rPr>
                <w:rFonts w:ascii="Calibri" w:eastAsia="Calibri" w:hAnsi="Calibri"/>
              </w:rPr>
            </w:pPr>
            <w:r>
              <w:rPr>
                <w:rFonts w:eastAsia="Calibri"/>
              </w:rPr>
              <w:t>Datenschutzgesetz</w:t>
            </w:r>
          </w:p>
        </w:tc>
      </w:tr>
      <w:tr w:rsidR="00AE4EA7" w14:paraId="6BEBC250" w14:textId="77777777">
        <w:tc>
          <w:tcPr>
            <w:tcW w:w="1239" w:type="dxa"/>
          </w:tcPr>
          <w:p w14:paraId="090B8870" w14:textId="77777777" w:rsidR="00AE4EA7" w:rsidRDefault="00000000">
            <w:pPr>
              <w:widowControl w:val="0"/>
              <w:spacing w:after="0" w:line="240" w:lineRule="auto"/>
              <w:rPr>
                <w:rFonts w:ascii="Calibri" w:eastAsia="Calibri" w:hAnsi="Calibri"/>
              </w:rPr>
            </w:pPr>
            <w:r>
              <w:rPr>
                <w:rFonts w:eastAsia="Calibri"/>
              </w:rPr>
              <w:t>DS-GVO</w:t>
            </w:r>
          </w:p>
        </w:tc>
        <w:tc>
          <w:tcPr>
            <w:tcW w:w="7972" w:type="dxa"/>
          </w:tcPr>
          <w:p w14:paraId="1A7DECA2" w14:textId="77777777" w:rsidR="00AE4EA7" w:rsidRDefault="00000000">
            <w:pPr>
              <w:widowControl w:val="0"/>
              <w:spacing w:after="0" w:line="240" w:lineRule="auto"/>
              <w:rPr>
                <w:rFonts w:ascii="Calibri" w:eastAsia="Calibri" w:hAnsi="Calibri"/>
              </w:rPr>
            </w:pPr>
            <w:r>
              <w:rPr>
                <w:rFonts w:eastAsia="Calibri"/>
              </w:rPr>
              <w:t>Verordnung (EU) 2016/679 des Europäischen Parlaments und des Rates vom 27. April 2016 zum Schutz natürlicher Personen bei der Verarbeitung personenbezogener Daten, zum freien Datenverkehr und zur Aufhebung der Richtlinie 95/46/EG (Datenschutz-Grundverordnung</w:t>
            </w:r>
            <w:r w:rsidRPr="004832F9">
              <w:rPr>
                <w:rFonts w:eastAsia="Calibri"/>
              </w:rPr>
              <w:t>)</w:t>
            </w:r>
          </w:p>
        </w:tc>
      </w:tr>
      <w:tr w:rsidR="00AE4EA7" w14:paraId="5F2D4B6C" w14:textId="77777777">
        <w:tc>
          <w:tcPr>
            <w:tcW w:w="1239" w:type="dxa"/>
          </w:tcPr>
          <w:p w14:paraId="4E8A717F" w14:textId="77777777" w:rsidR="00AE4EA7" w:rsidRDefault="00000000">
            <w:pPr>
              <w:widowControl w:val="0"/>
              <w:spacing w:after="0" w:line="240" w:lineRule="auto"/>
              <w:rPr>
                <w:rFonts w:ascii="Calibri" w:eastAsia="Calibri" w:hAnsi="Calibri"/>
              </w:rPr>
            </w:pPr>
            <w:r w:rsidRPr="004832F9">
              <w:rPr>
                <w:rFonts w:eastAsia="Calibri"/>
              </w:rPr>
              <w:t>DSK</w:t>
            </w:r>
          </w:p>
        </w:tc>
        <w:tc>
          <w:tcPr>
            <w:tcW w:w="7972" w:type="dxa"/>
          </w:tcPr>
          <w:p w14:paraId="3030E77C" w14:textId="77777777" w:rsidR="00AE4EA7" w:rsidRDefault="00000000">
            <w:pPr>
              <w:widowControl w:val="0"/>
              <w:spacing w:after="0" w:line="240" w:lineRule="auto"/>
              <w:rPr>
                <w:rFonts w:ascii="Calibri" w:eastAsia="Calibri" w:hAnsi="Calibri"/>
              </w:rPr>
            </w:pPr>
            <w:r>
              <w:rPr>
                <w:rFonts w:eastAsia="Calibri"/>
              </w:rPr>
              <w:t>Datenschutzkonferenz</w:t>
            </w:r>
          </w:p>
        </w:tc>
      </w:tr>
      <w:tr w:rsidR="00AE4EA7" w14:paraId="5DD9DDE6" w14:textId="77777777">
        <w:tc>
          <w:tcPr>
            <w:tcW w:w="1239" w:type="dxa"/>
          </w:tcPr>
          <w:p w14:paraId="67B36418" w14:textId="77777777" w:rsidR="00AE4EA7" w:rsidRDefault="00000000">
            <w:pPr>
              <w:widowControl w:val="0"/>
              <w:spacing w:after="0" w:line="240" w:lineRule="auto"/>
              <w:rPr>
                <w:rFonts w:ascii="Calibri" w:eastAsia="Calibri" w:hAnsi="Calibri"/>
              </w:rPr>
            </w:pPr>
            <w:r w:rsidRPr="004832F9">
              <w:rPr>
                <w:rFonts w:eastAsia="Calibri"/>
              </w:rPr>
              <w:t>EDPB</w:t>
            </w:r>
          </w:p>
        </w:tc>
        <w:tc>
          <w:tcPr>
            <w:tcW w:w="7972" w:type="dxa"/>
          </w:tcPr>
          <w:p w14:paraId="6813E234" w14:textId="77777777" w:rsidR="00AE4EA7" w:rsidRPr="008444FB" w:rsidRDefault="00000000">
            <w:pPr>
              <w:widowControl w:val="0"/>
              <w:spacing w:after="0" w:line="240" w:lineRule="auto"/>
              <w:rPr>
                <w:rFonts w:ascii="Calibri" w:eastAsia="Calibri" w:hAnsi="Calibri"/>
                <w:lang w:val="en-US"/>
              </w:rPr>
            </w:pPr>
            <w:r w:rsidRPr="008444FB">
              <w:rPr>
                <w:rFonts w:eastAsia="Calibri"/>
                <w:lang w:val="en-US"/>
              </w:rPr>
              <w:t>European Data Protection Board</w:t>
            </w:r>
          </w:p>
        </w:tc>
      </w:tr>
      <w:tr w:rsidR="00AE4EA7" w14:paraId="1C93619B" w14:textId="77777777">
        <w:tc>
          <w:tcPr>
            <w:tcW w:w="1239" w:type="dxa"/>
          </w:tcPr>
          <w:p w14:paraId="0A22A7CF" w14:textId="77777777" w:rsidR="00AE4EA7" w:rsidRDefault="00000000">
            <w:pPr>
              <w:widowControl w:val="0"/>
              <w:spacing w:after="0" w:line="240" w:lineRule="auto"/>
              <w:rPr>
                <w:rFonts w:ascii="Calibri" w:eastAsia="Calibri" w:hAnsi="Calibri"/>
              </w:rPr>
            </w:pPr>
            <w:r>
              <w:rPr>
                <w:rFonts w:eastAsia="Calibri"/>
              </w:rPr>
              <w:t>EDSA</w:t>
            </w:r>
          </w:p>
        </w:tc>
        <w:tc>
          <w:tcPr>
            <w:tcW w:w="7972" w:type="dxa"/>
          </w:tcPr>
          <w:p w14:paraId="6E8C6F36" w14:textId="77777777" w:rsidR="00AE4EA7" w:rsidRDefault="00000000">
            <w:pPr>
              <w:widowControl w:val="0"/>
              <w:spacing w:after="0" w:line="240" w:lineRule="auto"/>
              <w:rPr>
                <w:rFonts w:ascii="Calibri" w:eastAsia="Calibri" w:hAnsi="Calibri"/>
              </w:rPr>
            </w:pPr>
            <w:r>
              <w:rPr>
                <w:rFonts w:eastAsia="Calibri"/>
              </w:rPr>
              <w:t>Europäischer Datenschutzausschuss</w:t>
            </w:r>
          </w:p>
        </w:tc>
      </w:tr>
      <w:tr w:rsidR="00AE4EA7" w14:paraId="5DEDD8C3" w14:textId="77777777">
        <w:tc>
          <w:tcPr>
            <w:tcW w:w="1239" w:type="dxa"/>
          </w:tcPr>
          <w:p w14:paraId="5D143BDE" w14:textId="77777777" w:rsidR="00AE4EA7" w:rsidRDefault="00000000">
            <w:pPr>
              <w:widowControl w:val="0"/>
              <w:spacing w:after="0" w:line="240" w:lineRule="auto"/>
              <w:rPr>
                <w:rFonts w:ascii="Calibri" w:eastAsia="Calibri" w:hAnsi="Calibri"/>
              </w:rPr>
            </w:pPr>
            <w:r>
              <w:rPr>
                <w:rFonts w:eastAsia="Calibri"/>
              </w:rPr>
              <w:t>EDV</w:t>
            </w:r>
          </w:p>
        </w:tc>
        <w:tc>
          <w:tcPr>
            <w:tcW w:w="7972" w:type="dxa"/>
          </w:tcPr>
          <w:p w14:paraId="6C499534" w14:textId="77777777" w:rsidR="00AE4EA7" w:rsidRDefault="00000000">
            <w:pPr>
              <w:widowControl w:val="0"/>
              <w:spacing w:after="0" w:line="240" w:lineRule="auto"/>
              <w:rPr>
                <w:rFonts w:ascii="Calibri" w:eastAsia="Calibri" w:hAnsi="Calibri"/>
              </w:rPr>
            </w:pPr>
            <w:r>
              <w:rPr>
                <w:rFonts w:eastAsia="Calibri"/>
              </w:rPr>
              <w:t>Elektronische Datenverarbeitung</w:t>
            </w:r>
          </w:p>
        </w:tc>
      </w:tr>
      <w:tr w:rsidR="00AE4EA7" w14:paraId="5F6B2DA5" w14:textId="77777777">
        <w:tc>
          <w:tcPr>
            <w:tcW w:w="1239" w:type="dxa"/>
          </w:tcPr>
          <w:p w14:paraId="08A187D6" w14:textId="77777777" w:rsidR="00AE4EA7" w:rsidRDefault="00000000">
            <w:pPr>
              <w:widowControl w:val="0"/>
              <w:spacing w:after="0" w:line="240" w:lineRule="auto"/>
              <w:rPr>
                <w:rFonts w:ascii="Calibri" w:eastAsia="Calibri" w:hAnsi="Calibri"/>
              </w:rPr>
            </w:pPr>
            <w:r>
              <w:rPr>
                <w:rFonts w:eastAsia="Calibri"/>
              </w:rPr>
              <w:t>EN</w:t>
            </w:r>
          </w:p>
        </w:tc>
        <w:tc>
          <w:tcPr>
            <w:tcW w:w="7972" w:type="dxa"/>
          </w:tcPr>
          <w:p w14:paraId="37E4CBCC" w14:textId="77777777" w:rsidR="00AE4EA7" w:rsidRDefault="00000000">
            <w:pPr>
              <w:widowControl w:val="0"/>
              <w:spacing w:after="0" w:line="240" w:lineRule="auto"/>
              <w:rPr>
                <w:rFonts w:ascii="Calibri" w:eastAsia="Calibri" w:hAnsi="Calibri"/>
              </w:rPr>
            </w:pPr>
            <w:r>
              <w:rPr>
                <w:rFonts w:eastAsia="Calibri"/>
              </w:rPr>
              <w:t>Europäische Norm</w:t>
            </w:r>
          </w:p>
        </w:tc>
      </w:tr>
      <w:tr w:rsidR="00AE4EA7" w14:paraId="2DD731A6" w14:textId="77777777">
        <w:tc>
          <w:tcPr>
            <w:tcW w:w="1239" w:type="dxa"/>
          </w:tcPr>
          <w:p w14:paraId="2DC2F94B" w14:textId="77777777" w:rsidR="00AE4EA7" w:rsidRDefault="00000000">
            <w:pPr>
              <w:widowControl w:val="0"/>
              <w:spacing w:after="0" w:line="240" w:lineRule="auto"/>
              <w:rPr>
                <w:rFonts w:ascii="Calibri" w:eastAsia="Calibri" w:hAnsi="Calibri"/>
              </w:rPr>
            </w:pPr>
            <w:r>
              <w:rPr>
                <w:rFonts w:eastAsia="Calibri"/>
              </w:rPr>
              <w:t>ErwGr.</w:t>
            </w:r>
          </w:p>
        </w:tc>
        <w:tc>
          <w:tcPr>
            <w:tcW w:w="7972" w:type="dxa"/>
          </w:tcPr>
          <w:p w14:paraId="2BE290BB" w14:textId="77777777" w:rsidR="00AE4EA7" w:rsidRDefault="00000000">
            <w:pPr>
              <w:widowControl w:val="0"/>
              <w:spacing w:after="0" w:line="240" w:lineRule="auto"/>
              <w:rPr>
                <w:rFonts w:ascii="Calibri" w:eastAsia="Calibri" w:hAnsi="Calibri"/>
              </w:rPr>
            </w:pPr>
            <w:r>
              <w:rPr>
                <w:rFonts w:eastAsia="Calibri"/>
              </w:rPr>
              <w:t>Erwägungsgrund/Erwägungsgründe</w:t>
            </w:r>
          </w:p>
        </w:tc>
      </w:tr>
      <w:tr w:rsidR="00AE4EA7" w14:paraId="5359AF89" w14:textId="77777777">
        <w:tc>
          <w:tcPr>
            <w:tcW w:w="1239" w:type="dxa"/>
          </w:tcPr>
          <w:p w14:paraId="33986D5F" w14:textId="77777777" w:rsidR="00AE4EA7" w:rsidRDefault="00000000">
            <w:pPr>
              <w:widowControl w:val="0"/>
              <w:spacing w:after="0" w:line="240" w:lineRule="auto"/>
              <w:rPr>
                <w:rFonts w:ascii="Calibri" w:eastAsia="Calibri" w:hAnsi="Calibri"/>
              </w:rPr>
            </w:pPr>
            <w:r>
              <w:rPr>
                <w:rFonts w:eastAsia="Calibri"/>
              </w:rPr>
              <w:t>EU</w:t>
            </w:r>
          </w:p>
        </w:tc>
        <w:tc>
          <w:tcPr>
            <w:tcW w:w="7972" w:type="dxa"/>
          </w:tcPr>
          <w:p w14:paraId="79A89499" w14:textId="77777777" w:rsidR="00AE4EA7" w:rsidRDefault="00000000">
            <w:pPr>
              <w:widowControl w:val="0"/>
              <w:spacing w:after="0" w:line="240" w:lineRule="auto"/>
              <w:rPr>
                <w:rFonts w:ascii="Calibri" w:eastAsia="Calibri" w:hAnsi="Calibri"/>
              </w:rPr>
            </w:pPr>
            <w:r>
              <w:rPr>
                <w:rFonts w:eastAsia="Calibri"/>
              </w:rPr>
              <w:t>Europäische Union</w:t>
            </w:r>
          </w:p>
        </w:tc>
      </w:tr>
      <w:tr w:rsidR="00AE4EA7" w14:paraId="09D2C056" w14:textId="77777777">
        <w:tc>
          <w:tcPr>
            <w:tcW w:w="1239" w:type="dxa"/>
          </w:tcPr>
          <w:p w14:paraId="32B001A6" w14:textId="77777777" w:rsidR="00AE4EA7" w:rsidRDefault="00000000">
            <w:pPr>
              <w:widowControl w:val="0"/>
              <w:spacing w:after="0" w:line="240" w:lineRule="auto"/>
              <w:rPr>
                <w:rFonts w:ascii="Calibri" w:eastAsia="Calibri" w:hAnsi="Calibri"/>
              </w:rPr>
            </w:pPr>
            <w:r w:rsidRPr="004832F9">
              <w:rPr>
                <w:rFonts w:eastAsia="Calibri"/>
              </w:rPr>
              <w:t>EuG</w:t>
            </w:r>
          </w:p>
        </w:tc>
        <w:tc>
          <w:tcPr>
            <w:tcW w:w="7972" w:type="dxa"/>
          </w:tcPr>
          <w:p w14:paraId="253BFFD8" w14:textId="77777777" w:rsidR="00AE4EA7" w:rsidRDefault="00000000">
            <w:pPr>
              <w:widowControl w:val="0"/>
              <w:spacing w:after="0" w:line="240" w:lineRule="auto"/>
              <w:rPr>
                <w:rFonts w:ascii="Calibri" w:eastAsia="Calibri" w:hAnsi="Calibri"/>
              </w:rPr>
            </w:pPr>
            <w:r>
              <w:rPr>
                <w:rFonts w:eastAsia="Calibri"/>
              </w:rPr>
              <w:t xml:space="preserve">Gericht der Europäischen Union; in europäischen Verträgen oft nur kurz als „Gericht“ bezeichnet, ein dem EuGH nachgeordnetes Gericht, welches ursprünglich geschaffen wurde, um den EuGH zu </w:t>
            </w:r>
            <w:r w:rsidRPr="004832F9">
              <w:rPr>
                <w:rFonts w:eastAsia="Calibri"/>
              </w:rPr>
              <w:t>entlasten</w:t>
            </w:r>
          </w:p>
        </w:tc>
      </w:tr>
      <w:tr w:rsidR="00AE4EA7" w14:paraId="156D733A" w14:textId="77777777">
        <w:tc>
          <w:tcPr>
            <w:tcW w:w="1239" w:type="dxa"/>
          </w:tcPr>
          <w:p w14:paraId="752965ED" w14:textId="77777777" w:rsidR="00AE4EA7" w:rsidRDefault="00000000">
            <w:pPr>
              <w:widowControl w:val="0"/>
              <w:spacing w:after="0" w:line="240" w:lineRule="auto"/>
              <w:rPr>
                <w:rFonts w:ascii="Calibri" w:eastAsia="Calibri" w:hAnsi="Calibri"/>
              </w:rPr>
            </w:pPr>
            <w:r>
              <w:rPr>
                <w:rFonts w:eastAsia="Calibri"/>
              </w:rPr>
              <w:t>EuGH</w:t>
            </w:r>
          </w:p>
        </w:tc>
        <w:tc>
          <w:tcPr>
            <w:tcW w:w="7972" w:type="dxa"/>
          </w:tcPr>
          <w:p w14:paraId="50382843" w14:textId="77777777" w:rsidR="00AE4EA7" w:rsidRDefault="00000000">
            <w:pPr>
              <w:widowControl w:val="0"/>
              <w:spacing w:after="0" w:line="240" w:lineRule="auto"/>
              <w:rPr>
                <w:rFonts w:ascii="Calibri" w:eastAsia="Calibri" w:hAnsi="Calibri"/>
              </w:rPr>
            </w:pPr>
            <w:r>
              <w:rPr>
                <w:rFonts w:eastAsia="Calibri"/>
              </w:rPr>
              <w:t>Europäischer Gerichtshof</w:t>
            </w:r>
          </w:p>
        </w:tc>
      </w:tr>
      <w:tr w:rsidR="00AE4EA7" w14:paraId="45C3BB8F" w14:textId="77777777">
        <w:tc>
          <w:tcPr>
            <w:tcW w:w="1239" w:type="dxa"/>
          </w:tcPr>
          <w:p w14:paraId="22EA263A" w14:textId="77777777" w:rsidR="00AE4EA7" w:rsidRDefault="00000000">
            <w:pPr>
              <w:widowControl w:val="0"/>
              <w:spacing w:after="0" w:line="240" w:lineRule="auto"/>
              <w:rPr>
                <w:rFonts w:ascii="Calibri" w:eastAsia="Calibri" w:hAnsi="Calibri"/>
              </w:rPr>
            </w:pPr>
            <w:r>
              <w:rPr>
                <w:rFonts w:eastAsia="Calibri"/>
              </w:rPr>
              <w:t>EWR</w:t>
            </w:r>
          </w:p>
        </w:tc>
        <w:tc>
          <w:tcPr>
            <w:tcW w:w="7972" w:type="dxa"/>
          </w:tcPr>
          <w:p w14:paraId="0BC954B8" w14:textId="77777777" w:rsidR="00AE4EA7" w:rsidRDefault="00000000">
            <w:pPr>
              <w:widowControl w:val="0"/>
              <w:spacing w:after="0" w:line="240" w:lineRule="auto"/>
              <w:rPr>
                <w:rFonts w:ascii="Calibri" w:eastAsia="Calibri" w:hAnsi="Calibri"/>
              </w:rPr>
            </w:pPr>
            <w:r>
              <w:rPr>
                <w:rFonts w:eastAsia="Calibri"/>
              </w:rPr>
              <w:t>Europäischer Wirtschaftsraum</w:t>
            </w:r>
          </w:p>
        </w:tc>
      </w:tr>
      <w:tr w:rsidR="00AE4EA7" w14:paraId="38EC8742" w14:textId="77777777">
        <w:tc>
          <w:tcPr>
            <w:tcW w:w="1239" w:type="dxa"/>
          </w:tcPr>
          <w:p w14:paraId="00FF36F1" w14:textId="77777777" w:rsidR="00AE4EA7" w:rsidRDefault="00000000">
            <w:pPr>
              <w:widowControl w:val="0"/>
              <w:spacing w:after="0" w:line="240" w:lineRule="auto"/>
              <w:rPr>
                <w:rFonts w:ascii="Calibri" w:eastAsia="Calibri" w:hAnsi="Calibri"/>
              </w:rPr>
            </w:pPr>
            <w:r>
              <w:rPr>
                <w:rFonts w:eastAsia="Calibri"/>
              </w:rPr>
              <w:t>GDD</w:t>
            </w:r>
          </w:p>
        </w:tc>
        <w:tc>
          <w:tcPr>
            <w:tcW w:w="7972" w:type="dxa"/>
          </w:tcPr>
          <w:p w14:paraId="59EB74CB" w14:textId="77777777" w:rsidR="00AE4EA7" w:rsidRDefault="00000000">
            <w:pPr>
              <w:widowControl w:val="0"/>
              <w:spacing w:after="0" w:line="240" w:lineRule="auto"/>
              <w:rPr>
                <w:rFonts w:ascii="Calibri" w:eastAsia="Calibri" w:hAnsi="Calibri"/>
              </w:rPr>
            </w:pPr>
            <w:r>
              <w:rPr>
                <w:rFonts w:eastAsia="Calibri"/>
              </w:rPr>
              <w:t>Gesellschaft für Datenschutz und Datensicherheit (GDD) e. V.</w:t>
            </w:r>
          </w:p>
        </w:tc>
      </w:tr>
      <w:tr w:rsidR="00AE4EA7" w14:paraId="360BD519" w14:textId="77777777">
        <w:tc>
          <w:tcPr>
            <w:tcW w:w="1239" w:type="dxa"/>
          </w:tcPr>
          <w:p w14:paraId="650DC96A" w14:textId="77777777" w:rsidR="00AE4EA7" w:rsidRDefault="00000000">
            <w:pPr>
              <w:widowControl w:val="0"/>
              <w:spacing w:after="0" w:line="240" w:lineRule="auto"/>
              <w:rPr>
                <w:rFonts w:ascii="Calibri" w:eastAsia="Calibri" w:hAnsi="Calibri"/>
              </w:rPr>
            </w:pPr>
            <w:r>
              <w:rPr>
                <w:rFonts w:eastAsia="Calibri"/>
              </w:rPr>
              <w:t>GMDS</w:t>
            </w:r>
          </w:p>
        </w:tc>
        <w:tc>
          <w:tcPr>
            <w:tcW w:w="7972" w:type="dxa"/>
          </w:tcPr>
          <w:p w14:paraId="5CF4CA90" w14:textId="77777777" w:rsidR="00AE4EA7" w:rsidRDefault="00000000">
            <w:pPr>
              <w:widowControl w:val="0"/>
              <w:spacing w:after="0" w:line="240" w:lineRule="auto"/>
              <w:rPr>
                <w:rFonts w:ascii="Calibri" w:eastAsia="Calibri" w:hAnsi="Calibri"/>
              </w:rPr>
            </w:pPr>
            <w:r>
              <w:rPr>
                <w:rFonts w:eastAsia="Calibri"/>
              </w:rPr>
              <w:t xml:space="preserve">Deutsche Gesellschaft für </w:t>
            </w:r>
            <w:r w:rsidRPr="004832F9">
              <w:rPr>
                <w:rFonts w:eastAsia="Calibri"/>
              </w:rPr>
              <w:t>Medizinische</w:t>
            </w:r>
            <w:r>
              <w:rPr>
                <w:rFonts w:eastAsia="Calibri"/>
              </w:rPr>
              <w:t xml:space="preserve"> Informatik, Biometrie und Epidemiologie </w:t>
            </w:r>
            <w:r w:rsidRPr="004832F9">
              <w:rPr>
                <w:rFonts w:eastAsia="Calibri"/>
              </w:rPr>
              <w:t>e.V.</w:t>
            </w:r>
          </w:p>
        </w:tc>
      </w:tr>
      <w:tr w:rsidR="00AE4EA7" w14:paraId="5CD871D1" w14:textId="77777777">
        <w:tc>
          <w:tcPr>
            <w:tcW w:w="1239" w:type="dxa"/>
          </w:tcPr>
          <w:p w14:paraId="7EFAF14D" w14:textId="77777777" w:rsidR="00AE4EA7" w:rsidRDefault="00000000">
            <w:pPr>
              <w:widowControl w:val="0"/>
              <w:spacing w:after="0" w:line="240" w:lineRule="auto"/>
              <w:rPr>
                <w:rFonts w:ascii="Calibri" w:eastAsia="Calibri" w:hAnsi="Calibri"/>
              </w:rPr>
            </w:pPr>
            <w:r w:rsidRPr="004832F9">
              <w:rPr>
                <w:rFonts w:eastAsia="Calibri"/>
              </w:rPr>
              <w:t>HIPAA</w:t>
            </w:r>
          </w:p>
        </w:tc>
        <w:tc>
          <w:tcPr>
            <w:tcW w:w="7972" w:type="dxa"/>
          </w:tcPr>
          <w:p w14:paraId="7C081346" w14:textId="77777777" w:rsidR="00AE4EA7" w:rsidRPr="008444FB" w:rsidRDefault="00000000">
            <w:pPr>
              <w:widowControl w:val="0"/>
              <w:spacing w:after="0" w:line="240" w:lineRule="auto"/>
              <w:rPr>
                <w:rFonts w:eastAsiaTheme="majorEastAsia"/>
                <w:lang w:val="en-US"/>
              </w:rPr>
            </w:pPr>
            <w:r w:rsidRPr="008444FB">
              <w:rPr>
                <w:rFonts w:eastAsiaTheme="majorEastAsia"/>
                <w:lang w:val="en-US"/>
              </w:rPr>
              <w:t>Health Insurance Portability and Accountability Act</w:t>
            </w:r>
          </w:p>
        </w:tc>
      </w:tr>
      <w:tr w:rsidR="00AE4EA7" w14:paraId="7149507D" w14:textId="77777777">
        <w:tc>
          <w:tcPr>
            <w:tcW w:w="1239" w:type="dxa"/>
          </w:tcPr>
          <w:p w14:paraId="769355D5" w14:textId="77777777" w:rsidR="00AE4EA7" w:rsidRDefault="00000000">
            <w:pPr>
              <w:widowControl w:val="0"/>
              <w:spacing w:after="0" w:line="240" w:lineRule="auto"/>
              <w:rPr>
                <w:rFonts w:ascii="Calibri" w:eastAsia="Calibri" w:hAnsi="Calibri"/>
              </w:rPr>
            </w:pPr>
            <w:r w:rsidRPr="004832F9">
              <w:rPr>
                <w:rFonts w:eastAsia="Calibri"/>
              </w:rPr>
              <w:t>Hs</w:t>
            </w:r>
            <w:r>
              <w:rPr>
                <w:rFonts w:eastAsia="Calibri"/>
              </w:rPr>
              <w:t>.</w:t>
            </w:r>
          </w:p>
        </w:tc>
        <w:tc>
          <w:tcPr>
            <w:tcW w:w="7972" w:type="dxa"/>
          </w:tcPr>
          <w:p w14:paraId="0D50D6B3" w14:textId="77777777" w:rsidR="00AE4EA7" w:rsidRDefault="00000000">
            <w:pPr>
              <w:widowControl w:val="0"/>
              <w:spacing w:after="0" w:line="240" w:lineRule="auto"/>
              <w:rPr>
                <w:rFonts w:eastAsiaTheme="majorEastAsia"/>
              </w:rPr>
            </w:pPr>
            <w:r>
              <w:rPr>
                <w:rFonts w:eastAsiaTheme="majorEastAsia"/>
              </w:rPr>
              <w:t>Halbsatz</w:t>
            </w:r>
          </w:p>
        </w:tc>
      </w:tr>
      <w:tr w:rsidR="00AE4EA7" w14:paraId="5C2B3A4D" w14:textId="77777777">
        <w:tc>
          <w:tcPr>
            <w:tcW w:w="1239" w:type="dxa"/>
          </w:tcPr>
          <w:p w14:paraId="24A1C5D8" w14:textId="77777777" w:rsidR="00AE4EA7" w:rsidRDefault="00000000">
            <w:pPr>
              <w:widowControl w:val="0"/>
              <w:spacing w:after="0" w:line="240" w:lineRule="auto"/>
              <w:rPr>
                <w:rFonts w:ascii="Calibri" w:eastAsia="Calibri" w:hAnsi="Calibri"/>
              </w:rPr>
            </w:pPr>
            <w:r w:rsidRPr="004832F9">
              <w:rPr>
                <w:rFonts w:eastAsia="Calibri"/>
              </w:rPr>
              <w:t>i. d. R.</w:t>
            </w:r>
          </w:p>
        </w:tc>
        <w:tc>
          <w:tcPr>
            <w:tcW w:w="7972" w:type="dxa"/>
          </w:tcPr>
          <w:p w14:paraId="6D2FC1D0" w14:textId="77777777" w:rsidR="00AE4EA7" w:rsidRDefault="00000000">
            <w:pPr>
              <w:widowControl w:val="0"/>
              <w:spacing w:after="0" w:line="240" w:lineRule="auto"/>
              <w:rPr>
                <w:rFonts w:ascii="Calibri" w:eastAsia="Calibri" w:hAnsi="Calibri"/>
              </w:rPr>
            </w:pPr>
            <w:r w:rsidRPr="004832F9">
              <w:rPr>
                <w:rFonts w:eastAsia="Calibri"/>
              </w:rPr>
              <w:t>in</w:t>
            </w:r>
            <w:r>
              <w:rPr>
                <w:rFonts w:eastAsia="Calibri"/>
              </w:rPr>
              <w:t xml:space="preserve"> der Regel</w:t>
            </w:r>
          </w:p>
        </w:tc>
      </w:tr>
      <w:tr w:rsidR="00AE4EA7" w14:paraId="7D6F2413" w14:textId="77777777">
        <w:tc>
          <w:tcPr>
            <w:tcW w:w="1239" w:type="dxa"/>
          </w:tcPr>
          <w:p w14:paraId="016891FD" w14:textId="77777777" w:rsidR="00AE4EA7" w:rsidRDefault="00000000">
            <w:pPr>
              <w:widowControl w:val="0"/>
              <w:spacing w:after="0" w:line="240" w:lineRule="auto"/>
              <w:rPr>
                <w:rFonts w:ascii="Calibri" w:eastAsia="Calibri" w:hAnsi="Calibri"/>
              </w:rPr>
            </w:pPr>
            <w:r w:rsidRPr="004832F9">
              <w:rPr>
                <w:rFonts w:eastAsia="Calibri"/>
              </w:rPr>
              <w:t>i.</w:t>
            </w:r>
            <w:r>
              <w:rPr>
                <w:rFonts w:eastAsia="Calibri"/>
              </w:rPr>
              <w:t> S.</w:t>
            </w:r>
          </w:p>
        </w:tc>
        <w:tc>
          <w:tcPr>
            <w:tcW w:w="7972" w:type="dxa"/>
          </w:tcPr>
          <w:p w14:paraId="23B54D9C" w14:textId="77777777" w:rsidR="00AE4EA7" w:rsidRDefault="00000000">
            <w:pPr>
              <w:widowControl w:val="0"/>
              <w:spacing w:after="0" w:line="240" w:lineRule="auto"/>
              <w:rPr>
                <w:rFonts w:ascii="Calibri" w:eastAsia="Calibri" w:hAnsi="Calibri"/>
              </w:rPr>
            </w:pPr>
            <w:r w:rsidRPr="004832F9">
              <w:rPr>
                <w:rFonts w:eastAsia="Calibri"/>
              </w:rPr>
              <w:t>im</w:t>
            </w:r>
            <w:r>
              <w:rPr>
                <w:rFonts w:eastAsia="Calibri"/>
              </w:rPr>
              <w:t xml:space="preserve"> Sinne</w:t>
            </w:r>
          </w:p>
        </w:tc>
      </w:tr>
      <w:tr w:rsidR="00AE4EA7" w14:paraId="3A61F98B" w14:textId="77777777">
        <w:tc>
          <w:tcPr>
            <w:tcW w:w="1239" w:type="dxa"/>
          </w:tcPr>
          <w:p w14:paraId="2BC7E068" w14:textId="77777777" w:rsidR="00AE4EA7" w:rsidRDefault="00000000">
            <w:pPr>
              <w:widowControl w:val="0"/>
              <w:spacing w:after="0" w:line="240" w:lineRule="auto"/>
              <w:rPr>
                <w:rFonts w:ascii="Calibri" w:eastAsia="Calibri" w:hAnsi="Calibri"/>
              </w:rPr>
            </w:pPr>
            <w:r w:rsidRPr="004832F9">
              <w:rPr>
                <w:rFonts w:eastAsia="Calibri"/>
              </w:rPr>
              <w:t>i. S. d.</w:t>
            </w:r>
          </w:p>
        </w:tc>
        <w:tc>
          <w:tcPr>
            <w:tcW w:w="7972" w:type="dxa"/>
          </w:tcPr>
          <w:p w14:paraId="2DF8BC71" w14:textId="77777777" w:rsidR="00AE4EA7" w:rsidRDefault="00000000">
            <w:pPr>
              <w:widowControl w:val="0"/>
              <w:spacing w:after="0" w:line="240" w:lineRule="auto"/>
              <w:rPr>
                <w:rFonts w:ascii="Calibri" w:eastAsia="Calibri" w:hAnsi="Calibri"/>
              </w:rPr>
            </w:pPr>
            <w:r>
              <w:rPr>
                <w:rFonts w:eastAsia="Calibri"/>
              </w:rPr>
              <w:t>Im Sinne des/der</w:t>
            </w:r>
          </w:p>
        </w:tc>
      </w:tr>
      <w:tr w:rsidR="00AE4EA7" w14:paraId="4E876A0B" w14:textId="77777777">
        <w:tc>
          <w:tcPr>
            <w:tcW w:w="1239" w:type="dxa"/>
          </w:tcPr>
          <w:p w14:paraId="5BAF0FB4" w14:textId="77777777" w:rsidR="00AE4EA7" w:rsidRDefault="00000000">
            <w:pPr>
              <w:widowControl w:val="0"/>
              <w:spacing w:after="0" w:line="240" w:lineRule="auto"/>
              <w:rPr>
                <w:rFonts w:ascii="Calibri" w:eastAsia="Calibri" w:hAnsi="Calibri"/>
              </w:rPr>
            </w:pPr>
            <w:r w:rsidRPr="004832F9">
              <w:rPr>
                <w:rFonts w:eastAsia="Calibri"/>
              </w:rPr>
              <w:t>i. S. d.</w:t>
            </w:r>
          </w:p>
        </w:tc>
        <w:tc>
          <w:tcPr>
            <w:tcW w:w="7972" w:type="dxa"/>
          </w:tcPr>
          <w:p w14:paraId="65FA4DCC" w14:textId="2492F799" w:rsidR="00AE4EA7" w:rsidRDefault="00000000">
            <w:pPr>
              <w:widowControl w:val="0"/>
              <w:spacing w:after="0" w:line="240" w:lineRule="auto"/>
              <w:rPr>
                <w:rFonts w:ascii="Calibri" w:eastAsia="Calibri" w:hAnsi="Calibri"/>
              </w:rPr>
            </w:pPr>
            <w:r w:rsidRPr="004832F9">
              <w:rPr>
                <w:rFonts w:eastAsia="Calibri"/>
              </w:rPr>
              <w:t>im</w:t>
            </w:r>
            <w:r>
              <w:rPr>
                <w:rFonts w:eastAsia="Calibri"/>
              </w:rPr>
              <w:t xml:space="preserve"> Sinne der/des</w:t>
            </w:r>
          </w:p>
        </w:tc>
      </w:tr>
      <w:tr w:rsidR="00AE4EA7" w14:paraId="1E3E5A23" w14:textId="77777777">
        <w:tc>
          <w:tcPr>
            <w:tcW w:w="1239" w:type="dxa"/>
          </w:tcPr>
          <w:p w14:paraId="3BFC0728" w14:textId="77777777" w:rsidR="00AE4EA7" w:rsidRDefault="00000000">
            <w:pPr>
              <w:widowControl w:val="0"/>
              <w:spacing w:after="0" w:line="240" w:lineRule="auto"/>
              <w:rPr>
                <w:rFonts w:ascii="Calibri" w:eastAsia="Calibri" w:hAnsi="Calibri"/>
              </w:rPr>
            </w:pPr>
            <w:r w:rsidRPr="004832F9">
              <w:rPr>
                <w:rFonts w:eastAsia="Calibri"/>
              </w:rPr>
              <w:t>i. V.</w:t>
            </w:r>
            <w:r>
              <w:rPr>
                <w:rFonts w:eastAsia="Calibri"/>
              </w:rPr>
              <w:t> m.</w:t>
            </w:r>
          </w:p>
        </w:tc>
        <w:tc>
          <w:tcPr>
            <w:tcW w:w="7972" w:type="dxa"/>
          </w:tcPr>
          <w:p w14:paraId="4EAB573B" w14:textId="77777777" w:rsidR="00AE4EA7" w:rsidRDefault="00000000">
            <w:pPr>
              <w:widowControl w:val="0"/>
              <w:spacing w:after="0" w:line="240" w:lineRule="auto"/>
              <w:rPr>
                <w:rFonts w:ascii="Calibri" w:eastAsia="Calibri" w:hAnsi="Calibri"/>
              </w:rPr>
            </w:pPr>
            <w:r w:rsidRPr="004832F9">
              <w:rPr>
                <w:rFonts w:eastAsia="Calibri"/>
              </w:rPr>
              <w:t>in</w:t>
            </w:r>
            <w:r>
              <w:rPr>
                <w:rFonts w:eastAsia="Calibri"/>
              </w:rPr>
              <w:t xml:space="preserve"> Verbindung mit</w:t>
            </w:r>
          </w:p>
        </w:tc>
      </w:tr>
      <w:tr w:rsidR="00AE4EA7" w14:paraId="20D35E7B" w14:textId="77777777">
        <w:tc>
          <w:tcPr>
            <w:tcW w:w="1239" w:type="dxa"/>
          </w:tcPr>
          <w:p w14:paraId="5914B32D" w14:textId="77777777" w:rsidR="00AE4EA7" w:rsidRDefault="00000000">
            <w:pPr>
              <w:widowControl w:val="0"/>
              <w:spacing w:after="0" w:line="240" w:lineRule="auto"/>
              <w:rPr>
                <w:rFonts w:ascii="Calibri" w:eastAsia="Calibri" w:hAnsi="Calibri"/>
              </w:rPr>
            </w:pPr>
            <w:r w:rsidRPr="004832F9">
              <w:rPr>
                <w:rFonts w:eastAsia="Calibri"/>
              </w:rPr>
              <w:t>i.S.v</w:t>
            </w:r>
            <w:r>
              <w:rPr>
                <w:rFonts w:eastAsia="Calibri"/>
              </w:rPr>
              <w:t>.</w:t>
            </w:r>
          </w:p>
        </w:tc>
        <w:tc>
          <w:tcPr>
            <w:tcW w:w="7972" w:type="dxa"/>
          </w:tcPr>
          <w:p w14:paraId="0A2AA39C" w14:textId="77777777" w:rsidR="00AE4EA7" w:rsidRDefault="00000000">
            <w:pPr>
              <w:widowControl w:val="0"/>
              <w:spacing w:after="0" w:line="240" w:lineRule="auto"/>
              <w:rPr>
                <w:rFonts w:ascii="Calibri" w:eastAsia="Calibri" w:hAnsi="Calibri"/>
              </w:rPr>
            </w:pPr>
            <w:r w:rsidRPr="004832F9">
              <w:rPr>
                <w:rFonts w:eastAsia="Calibri"/>
              </w:rPr>
              <w:t>im</w:t>
            </w:r>
            <w:r>
              <w:rPr>
                <w:rFonts w:eastAsia="Calibri"/>
              </w:rPr>
              <w:t xml:space="preserve"> Sinne von</w:t>
            </w:r>
          </w:p>
        </w:tc>
      </w:tr>
      <w:tr w:rsidR="00AE4EA7" w:rsidRPr="004C1658" w14:paraId="183E37A9" w14:textId="77777777">
        <w:tc>
          <w:tcPr>
            <w:tcW w:w="1239" w:type="dxa"/>
          </w:tcPr>
          <w:p w14:paraId="67DC611C" w14:textId="77777777" w:rsidR="00AE4EA7" w:rsidRDefault="00000000">
            <w:pPr>
              <w:widowControl w:val="0"/>
              <w:spacing w:after="0" w:line="240" w:lineRule="auto"/>
              <w:rPr>
                <w:rFonts w:ascii="Calibri" w:eastAsia="Calibri" w:hAnsi="Calibri"/>
              </w:rPr>
            </w:pPr>
            <w:r>
              <w:rPr>
                <w:rFonts w:eastAsia="Calibri"/>
              </w:rPr>
              <w:t>ICD</w:t>
            </w:r>
          </w:p>
        </w:tc>
        <w:tc>
          <w:tcPr>
            <w:tcW w:w="7972" w:type="dxa"/>
          </w:tcPr>
          <w:p w14:paraId="0C865381" w14:textId="4D885F59" w:rsidR="00AE4EA7" w:rsidRPr="004C1658" w:rsidRDefault="007A1A5F" w:rsidP="007A1A5F">
            <w:pPr>
              <w:widowControl w:val="0"/>
              <w:spacing w:after="0" w:line="240" w:lineRule="auto"/>
              <w:jc w:val="left"/>
              <w:rPr>
                <w:rFonts w:ascii="Calibri" w:eastAsia="Calibri" w:hAnsi="Calibri"/>
              </w:rPr>
            </w:pPr>
            <w:r>
              <w:rPr>
                <w:rFonts w:eastAsiaTheme="majorEastAsia"/>
              </w:rPr>
              <w:t xml:space="preserve">Eigentlich ICD-10: </w:t>
            </w:r>
            <w:r w:rsidRPr="004832F9">
              <w:rPr>
                <w:rFonts w:eastAsia="Calibri"/>
              </w:rPr>
              <w:t>Internationale</w:t>
            </w:r>
            <w:r>
              <w:rPr>
                <w:rFonts w:eastAsia="Calibri"/>
              </w:rPr>
              <w:t xml:space="preserve"> </w:t>
            </w:r>
            <w:r w:rsidRPr="007A1A5F">
              <w:rPr>
                <w:rFonts w:eastAsiaTheme="majorEastAsia"/>
              </w:rPr>
              <w:t xml:space="preserve">statistische </w:t>
            </w:r>
            <w:r>
              <w:rPr>
                <w:rFonts w:eastAsia="Calibri"/>
              </w:rPr>
              <w:t>Klassifikation der Krankheiten</w:t>
            </w:r>
            <w:r w:rsidRPr="007A1A5F">
              <w:rPr>
                <w:rFonts w:eastAsiaTheme="majorEastAsia"/>
              </w:rPr>
              <w:t xml:space="preserve"> und verwandter Gesundheitsprobleme</w:t>
            </w:r>
            <w:r>
              <w:rPr>
                <w:rFonts w:eastAsiaTheme="majorEastAsia"/>
              </w:rPr>
              <w:br/>
            </w:r>
            <w:r>
              <w:rPr>
                <w:rFonts w:eastAsia="Calibri"/>
              </w:rPr>
              <w:t>(</w:t>
            </w:r>
            <w:r w:rsidRPr="008D0D01">
              <w:rPr>
                <w:rFonts w:eastAsia="Calibri"/>
                <w:b/>
                <w:bCs/>
                <w:lang w:val="en-US"/>
              </w:rPr>
              <w:t>I</w:t>
            </w:r>
            <w:r w:rsidRPr="008D0D01">
              <w:rPr>
                <w:rFonts w:eastAsia="Calibri"/>
                <w:lang w:val="en-US"/>
              </w:rPr>
              <w:t xml:space="preserve">nternational </w:t>
            </w:r>
            <w:r w:rsidRPr="008D0D01">
              <w:rPr>
                <w:rFonts w:eastAsiaTheme="majorEastAsia"/>
                <w:lang w:val="en-US"/>
              </w:rPr>
              <w:t xml:space="preserve">Statistical </w:t>
            </w:r>
            <w:r w:rsidRPr="008D0D01">
              <w:rPr>
                <w:rFonts w:eastAsia="Calibri"/>
                <w:b/>
                <w:bCs/>
                <w:lang w:val="en-US"/>
              </w:rPr>
              <w:t>C</w:t>
            </w:r>
            <w:r w:rsidRPr="008D0D01">
              <w:rPr>
                <w:rFonts w:eastAsia="Calibri"/>
                <w:lang w:val="en-US"/>
              </w:rPr>
              <w:t xml:space="preserve">lassification of </w:t>
            </w:r>
            <w:r w:rsidRPr="008D0D01">
              <w:rPr>
                <w:rFonts w:eastAsia="Calibri"/>
                <w:b/>
                <w:bCs/>
                <w:sz w:val="20"/>
                <w:szCs w:val="20"/>
                <w:lang w:val="en-US"/>
              </w:rPr>
              <w:t>D</w:t>
            </w:r>
            <w:r w:rsidRPr="008D0D01">
              <w:rPr>
                <w:rFonts w:eastAsia="Calibri"/>
                <w:lang w:val="en-US"/>
              </w:rPr>
              <w:t>iseases</w:t>
            </w:r>
            <w:r w:rsidRPr="008D0D01">
              <w:rPr>
                <w:rFonts w:eastAsiaTheme="majorEastAsia"/>
                <w:lang w:val="en-US"/>
              </w:rPr>
              <w:t xml:space="preserve"> and Related Health Problems</w:t>
            </w:r>
            <w:r w:rsidRPr="004C1658">
              <w:rPr>
                <w:rFonts w:eastAsia="Calibri"/>
              </w:rPr>
              <w:t>)</w:t>
            </w:r>
          </w:p>
        </w:tc>
      </w:tr>
      <w:tr w:rsidR="00AE4EA7" w14:paraId="6B2BE6CE" w14:textId="77777777">
        <w:tc>
          <w:tcPr>
            <w:tcW w:w="1239" w:type="dxa"/>
          </w:tcPr>
          <w:p w14:paraId="25E9FFED" w14:textId="77777777" w:rsidR="00AE4EA7" w:rsidRPr="004C1658" w:rsidRDefault="00000000">
            <w:pPr>
              <w:widowControl w:val="0"/>
              <w:spacing w:after="0" w:line="240" w:lineRule="auto"/>
              <w:rPr>
                <w:rFonts w:ascii="Calibri" w:eastAsia="Calibri" w:hAnsi="Calibri"/>
              </w:rPr>
            </w:pPr>
            <w:r w:rsidRPr="004C1658">
              <w:rPr>
                <w:rFonts w:eastAsia="Calibri"/>
              </w:rPr>
              <w:t>ID</w:t>
            </w:r>
          </w:p>
        </w:tc>
        <w:tc>
          <w:tcPr>
            <w:tcW w:w="7972" w:type="dxa"/>
          </w:tcPr>
          <w:p w14:paraId="1D0BDD0C" w14:textId="77777777" w:rsidR="00AE4EA7" w:rsidRDefault="00000000">
            <w:pPr>
              <w:widowControl w:val="0"/>
              <w:spacing w:after="0" w:line="240" w:lineRule="auto"/>
              <w:rPr>
                <w:rFonts w:ascii="Calibri" w:eastAsia="Calibri" w:hAnsi="Calibri"/>
              </w:rPr>
            </w:pPr>
            <w:r w:rsidRPr="004C1658">
              <w:rPr>
                <w:rFonts w:eastAsia="Calibri"/>
              </w:rPr>
              <w:t>Identif</w:t>
            </w:r>
            <w:r>
              <w:rPr>
                <w:rFonts w:eastAsia="Calibri"/>
              </w:rPr>
              <w:t>ikator/Identifier, Identifikationsnummer</w:t>
            </w:r>
          </w:p>
        </w:tc>
      </w:tr>
      <w:tr w:rsidR="00AE4EA7" w14:paraId="5A9468A0" w14:textId="77777777">
        <w:tc>
          <w:tcPr>
            <w:tcW w:w="1239" w:type="dxa"/>
          </w:tcPr>
          <w:p w14:paraId="0E4257B0" w14:textId="77777777" w:rsidR="00AE4EA7" w:rsidRDefault="00000000">
            <w:pPr>
              <w:widowControl w:val="0"/>
              <w:spacing w:after="0" w:line="240" w:lineRule="auto"/>
              <w:rPr>
                <w:rFonts w:ascii="Calibri" w:eastAsia="Calibri" w:hAnsi="Calibri"/>
              </w:rPr>
            </w:pPr>
            <w:r>
              <w:rPr>
                <w:rFonts w:eastAsia="Calibri"/>
              </w:rPr>
              <w:t>ISO</w:t>
            </w:r>
          </w:p>
        </w:tc>
        <w:tc>
          <w:tcPr>
            <w:tcW w:w="7972" w:type="dxa"/>
          </w:tcPr>
          <w:p w14:paraId="222AAF51" w14:textId="77777777" w:rsidR="00AE4EA7" w:rsidRPr="007A1A5F" w:rsidRDefault="00000000">
            <w:pPr>
              <w:widowControl w:val="0"/>
              <w:spacing w:after="0" w:line="240" w:lineRule="auto"/>
              <w:rPr>
                <w:rFonts w:ascii="Calibri" w:eastAsia="Calibri" w:hAnsi="Calibri"/>
                <w:lang w:val="en-US"/>
              </w:rPr>
            </w:pPr>
            <w:r w:rsidRPr="007A1A5F">
              <w:rPr>
                <w:rFonts w:eastAsia="Calibri"/>
                <w:lang w:val="en-US"/>
              </w:rPr>
              <w:t>International Organization for Standardization</w:t>
            </w:r>
          </w:p>
        </w:tc>
      </w:tr>
      <w:tr w:rsidR="00AE4EA7" w14:paraId="732371A9" w14:textId="77777777">
        <w:tc>
          <w:tcPr>
            <w:tcW w:w="1239" w:type="dxa"/>
          </w:tcPr>
          <w:p w14:paraId="0A7EB6CB" w14:textId="77777777" w:rsidR="00AE4EA7" w:rsidRDefault="00000000">
            <w:pPr>
              <w:widowControl w:val="0"/>
              <w:spacing w:after="0" w:line="240" w:lineRule="auto"/>
              <w:rPr>
                <w:rFonts w:ascii="Calibri" w:eastAsia="Calibri" w:hAnsi="Calibri"/>
              </w:rPr>
            </w:pPr>
            <w:r>
              <w:rPr>
                <w:rFonts w:eastAsia="Calibri"/>
              </w:rPr>
              <w:t>IT</w:t>
            </w:r>
          </w:p>
        </w:tc>
        <w:tc>
          <w:tcPr>
            <w:tcW w:w="7972" w:type="dxa"/>
          </w:tcPr>
          <w:p w14:paraId="3A37361B" w14:textId="77777777" w:rsidR="00AE4EA7" w:rsidRDefault="00000000">
            <w:pPr>
              <w:widowControl w:val="0"/>
              <w:spacing w:after="0" w:line="240" w:lineRule="auto"/>
              <w:rPr>
                <w:rFonts w:ascii="Calibri" w:eastAsia="Calibri" w:hAnsi="Calibri"/>
              </w:rPr>
            </w:pPr>
            <w:r>
              <w:rPr>
                <w:rFonts w:eastAsia="Calibri"/>
              </w:rPr>
              <w:t xml:space="preserve">Informationstechnik, </w:t>
            </w:r>
            <w:r w:rsidRPr="004832F9">
              <w:rPr>
                <w:rFonts w:eastAsia="Calibri"/>
              </w:rPr>
              <w:t>informationstechnisches</w:t>
            </w:r>
            <w:r>
              <w:rPr>
                <w:rFonts w:eastAsia="Calibri"/>
              </w:rPr>
              <w:t>…</w:t>
            </w:r>
          </w:p>
        </w:tc>
      </w:tr>
      <w:tr w:rsidR="00AE4EA7" w14:paraId="07050CEC" w14:textId="77777777">
        <w:tc>
          <w:tcPr>
            <w:tcW w:w="1239" w:type="dxa"/>
          </w:tcPr>
          <w:p w14:paraId="31CC6804" w14:textId="77777777" w:rsidR="00AE4EA7" w:rsidRDefault="00000000">
            <w:pPr>
              <w:widowControl w:val="0"/>
              <w:spacing w:after="0" w:line="240" w:lineRule="auto"/>
              <w:rPr>
                <w:rFonts w:ascii="Calibri" w:eastAsia="Calibri" w:hAnsi="Calibri"/>
              </w:rPr>
            </w:pPr>
            <w:r>
              <w:rPr>
                <w:rFonts w:eastAsia="Calibri"/>
              </w:rPr>
              <w:t>Kap.</w:t>
            </w:r>
          </w:p>
        </w:tc>
        <w:tc>
          <w:tcPr>
            <w:tcW w:w="7972" w:type="dxa"/>
          </w:tcPr>
          <w:p w14:paraId="09BF329B" w14:textId="77777777" w:rsidR="00AE4EA7" w:rsidRDefault="00000000">
            <w:pPr>
              <w:widowControl w:val="0"/>
              <w:spacing w:after="0" w:line="240" w:lineRule="auto"/>
              <w:rPr>
                <w:rFonts w:ascii="Calibri" w:eastAsia="Calibri" w:hAnsi="Calibri"/>
              </w:rPr>
            </w:pPr>
            <w:r>
              <w:rPr>
                <w:rFonts w:eastAsia="Calibri"/>
              </w:rPr>
              <w:t>Kapitel</w:t>
            </w:r>
          </w:p>
        </w:tc>
      </w:tr>
      <w:tr w:rsidR="00AE4EA7" w14:paraId="1C4D4D21" w14:textId="77777777">
        <w:tc>
          <w:tcPr>
            <w:tcW w:w="1239" w:type="dxa"/>
          </w:tcPr>
          <w:p w14:paraId="67CD7E71" w14:textId="77777777" w:rsidR="00AE4EA7" w:rsidRDefault="00000000">
            <w:pPr>
              <w:widowControl w:val="0"/>
              <w:spacing w:after="0" w:line="240" w:lineRule="auto"/>
              <w:rPr>
                <w:rFonts w:ascii="Calibri" w:eastAsia="Calibri" w:hAnsi="Calibri"/>
              </w:rPr>
            </w:pPr>
            <w:r w:rsidRPr="004832F9">
              <w:rPr>
                <w:rFonts w:eastAsia="Calibri"/>
              </w:rPr>
              <w:t>LDSG</w:t>
            </w:r>
          </w:p>
        </w:tc>
        <w:tc>
          <w:tcPr>
            <w:tcW w:w="7972" w:type="dxa"/>
          </w:tcPr>
          <w:p w14:paraId="5178A48B" w14:textId="77777777" w:rsidR="00AE4EA7" w:rsidRDefault="00000000">
            <w:pPr>
              <w:widowControl w:val="0"/>
              <w:spacing w:after="0" w:line="240" w:lineRule="auto"/>
              <w:rPr>
                <w:rFonts w:ascii="Calibri" w:hAnsi="Calibri"/>
              </w:rPr>
            </w:pPr>
            <w:r>
              <w:rPr>
                <w:rFonts w:eastAsiaTheme="majorEastAsia"/>
              </w:rPr>
              <w:t>Landesdatenschutzgesetz</w:t>
            </w:r>
          </w:p>
        </w:tc>
      </w:tr>
      <w:tr w:rsidR="00AE4EA7" w14:paraId="4F51D47A" w14:textId="77777777">
        <w:tc>
          <w:tcPr>
            <w:tcW w:w="1239" w:type="dxa"/>
          </w:tcPr>
          <w:p w14:paraId="5C949C4A" w14:textId="77777777" w:rsidR="00AE4EA7" w:rsidRDefault="00000000">
            <w:pPr>
              <w:widowControl w:val="0"/>
              <w:spacing w:after="0" w:line="240" w:lineRule="auto"/>
              <w:rPr>
                <w:rFonts w:ascii="Calibri" w:eastAsia="Calibri" w:hAnsi="Calibri"/>
              </w:rPr>
            </w:pPr>
            <w:r w:rsidRPr="004832F9">
              <w:rPr>
                <w:rFonts w:eastAsia="Calibri"/>
              </w:rPr>
              <w:t>lit</w:t>
            </w:r>
            <w:r>
              <w:rPr>
                <w:rFonts w:eastAsia="Calibri"/>
              </w:rPr>
              <w:t>.</w:t>
            </w:r>
          </w:p>
        </w:tc>
        <w:tc>
          <w:tcPr>
            <w:tcW w:w="7972" w:type="dxa"/>
          </w:tcPr>
          <w:p w14:paraId="4C3CB0A7" w14:textId="77777777" w:rsidR="00AE4EA7" w:rsidRDefault="00000000">
            <w:pPr>
              <w:widowControl w:val="0"/>
              <w:spacing w:after="0" w:line="240" w:lineRule="auto"/>
              <w:rPr>
                <w:rFonts w:ascii="Calibri" w:hAnsi="Calibri"/>
              </w:rPr>
            </w:pPr>
            <w:r w:rsidRPr="004832F9">
              <w:rPr>
                <w:rFonts w:eastAsiaTheme="majorEastAsia"/>
              </w:rPr>
              <w:t>littera</w:t>
            </w:r>
            <w:r>
              <w:rPr>
                <w:rFonts w:eastAsiaTheme="majorEastAsia"/>
              </w:rPr>
              <w:t xml:space="preserve"> (lat. „Buchstabe“)</w:t>
            </w:r>
          </w:p>
        </w:tc>
      </w:tr>
      <w:tr w:rsidR="00AE4EA7" w14:paraId="6F9E78E2" w14:textId="77777777">
        <w:tc>
          <w:tcPr>
            <w:tcW w:w="1239" w:type="dxa"/>
          </w:tcPr>
          <w:p w14:paraId="1151360C" w14:textId="77777777" w:rsidR="00AE4EA7" w:rsidRDefault="00000000">
            <w:pPr>
              <w:widowControl w:val="0"/>
              <w:spacing w:after="0" w:line="240" w:lineRule="auto"/>
              <w:rPr>
                <w:rFonts w:ascii="Calibri" w:eastAsia="Calibri" w:hAnsi="Calibri"/>
              </w:rPr>
            </w:pPr>
            <w:r>
              <w:rPr>
                <w:rFonts w:eastAsia="Calibri"/>
              </w:rPr>
              <w:t>Nr.</w:t>
            </w:r>
          </w:p>
        </w:tc>
        <w:tc>
          <w:tcPr>
            <w:tcW w:w="7972" w:type="dxa"/>
          </w:tcPr>
          <w:p w14:paraId="73932925" w14:textId="77777777" w:rsidR="00AE4EA7" w:rsidRDefault="00000000">
            <w:pPr>
              <w:widowControl w:val="0"/>
              <w:spacing w:after="0" w:line="240" w:lineRule="auto"/>
              <w:rPr>
                <w:rFonts w:eastAsiaTheme="majorEastAsia"/>
              </w:rPr>
            </w:pPr>
            <w:r>
              <w:rPr>
                <w:rFonts w:eastAsiaTheme="majorEastAsia"/>
              </w:rPr>
              <w:t>Nummer</w:t>
            </w:r>
          </w:p>
        </w:tc>
      </w:tr>
      <w:tr w:rsidR="00AE4EA7" w14:paraId="395916E4" w14:textId="77777777">
        <w:tc>
          <w:tcPr>
            <w:tcW w:w="1239" w:type="dxa"/>
          </w:tcPr>
          <w:p w14:paraId="2D906D77" w14:textId="77777777" w:rsidR="00AE4EA7" w:rsidRDefault="00000000">
            <w:pPr>
              <w:widowControl w:val="0"/>
              <w:spacing w:after="0" w:line="240" w:lineRule="auto"/>
              <w:rPr>
                <w:rFonts w:ascii="Calibri" w:eastAsia="Calibri" w:hAnsi="Calibri"/>
              </w:rPr>
            </w:pPr>
            <w:r>
              <w:rPr>
                <w:rFonts w:eastAsia="Calibri"/>
              </w:rPr>
              <w:t>OLG</w:t>
            </w:r>
          </w:p>
        </w:tc>
        <w:tc>
          <w:tcPr>
            <w:tcW w:w="7972" w:type="dxa"/>
          </w:tcPr>
          <w:p w14:paraId="18C42F59" w14:textId="77777777" w:rsidR="00AE4EA7" w:rsidRDefault="00000000">
            <w:pPr>
              <w:widowControl w:val="0"/>
              <w:spacing w:after="0" w:line="240" w:lineRule="auto"/>
              <w:rPr>
                <w:rFonts w:eastAsiaTheme="majorEastAsia"/>
              </w:rPr>
            </w:pPr>
            <w:r>
              <w:t>Oberlandesgericht</w:t>
            </w:r>
          </w:p>
        </w:tc>
      </w:tr>
      <w:tr w:rsidR="008D0D01" w14:paraId="2916809E" w14:textId="77777777">
        <w:tc>
          <w:tcPr>
            <w:tcW w:w="1239" w:type="dxa"/>
          </w:tcPr>
          <w:p w14:paraId="57398BCF" w14:textId="58F9E9DD" w:rsidR="008D0D01" w:rsidRDefault="008D0D01">
            <w:pPr>
              <w:widowControl w:val="0"/>
              <w:spacing w:after="0" w:line="240" w:lineRule="auto"/>
              <w:rPr>
                <w:rFonts w:eastAsia="Calibri"/>
              </w:rPr>
            </w:pPr>
            <w:r>
              <w:rPr>
                <w:rFonts w:eastAsia="Calibri"/>
              </w:rPr>
              <w:t>pdf</w:t>
            </w:r>
          </w:p>
        </w:tc>
        <w:tc>
          <w:tcPr>
            <w:tcW w:w="7972" w:type="dxa"/>
          </w:tcPr>
          <w:p w14:paraId="55B558A4" w14:textId="507426C4" w:rsidR="008D0D01" w:rsidRPr="008D0D01" w:rsidRDefault="008D0D01">
            <w:pPr>
              <w:widowControl w:val="0"/>
              <w:spacing w:after="0" w:line="240" w:lineRule="auto"/>
              <w:rPr>
                <w:lang w:val="en-US"/>
              </w:rPr>
            </w:pPr>
            <w:r w:rsidRPr="008D0D01">
              <w:rPr>
                <w:lang w:val="en-US"/>
              </w:rPr>
              <w:t>Portable Document Format</w:t>
            </w:r>
          </w:p>
        </w:tc>
      </w:tr>
      <w:tr w:rsidR="00AE4EA7" w14:paraId="017CC3A1" w14:textId="77777777">
        <w:tc>
          <w:tcPr>
            <w:tcW w:w="1239" w:type="dxa"/>
          </w:tcPr>
          <w:p w14:paraId="29CFED17" w14:textId="77777777" w:rsidR="00AE4EA7" w:rsidRDefault="00000000">
            <w:pPr>
              <w:widowControl w:val="0"/>
              <w:spacing w:after="0" w:line="240" w:lineRule="auto"/>
              <w:rPr>
                <w:rFonts w:ascii="Calibri" w:eastAsia="Calibri" w:hAnsi="Calibri"/>
              </w:rPr>
            </w:pPr>
            <w:r>
              <w:rPr>
                <w:rFonts w:eastAsia="Calibri"/>
              </w:rPr>
              <w:t>PIN</w:t>
            </w:r>
          </w:p>
        </w:tc>
        <w:tc>
          <w:tcPr>
            <w:tcW w:w="7972" w:type="dxa"/>
          </w:tcPr>
          <w:p w14:paraId="28C7510A" w14:textId="77777777" w:rsidR="00AE4EA7" w:rsidRDefault="00000000">
            <w:pPr>
              <w:widowControl w:val="0"/>
              <w:spacing w:after="0" w:line="240" w:lineRule="auto"/>
              <w:rPr>
                <w:rFonts w:eastAsiaTheme="majorEastAsia"/>
              </w:rPr>
            </w:pPr>
            <w:r>
              <w:rPr>
                <w:rFonts w:eastAsiaTheme="majorEastAsia"/>
              </w:rPr>
              <w:t>Persönliche Identifikationsnummer</w:t>
            </w:r>
          </w:p>
        </w:tc>
      </w:tr>
      <w:tr w:rsidR="00AE4EA7" w14:paraId="1D12C7C3" w14:textId="77777777">
        <w:tc>
          <w:tcPr>
            <w:tcW w:w="1239" w:type="dxa"/>
          </w:tcPr>
          <w:p w14:paraId="2A69A68B" w14:textId="77777777" w:rsidR="00AE4EA7" w:rsidRDefault="00000000">
            <w:pPr>
              <w:widowControl w:val="0"/>
              <w:spacing w:after="0" w:line="240" w:lineRule="auto"/>
              <w:rPr>
                <w:rFonts w:ascii="Calibri" w:eastAsia="Calibri" w:hAnsi="Calibri"/>
              </w:rPr>
            </w:pPr>
            <w:r w:rsidRPr="004832F9">
              <w:rPr>
                <w:rFonts w:eastAsia="Calibri"/>
              </w:rPr>
              <w:t>RL</w:t>
            </w:r>
          </w:p>
        </w:tc>
        <w:tc>
          <w:tcPr>
            <w:tcW w:w="7972" w:type="dxa"/>
          </w:tcPr>
          <w:p w14:paraId="3226FF09" w14:textId="77777777" w:rsidR="00AE4EA7" w:rsidRDefault="00000000">
            <w:pPr>
              <w:widowControl w:val="0"/>
              <w:spacing w:after="0" w:line="240" w:lineRule="auto"/>
              <w:rPr>
                <w:rFonts w:eastAsiaTheme="majorEastAsia"/>
              </w:rPr>
            </w:pPr>
            <w:r>
              <w:t>Richtlinie</w:t>
            </w:r>
          </w:p>
        </w:tc>
      </w:tr>
      <w:tr w:rsidR="00AE4EA7" w14:paraId="304F4B5B" w14:textId="77777777">
        <w:tc>
          <w:tcPr>
            <w:tcW w:w="1239" w:type="dxa"/>
          </w:tcPr>
          <w:p w14:paraId="74864A9B" w14:textId="77777777" w:rsidR="00AE4EA7" w:rsidRDefault="00000000">
            <w:pPr>
              <w:widowControl w:val="0"/>
              <w:spacing w:after="0" w:line="240" w:lineRule="auto"/>
              <w:rPr>
                <w:rFonts w:ascii="Calibri" w:eastAsia="Calibri" w:hAnsi="Calibri"/>
              </w:rPr>
            </w:pPr>
            <w:r>
              <w:rPr>
                <w:rFonts w:eastAsia="Calibri"/>
              </w:rPr>
              <w:t>Rn.</w:t>
            </w:r>
          </w:p>
        </w:tc>
        <w:tc>
          <w:tcPr>
            <w:tcW w:w="7972" w:type="dxa"/>
          </w:tcPr>
          <w:p w14:paraId="5EE91ECB" w14:textId="77777777" w:rsidR="00AE4EA7" w:rsidRDefault="00000000">
            <w:pPr>
              <w:widowControl w:val="0"/>
              <w:spacing w:after="0" w:line="240" w:lineRule="auto"/>
              <w:rPr>
                <w:rFonts w:ascii="Calibri" w:eastAsia="Calibri" w:hAnsi="Calibri"/>
              </w:rPr>
            </w:pPr>
            <w:r>
              <w:rPr>
                <w:rFonts w:eastAsia="Calibri"/>
              </w:rPr>
              <w:t>Randnummer</w:t>
            </w:r>
          </w:p>
        </w:tc>
      </w:tr>
      <w:tr w:rsidR="00AE4EA7" w:rsidRPr="004C1658" w14:paraId="0CCD1B95" w14:textId="77777777">
        <w:tc>
          <w:tcPr>
            <w:tcW w:w="1239" w:type="dxa"/>
          </w:tcPr>
          <w:p w14:paraId="6D0AB454" w14:textId="77777777" w:rsidR="00AE4EA7" w:rsidRPr="004C1658" w:rsidRDefault="00000000">
            <w:pPr>
              <w:widowControl w:val="0"/>
              <w:spacing w:after="0" w:line="240" w:lineRule="auto"/>
              <w:rPr>
                <w:rFonts w:ascii="Calibri" w:eastAsia="Calibri" w:hAnsi="Calibri"/>
              </w:rPr>
            </w:pPr>
            <w:r>
              <w:rPr>
                <w:rFonts w:eastAsia="Calibri"/>
              </w:rPr>
              <w:t>S</w:t>
            </w:r>
            <w:r w:rsidRPr="004C1658">
              <w:rPr>
                <w:rFonts w:eastAsia="Calibri"/>
              </w:rPr>
              <w:t>.</w:t>
            </w:r>
          </w:p>
        </w:tc>
        <w:tc>
          <w:tcPr>
            <w:tcW w:w="7972" w:type="dxa"/>
          </w:tcPr>
          <w:p w14:paraId="4EB4E54A" w14:textId="77777777" w:rsidR="00AE4EA7" w:rsidRPr="004C1658" w:rsidRDefault="00000000">
            <w:pPr>
              <w:widowControl w:val="0"/>
              <w:spacing w:after="0" w:line="240" w:lineRule="auto"/>
              <w:rPr>
                <w:rFonts w:ascii="Calibri" w:eastAsia="Calibri" w:hAnsi="Calibri"/>
              </w:rPr>
            </w:pPr>
            <w:r w:rsidRPr="004C1658">
              <w:rPr>
                <w:rFonts w:eastAsia="Calibri"/>
              </w:rPr>
              <w:t>Satz</w:t>
            </w:r>
          </w:p>
        </w:tc>
      </w:tr>
      <w:tr w:rsidR="00AE4EA7" w:rsidRPr="004C1658" w14:paraId="4190BB96" w14:textId="77777777">
        <w:tc>
          <w:tcPr>
            <w:tcW w:w="1239" w:type="dxa"/>
          </w:tcPr>
          <w:p w14:paraId="33A7D27C" w14:textId="77777777" w:rsidR="00AE4EA7" w:rsidRPr="004C1658" w:rsidRDefault="00000000">
            <w:pPr>
              <w:widowControl w:val="0"/>
              <w:spacing w:after="0" w:line="240" w:lineRule="auto"/>
              <w:rPr>
                <w:rFonts w:ascii="Calibri" w:eastAsia="Calibri" w:hAnsi="Calibri"/>
              </w:rPr>
            </w:pPr>
            <w:r w:rsidRPr="004C1658">
              <w:rPr>
                <w:rFonts w:eastAsia="Calibri"/>
              </w:rPr>
              <w:t>SGB</w:t>
            </w:r>
          </w:p>
        </w:tc>
        <w:tc>
          <w:tcPr>
            <w:tcW w:w="7972" w:type="dxa"/>
          </w:tcPr>
          <w:p w14:paraId="4842B118" w14:textId="77777777" w:rsidR="00AE4EA7" w:rsidRPr="004C1658" w:rsidRDefault="00000000">
            <w:pPr>
              <w:widowControl w:val="0"/>
              <w:spacing w:after="0" w:line="240" w:lineRule="auto"/>
              <w:rPr>
                <w:rFonts w:ascii="Calibri" w:eastAsia="Calibri" w:hAnsi="Calibri"/>
              </w:rPr>
            </w:pPr>
            <w:r w:rsidRPr="004C1658">
              <w:rPr>
                <w:rFonts w:eastAsia="Calibri"/>
              </w:rPr>
              <w:t>Sozialgesetzbuch</w:t>
            </w:r>
          </w:p>
        </w:tc>
      </w:tr>
      <w:tr w:rsidR="00AE4EA7" w14:paraId="1BB916A6" w14:textId="77777777">
        <w:tc>
          <w:tcPr>
            <w:tcW w:w="1239" w:type="dxa"/>
          </w:tcPr>
          <w:p w14:paraId="68794979" w14:textId="77777777" w:rsidR="00AE4EA7" w:rsidRPr="004C1658" w:rsidRDefault="00000000">
            <w:pPr>
              <w:widowControl w:val="0"/>
              <w:spacing w:after="0" w:line="240" w:lineRule="auto"/>
              <w:rPr>
                <w:rFonts w:ascii="Calibri" w:eastAsia="Calibri" w:hAnsi="Calibri"/>
              </w:rPr>
            </w:pPr>
            <w:r w:rsidRPr="004C1658">
              <w:rPr>
                <w:rFonts w:eastAsia="Calibri"/>
              </w:rPr>
              <w:t>StGB</w:t>
            </w:r>
          </w:p>
        </w:tc>
        <w:tc>
          <w:tcPr>
            <w:tcW w:w="7972" w:type="dxa"/>
          </w:tcPr>
          <w:p w14:paraId="10049AF3" w14:textId="77777777" w:rsidR="00AE4EA7" w:rsidRDefault="00000000">
            <w:pPr>
              <w:widowControl w:val="0"/>
              <w:spacing w:after="0" w:line="240" w:lineRule="auto"/>
              <w:rPr>
                <w:rFonts w:ascii="Calibri" w:eastAsia="Calibri" w:hAnsi="Calibri"/>
              </w:rPr>
            </w:pPr>
            <w:r w:rsidRPr="004C1658">
              <w:rPr>
                <w:rFonts w:eastAsia="Calibri"/>
              </w:rPr>
              <w:t>Strafgeset</w:t>
            </w:r>
            <w:r>
              <w:rPr>
                <w:rFonts w:eastAsia="Calibri"/>
              </w:rPr>
              <w:t>zbuch</w:t>
            </w:r>
          </w:p>
        </w:tc>
      </w:tr>
      <w:tr w:rsidR="00AE4EA7" w14:paraId="2C992507" w14:textId="77777777">
        <w:tc>
          <w:tcPr>
            <w:tcW w:w="1239" w:type="dxa"/>
          </w:tcPr>
          <w:p w14:paraId="26A6A4E4" w14:textId="77777777" w:rsidR="00AE4EA7" w:rsidRDefault="00000000">
            <w:pPr>
              <w:widowControl w:val="0"/>
              <w:spacing w:after="0" w:line="240" w:lineRule="auto"/>
              <w:rPr>
                <w:rFonts w:ascii="Calibri" w:eastAsia="Calibri" w:hAnsi="Calibri"/>
              </w:rPr>
            </w:pPr>
            <w:r>
              <w:rPr>
                <w:rFonts w:eastAsia="Calibri"/>
              </w:rPr>
              <w:t>StPO</w:t>
            </w:r>
          </w:p>
        </w:tc>
        <w:tc>
          <w:tcPr>
            <w:tcW w:w="7972" w:type="dxa"/>
          </w:tcPr>
          <w:p w14:paraId="62107659" w14:textId="77777777" w:rsidR="00AE4EA7" w:rsidRDefault="00000000">
            <w:pPr>
              <w:widowControl w:val="0"/>
              <w:spacing w:after="0" w:line="240" w:lineRule="auto"/>
              <w:rPr>
                <w:rFonts w:ascii="Calibri" w:eastAsia="Calibri" w:hAnsi="Calibri"/>
              </w:rPr>
            </w:pPr>
            <w:r w:rsidRPr="004832F9">
              <w:rPr>
                <w:rFonts w:eastAsia="Calibri"/>
              </w:rPr>
              <w:t>Strafprozeßordnung</w:t>
            </w:r>
          </w:p>
        </w:tc>
      </w:tr>
      <w:tr w:rsidR="00AE4EA7" w:rsidRPr="008444FB" w14:paraId="746C704D" w14:textId="77777777">
        <w:tc>
          <w:tcPr>
            <w:tcW w:w="1239" w:type="dxa"/>
          </w:tcPr>
          <w:p w14:paraId="0A2E3837" w14:textId="77777777" w:rsidR="00AE4EA7" w:rsidRDefault="00000000">
            <w:pPr>
              <w:widowControl w:val="0"/>
              <w:spacing w:after="0" w:line="240" w:lineRule="auto"/>
              <w:rPr>
                <w:rFonts w:ascii="Calibri" w:eastAsia="Calibri" w:hAnsi="Calibri"/>
              </w:rPr>
            </w:pPr>
            <w:r w:rsidRPr="004832F9">
              <w:rPr>
                <w:rFonts w:eastAsia="Calibri"/>
              </w:rPr>
              <w:t>StudyUID</w:t>
            </w:r>
          </w:p>
        </w:tc>
        <w:tc>
          <w:tcPr>
            <w:tcW w:w="7972" w:type="dxa"/>
          </w:tcPr>
          <w:p w14:paraId="2A2F5213" w14:textId="77777777" w:rsidR="00AE4EA7" w:rsidRPr="008444FB" w:rsidRDefault="00000000">
            <w:pPr>
              <w:widowControl w:val="0"/>
              <w:spacing w:after="0" w:line="240" w:lineRule="auto"/>
              <w:rPr>
                <w:rFonts w:eastAsiaTheme="majorEastAsia"/>
                <w:lang w:val="en-US"/>
              </w:rPr>
            </w:pPr>
            <w:r w:rsidRPr="007A1A5F">
              <w:rPr>
                <w:rFonts w:eastAsiaTheme="majorEastAsia"/>
                <w:lang w:val="en-US"/>
              </w:rPr>
              <w:t>Study Unique Identifiers</w:t>
            </w:r>
            <w:r w:rsidRPr="008444FB">
              <w:rPr>
                <w:rFonts w:eastAsiaTheme="majorEastAsia"/>
                <w:lang w:val="en-US"/>
              </w:rPr>
              <w:t xml:space="preserve"> (Untersuchungs-UID)</w:t>
            </w:r>
          </w:p>
        </w:tc>
      </w:tr>
      <w:tr w:rsidR="00AE4EA7" w14:paraId="72DE19B9" w14:textId="77777777">
        <w:tc>
          <w:tcPr>
            <w:tcW w:w="1239" w:type="dxa"/>
          </w:tcPr>
          <w:p w14:paraId="7F1D2C29" w14:textId="77777777" w:rsidR="00AE4EA7" w:rsidRDefault="00000000">
            <w:pPr>
              <w:widowControl w:val="0"/>
              <w:spacing w:after="0" w:line="240" w:lineRule="auto"/>
              <w:rPr>
                <w:rFonts w:ascii="Calibri" w:eastAsia="Calibri" w:hAnsi="Calibri"/>
              </w:rPr>
            </w:pPr>
            <w:r>
              <w:rPr>
                <w:rFonts w:eastAsia="Calibri"/>
              </w:rPr>
              <w:t>TAN</w:t>
            </w:r>
          </w:p>
        </w:tc>
        <w:tc>
          <w:tcPr>
            <w:tcW w:w="7972" w:type="dxa"/>
          </w:tcPr>
          <w:p w14:paraId="1D341A35" w14:textId="77777777" w:rsidR="00AE4EA7" w:rsidRDefault="00000000">
            <w:pPr>
              <w:widowControl w:val="0"/>
              <w:spacing w:after="0" w:line="240" w:lineRule="auto"/>
              <w:rPr>
                <w:rFonts w:eastAsiaTheme="majorEastAsia"/>
              </w:rPr>
            </w:pPr>
            <w:r>
              <w:rPr>
                <w:rFonts w:eastAsiaTheme="majorEastAsia"/>
              </w:rPr>
              <w:t>Transaktionsnummer</w:t>
            </w:r>
          </w:p>
        </w:tc>
      </w:tr>
      <w:tr w:rsidR="008D0D01" w14:paraId="658297A5" w14:textId="77777777">
        <w:tc>
          <w:tcPr>
            <w:tcW w:w="1239" w:type="dxa"/>
          </w:tcPr>
          <w:p w14:paraId="3F86403B" w14:textId="228F0750" w:rsidR="008D0D01" w:rsidRDefault="008D0D01">
            <w:pPr>
              <w:widowControl w:val="0"/>
              <w:spacing w:after="0" w:line="240" w:lineRule="auto"/>
              <w:rPr>
                <w:rFonts w:eastAsia="Calibri"/>
              </w:rPr>
            </w:pPr>
            <w:r w:rsidRPr="008D0D01">
              <w:rPr>
                <w:rFonts w:eastAsia="Calibri"/>
              </w:rPr>
              <w:t>Unterabs.</w:t>
            </w:r>
          </w:p>
        </w:tc>
        <w:tc>
          <w:tcPr>
            <w:tcW w:w="7972" w:type="dxa"/>
          </w:tcPr>
          <w:p w14:paraId="1C5AE151" w14:textId="01FCD407" w:rsidR="008D0D01" w:rsidRDefault="008D0D01">
            <w:pPr>
              <w:widowControl w:val="0"/>
              <w:spacing w:after="0" w:line="240" w:lineRule="auto"/>
              <w:rPr>
                <w:rFonts w:eastAsiaTheme="majorEastAsia"/>
              </w:rPr>
            </w:pPr>
            <w:r w:rsidRPr="008D0D01">
              <w:rPr>
                <w:rFonts w:eastAsiaTheme="majorEastAsia"/>
              </w:rPr>
              <w:t>Unterabs</w:t>
            </w:r>
            <w:r>
              <w:rPr>
                <w:rFonts w:eastAsiaTheme="majorEastAsia"/>
              </w:rPr>
              <w:t>atz</w:t>
            </w:r>
          </w:p>
        </w:tc>
      </w:tr>
      <w:tr w:rsidR="00AE4EA7" w14:paraId="1A590D1B" w14:textId="77777777">
        <w:tc>
          <w:tcPr>
            <w:tcW w:w="1239" w:type="dxa"/>
          </w:tcPr>
          <w:p w14:paraId="4D8DD06F" w14:textId="77777777" w:rsidR="00AE4EA7" w:rsidRDefault="00000000">
            <w:pPr>
              <w:widowControl w:val="0"/>
              <w:spacing w:after="0" w:line="240" w:lineRule="auto"/>
              <w:rPr>
                <w:rFonts w:ascii="Calibri" w:eastAsia="Calibri" w:hAnsi="Calibri"/>
              </w:rPr>
            </w:pPr>
            <w:r w:rsidRPr="004C1658">
              <w:rPr>
                <w:rFonts w:eastAsia="Calibri"/>
              </w:rPr>
              <w:t>Urt</w:t>
            </w:r>
            <w:r>
              <w:rPr>
                <w:rFonts w:eastAsia="Calibri"/>
              </w:rPr>
              <w:t>.</w:t>
            </w:r>
          </w:p>
        </w:tc>
        <w:tc>
          <w:tcPr>
            <w:tcW w:w="7972" w:type="dxa"/>
          </w:tcPr>
          <w:p w14:paraId="54820079" w14:textId="77777777" w:rsidR="00AE4EA7" w:rsidRDefault="00000000">
            <w:pPr>
              <w:widowControl w:val="0"/>
              <w:spacing w:after="0" w:line="240" w:lineRule="auto"/>
              <w:rPr>
                <w:rFonts w:eastAsiaTheme="majorEastAsia"/>
              </w:rPr>
            </w:pPr>
            <w:r>
              <w:t>Urteil</w:t>
            </w:r>
          </w:p>
        </w:tc>
      </w:tr>
      <w:tr w:rsidR="0077385B" w14:paraId="04661E9D" w14:textId="77777777">
        <w:tc>
          <w:tcPr>
            <w:tcW w:w="1239" w:type="dxa"/>
          </w:tcPr>
          <w:p w14:paraId="46726172" w14:textId="5BF93B0E" w:rsidR="0077385B" w:rsidRPr="004C1658" w:rsidRDefault="0077385B">
            <w:pPr>
              <w:widowControl w:val="0"/>
              <w:spacing w:after="0" w:line="240" w:lineRule="auto"/>
              <w:rPr>
                <w:rFonts w:eastAsia="Calibri"/>
              </w:rPr>
            </w:pPr>
            <w:r w:rsidRPr="004832F9">
              <w:rPr>
                <w:rFonts w:eastAsia="Calibri"/>
              </w:rPr>
              <w:t>u. U.</w:t>
            </w:r>
          </w:p>
        </w:tc>
        <w:tc>
          <w:tcPr>
            <w:tcW w:w="7972" w:type="dxa"/>
          </w:tcPr>
          <w:p w14:paraId="2D111BD9" w14:textId="24B85EAD" w:rsidR="0077385B" w:rsidRDefault="0077385B">
            <w:pPr>
              <w:widowControl w:val="0"/>
              <w:spacing w:after="0" w:line="240" w:lineRule="auto"/>
            </w:pPr>
            <w:r w:rsidRPr="004832F9">
              <w:t>unter</w:t>
            </w:r>
            <w:r>
              <w:t xml:space="preserve"> Umständen</w:t>
            </w:r>
          </w:p>
        </w:tc>
      </w:tr>
      <w:tr w:rsidR="00AE4EA7" w14:paraId="71A1E56C" w14:textId="77777777">
        <w:tc>
          <w:tcPr>
            <w:tcW w:w="1239" w:type="dxa"/>
          </w:tcPr>
          <w:p w14:paraId="655894E8" w14:textId="77777777" w:rsidR="00AE4EA7" w:rsidRDefault="00000000">
            <w:pPr>
              <w:widowControl w:val="0"/>
              <w:spacing w:after="0" w:line="240" w:lineRule="auto"/>
              <w:rPr>
                <w:rFonts w:ascii="Calibri" w:eastAsia="Calibri" w:hAnsi="Calibri"/>
              </w:rPr>
            </w:pPr>
            <w:r w:rsidRPr="004832F9">
              <w:rPr>
                <w:rFonts w:eastAsia="Calibri"/>
              </w:rPr>
              <w:t>vgl</w:t>
            </w:r>
            <w:r>
              <w:rPr>
                <w:rFonts w:eastAsia="Calibri"/>
              </w:rPr>
              <w:t>.</w:t>
            </w:r>
          </w:p>
        </w:tc>
        <w:tc>
          <w:tcPr>
            <w:tcW w:w="7972" w:type="dxa"/>
          </w:tcPr>
          <w:p w14:paraId="125568CB" w14:textId="77777777" w:rsidR="00AE4EA7" w:rsidRDefault="00000000">
            <w:pPr>
              <w:widowControl w:val="0"/>
              <w:spacing w:after="0" w:line="240" w:lineRule="auto"/>
              <w:rPr>
                <w:rFonts w:ascii="Calibri" w:eastAsia="Calibri" w:hAnsi="Calibri"/>
              </w:rPr>
            </w:pPr>
            <w:r w:rsidRPr="004832F9">
              <w:rPr>
                <w:rFonts w:eastAsia="Calibri"/>
              </w:rPr>
              <w:t>vergleiche</w:t>
            </w:r>
          </w:p>
        </w:tc>
      </w:tr>
      <w:tr w:rsidR="00AE4EA7" w14:paraId="7BD482A9" w14:textId="77777777">
        <w:tc>
          <w:tcPr>
            <w:tcW w:w="1239" w:type="dxa"/>
          </w:tcPr>
          <w:p w14:paraId="6AEB4A7B" w14:textId="77777777" w:rsidR="00AE4EA7" w:rsidRDefault="00000000">
            <w:pPr>
              <w:widowControl w:val="0"/>
              <w:spacing w:after="0" w:line="240" w:lineRule="auto"/>
              <w:rPr>
                <w:rFonts w:ascii="Calibri" w:eastAsia="Calibri" w:hAnsi="Calibri"/>
              </w:rPr>
            </w:pPr>
            <w:r>
              <w:rPr>
                <w:rFonts w:eastAsia="Calibri"/>
              </w:rPr>
              <w:t>VO</w:t>
            </w:r>
          </w:p>
        </w:tc>
        <w:tc>
          <w:tcPr>
            <w:tcW w:w="7972" w:type="dxa"/>
          </w:tcPr>
          <w:p w14:paraId="5F954066" w14:textId="77777777" w:rsidR="00AE4EA7" w:rsidRDefault="00000000">
            <w:pPr>
              <w:widowControl w:val="0"/>
              <w:spacing w:after="0" w:line="240" w:lineRule="auto"/>
              <w:rPr>
                <w:rFonts w:ascii="Calibri" w:eastAsia="Calibri" w:hAnsi="Calibri"/>
              </w:rPr>
            </w:pPr>
            <w:r>
              <w:rPr>
                <w:rFonts w:eastAsia="Calibri"/>
              </w:rPr>
              <w:t>Verordnung</w:t>
            </w:r>
          </w:p>
        </w:tc>
      </w:tr>
      <w:tr w:rsidR="00AE4EA7" w14:paraId="63BFA7C9" w14:textId="77777777">
        <w:tc>
          <w:tcPr>
            <w:tcW w:w="1239" w:type="dxa"/>
          </w:tcPr>
          <w:p w14:paraId="22A58608" w14:textId="77777777" w:rsidR="00AE4EA7" w:rsidRDefault="00000000">
            <w:pPr>
              <w:widowControl w:val="0"/>
              <w:spacing w:after="0" w:line="240" w:lineRule="auto"/>
              <w:rPr>
                <w:rFonts w:ascii="Calibri" w:eastAsia="Calibri" w:hAnsi="Calibri"/>
              </w:rPr>
            </w:pPr>
            <w:r w:rsidRPr="004832F9">
              <w:rPr>
                <w:rFonts w:eastAsia="Calibri"/>
              </w:rPr>
              <w:t>Ziff</w:t>
            </w:r>
            <w:r>
              <w:rPr>
                <w:rFonts w:eastAsia="Calibri"/>
              </w:rPr>
              <w:t>.</w:t>
            </w:r>
          </w:p>
        </w:tc>
        <w:tc>
          <w:tcPr>
            <w:tcW w:w="7972" w:type="dxa"/>
          </w:tcPr>
          <w:p w14:paraId="4313A577" w14:textId="77777777" w:rsidR="00AE4EA7" w:rsidRDefault="00000000">
            <w:pPr>
              <w:widowControl w:val="0"/>
              <w:spacing w:after="0" w:line="240" w:lineRule="auto"/>
              <w:rPr>
                <w:rFonts w:ascii="Calibri" w:eastAsia="Calibri" w:hAnsi="Calibri"/>
              </w:rPr>
            </w:pPr>
            <w:r>
              <w:rPr>
                <w:rFonts w:eastAsia="Calibri"/>
              </w:rPr>
              <w:t>Ziffer</w:t>
            </w:r>
          </w:p>
        </w:tc>
      </w:tr>
    </w:tbl>
    <w:p w14:paraId="4A94B6E4" w14:textId="77777777" w:rsidR="00AE4EA7" w:rsidRDefault="00AE4EA7"/>
    <w:p w14:paraId="46391FBF"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1883B0D7" w14:textId="77777777" w:rsidR="00AE4EA7" w:rsidRDefault="00000000">
      <w:pPr>
        <w:pStyle w:val="berschrift1"/>
      </w:pPr>
      <w:bookmarkStart w:id="252" w:name="_Toc154652690"/>
      <w:r>
        <w:t>Glossar</w:t>
      </w:r>
      <w:bookmarkEnd w:id="252"/>
    </w:p>
    <w:p w14:paraId="0B4BCBB4" w14:textId="77777777" w:rsidR="00C9149F" w:rsidRPr="00C9149F" w:rsidRDefault="00C9149F" w:rsidP="00C9149F"/>
    <w:tbl>
      <w:tblPr>
        <w:tblStyle w:val="Tabellenraster"/>
        <w:tblW w:w="9606" w:type="dxa"/>
        <w:tblLayout w:type="fixed"/>
        <w:tblLook w:val="04A0" w:firstRow="1" w:lastRow="0" w:firstColumn="1" w:lastColumn="0" w:noHBand="0" w:noVBand="1"/>
      </w:tblPr>
      <w:tblGrid>
        <w:gridCol w:w="2360"/>
        <w:gridCol w:w="7246"/>
      </w:tblGrid>
      <w:tr w:rsidR="00AE4EA7" w14:paraId="224B99EA" w14:textId="77777777" w:rsidTr="007A1A5F">
        <w:tc>
          <w:tcPr>
            <w:tcW w:w="2360" w:type="dxa"/>
          </w:tcPr>
          <w:p w14:paraId="0F23E267" w14:textId="77777777" w:rsidR="00AE4EA7" w:rsidRDefault="00000000">
            <w:pPr>
              <w:widowControl w:val="0"/>
              <w:spacing w:after="0" w:line="240" w:lineRule="auto"/>
              <w:jc w:val="left"/>
              <w:rPr>
                <w:rFonts w:ascii="Calibri" w:eastAsia="Calibri" w:hAnsi="Calibri"/>
              </w:rPr>
            </w:pPr>
            <w:r>
              <w:rPr>
                <w:rFonts w:eastAsia="Calibri"/>
              </w:rPr>
              <w:t xml:space="preserve">Aggregierte </w:t>
            </w:r>
            <w:r w:rsidRPr="004832F9">
              <w:rPr>
                <w:rFonts w:eastAsia="Calibri"/>
              </w:rPr>
              <w:t>Daten</w:t>
            </w:r>
          </w:p>
        </w:tc>
        <w:tc>
          <w:tcPr>
            <w:tcW w:w="7246" w:type="dxa"/>
          </w:tcPr>
          <w:p w14:paraId="6EB14908" w14:textId="7F7B4B8A" w:rsidR="00AE4EA7" w:rsidRDefault="00000000">
            <w:pPr>
              <w:widowControl w:val="0"/>
              <w:spacing w:after="0" w:line="240" w:lineRule="auto"/>
              <w:rPr>
                <w:rFonts w:ascii="Calibri" w:eastAsia="Calibri" w:hAnsi="Calibri"/>
              </w:rPr>
            </w:pPr>
            <w:r>
              <w:rPr>
                <w:rFonts w:eastAsia="Calibri"/>
              </w:rPr>
              <w:t xml:space="preserve">Zusammenfassung von Einzelwerten zu größeren Einheiten; ein Rückschluss auf die Einzeldaten ist </w:t>
            </w:r>
            <w:r w:rsidRPr="004C1658">
              <w:rPr>
                <w:rFonts w:eastAsia="Calibri"/>
              </w:rPr>
              <w:t>i.</w:t>
            </w:r>
            <w:r w:rsidR="004C1658" w:rsidRPr="004C1658">
              <w:rPr>
                <w:rFonts w:eastAsia="Calibri"/>
              </w:rPr>
              <w:t> </w:t>
            </w:r>
            <w:r w:rsidRPr="004C1658">
              <w:rPr>
                <w:rFonts w:eastAsia="Calibri"/>
              </w:rPr>
              <w:t>d.</w:t>
            </w:r>
            <w:r w:rsidR="004C1658" w:rsidRPr="004C1658">
              <w:rPr>
                <w:rFonts w:eastAsia="Calibri"/>
              </w:rPr>
              <w:t> </w:t>
            </w:r>
            <w:r w:rsidRPr="004C1658">
              <w:rPr>
                <w:rFonts w:eastAsia="Calibri"/>
              </w:rPr>
              <w:t>R.</w:t>
            </w:r>
            <w:r>
              <w:rPr>
                <w:rFonts w:eastAsia="Calibri"/>
              </w:rPr>
              <w:t xml:space="preserve"> nicht mehr </w:t>
            </w:r>
            <w:r w:rsidRPr="004832F9">
              <w:rPr>
                <w:rFonts w:eastAsia="Calibri"/>
              </w:rPr>
              <w:t>möglich</w:t>
            </w:r>
          </w:p>
        </w:tc>
      </w:tr>
      <w:tr w:rsidR="00AE4EA7" w14:paraId="5985D7ED" w14:textId="77777777" w:rsidTr="007A1A5F">
        <w:tc>
          <w:tcPr>
            <w:tcW w:w="2360" w:type="dxa"/>
          </w:tcPr>
          <w:p w14:paraId="495C6FF6" w14:textId="77777777" w:rsidR="00AE4EA7" w:rsidRDefault="00000000">
            <w:pPr>
              <w:widowControl w:val="0"/>
              <w:spacing w:after="0" w:line="240" w:lineRule="auto"/>
              <w:jc w:val="left"/>
              <w:rPr>
                <w:rFonts w:ascii="Calibri" w:eastAsia="Calibri" w:hAnsi="Calibri"/>
              </w:rPr>
            </w:pPr>
            <w:r>
              <w:rPr>
                <w:rFonts w:eastAsia="Calibri"/>
              </w:rPr>
              <w:t xml:space="preserve">Anonymisierte </w:t>
            </w:r>
            <w:r w:rsidRPr="004832F9">
              <w:rPr>
                <w:rFonts w:eastAsia="Calibri"/>
              </w:rPr>
              <w:t>Daten</w:t>
            </w:r>
          </w:p>
        </w:tc>
        <w:tc>
          <w:tcPr>
            <w:tcW w:w="7246" w:type="dxa"/>
          </w:tcPr>
          <w:p w14:paraId="7A4014EB" w14:textId="77777777" w:rsidR="00AE4EA7" w:rsidRDefault="00000000">
            <w:pPr>
              <w:widowControl w:val="0"/>
              <w:spacing w:after="0" w:line="240" w:lineRule="auto"/>
              <w:rPr>
                <w:rFonts w:ascii="Calibri" w:eastAsia="Calibri" w:hAnsi="Calibri"/>
              </w:rPr>
            </w:pPr>
            <w:r>
              <w:rPr>
                <w:rFonts w:eastAsia="Calibri"/>
              </w:rPr>
              <w:t xml:space="preserve">Daten, die als Ergebnis eines Anonymisierungsprozesses erzeugt </w:t>
            </w:r>
            <w:r w:rsidRPr="004832F9">
              <w:rPr>
                <w:rFonts w:eastAsia="Calibri"/>
              </w:rPr>
              <w:t>wurden</w:t>
            </w:r>
          </w:p>
          <w:p w14:paraId="076F7270" w14:textId="77777777" w:rsidR="00AE4EA7" w:rsidRDefault="00000000">
            <w:pPr>
              <w:widowControl w:val="0"/>
              <w:spacing w:after="0" w:line="240" w:lineRule="auto"/>
              <w:rPr>
                <w:rFonts w:ascii="Calibri" w:eastAsia="Calibri" w:hAnsi="Calibri"/>
              </w:rPr>
            </w:pPr>
            <w:r>
              <w:rPr>
                <w:rFonts w:eastAsia="Calibri"/>
              </w:rPr>
              <w:t>(Quelle: DIN EN ISO 25237)</w:t>
            </w:r>
          </w:p>
        </w:tc>
      </w:tr>
      <w:tr w:rsidR="00AE4EA7" w14:paraId="6B9603F8" w14:textId="77777777" w:rsidTr="007A1A5F">
        <w:tc>
          <w:tcPr>
            <w:tcW w:w="2360" w:type="dxa"/>
          </w:tcPr>
          <w:p w14:paraId="7EB98380" w14:textId="77777777" w:rsidR="00AE4EA7" w:rsidRDefault="00000000">
            <w:pPr>
              <w:widowControl w:val="0"/>
              <w:spacing w:after="0" w:line="240" w:lineRule="auto"/>
              <w:jc w:val="left"/>
              <w:rPr>
                <w:rFonts w:ascii="Calibri" w:eastAsia="Calibri" w:hAnsi="Calibri"/>
              </w:rPr>
            </w:pPr>
            <w:r>
              <w:rPr>
                <w:rFonts w:eastAsia="Calibri"/>
              </w:rPr>
              <w:t>Anonymisierung</w:t>
            </w:r>
          </w:p>
        </w:tc>
        <w:tc>
          <w:tcPr>
            <w:tcW w:w="7246" w:type="dxa"/>
          </w:tcPr>
          <w:p w14:paraId="2DF6AEA0" w14:textId="4D0E3FAE" w:rsidR="00AE4EA7" w:rsidRDefault="00000000">
            <w:pPr>
              <w:widowControl w:val="0"/>
              <w:spacing w:after="0" w:line="240" w:lineRule="auto"/>
              <w:rPr>
                <w:rFonts w:ascii="Calibri" w:eastAsia="Calibri" w:hAnsi="Calibri"/>
              </w:rPr>
            </w:pPr>
            <w:r>
              <w:rPr>
                <w:rFonts w:eastAsia="Calibri"/>
              </w:rPr>
              <w:t xml:space="preserve">Prozess, in dessen Verlauf Dokumente in anonyme Dokumente umgewandelt werden, die sich nicht auf eine identifizierte oder identifizierbare natürliche Person beziehen, oder personenbezogene Daten so anonym gemacht werden, dass die betroffene Person nicht oder nicht mehr identifiziert werden kann (Quelle: </w:t>
            </w:r>
            <w:r w:rsidR="00723031">
              <w:rPr>
                <w:rFonts w:eastAsia="Calibri"/>
              </w:rPr>
              <w:t xml:space="preserve">Art. 2 </w:t>
            </w:r>
            <w:r w:rsidR="00723031" w:rsidRPr="004832F9">
              <w:rPr>
                <w:rFonts w:eastAsia="Calibri"/>
              </w:rPr>
              <w:t>Ziff</w:t>
            </w:r>
            <w:r w:rsidR="00723031">
              <w:rPr>
                <w:rFonts w:eastAsia="Calibri"/>
              </w:rPr>
              <w:t>. 7 der Richtlinie (EU) 2019/1024</w:t>
            </w:r>
            <w:r w:rsidRPr="004832F9">
              <w:rPr>
                <w:rFonts w:eastAsia="Calibri"/>
              </w:rPr>
              <w:t>)</w:t>
            </w:r>
          </w:p>
        </w:tc>
      </w:tr>
      <w:tr w:rsidR="008444FB" w14:paraId="7D736E00" w14:textId="77777777" w:rsidTr="007A1A5F">
        <w:tc>
          <w:tcPr>
            <w:tcW w:w="2360" w:type="dxa"/>
          </w:tcPr>
          <w:p w14:paraId="7BC56C1C" w14:textId="2BC08C12" w:rsidR="008444FB" w:rsidRDefault="008444FB">
            <w:pPr>
              <w:widowControl w:val="0"/>
              <w:spacing w:after="0" w:line="240" w:lineRule="auto"/>
              <w:jc w:val="left"/>
              <w:rPr>
                <w:rFonts w:eastAsia="Calibri"/>
              </w:rPr>
            </w:pPr>
            <w:r w:rsidRPr="008444FB">
              <w:rPr>
                <w:rFonts w:eastAsia="Calibri"/>
              </w:rPr>
              <w:t>Anonymität</w:t>
            </w:r>
          </w:p>
        </w:tc>
        <w:tc>
          <w:tcPr>
            <w:tcW w:w="7246" w:type="dxa"/>
          </w:tcPr>
          <w:p w14:paraId="3B5C4551" w14:textId="77777777" w:rsidR="008444FB" w:rsidRPr="008444FB" w:rsidRDefault="008444FB" w:rsidP="008444FB">
            <w:pPr>
              <w:widowControl w:val="0"/>
              <w:spacing w:after="0" w:line="240" w:lineRule="auto"/>
              <w:rPr>
                <w:rFonts w:eastAsia="Calibri"/>
              </w:rPr>
            </w:pPr>
            <w:r w:rsidRPr="008444FB">
              <w:rPr>
                <w:rFonts w:eastAsia="Calibri"/>
              </w:rPr>
              <w:t xml:space="preserve">Merkmale von Informationen, die eine direkte oder indirekte Identifizierung des Betroffenen nicht </w:t>
            </w:r>
            <w:r w:rsidRPr="004832F9">
              <w:rPr>
                <w:rFonts w:eastAsia="Calibri"/>
              </w:rPr>
              <w:t>zulassen</w:t>
            </w:r>
          </w:p>
          <w:p w14:paraId="5FD159EB" w14:textId="23F24945" w:rsidR="008444FB" w:rsidRDefault="008444FB" w:rsidP="008444FB">
            <w:pPr>
              <w:widowControl w:val="0"/>
              <w:spacing w:after="0" w:line="240" w:lineRule="auto"/>
              <w:rPr>
                <w:rFonts w:eastAsia="Calibri"/>
              </w:rPr>
            </w:pPr>
            <w:r>
              <w:rPr>
                <w:rFonts w:eastAsia="Calibri"/>
              </w:rPr>
              <w:t>(</w:t>
            </w:r>
            <w:r w:rsidRPr="008444FB">
              <w:rPr>
                <w:rFonts w:eastAsia="Calibri"/>
              </w:rPr>
              <w:t>Quelle: ISO/IEC 29100:2011</w:t>
            </w:r>
            <w:r>
              <w:rPr>
                <w:rFonts w:eastAsia="Calibri"/>
              </w:rPr>
              <w:t>)</w:t>
            </w:r>
          </w:p>
        </w:tc>
      </w:tr>
      <w:tr w:rsidR="00AE4EA7" w14:paraId="0081387D" w14:textId="77777777" w:rsidTr="007A1A5F">
        <w:tc>
          <w:tcPr>
            <w:tcW w:w="2360" w:type="dxa"/>
          </w:tcPr>
          <w:p w14:paraId="752324BF" w14:textId="77777777" w:rsidR="00AE4EA7" w:rsidRDefault="00000000">
            <w:pPr>
              <w:widowControl w:val="0"/>
              <w:spacing w:after="0" w:line="240" w:lineRule="auto"/>
              <w:jc w:val="left"/>
              <w:rPr>
                <w:rFonts w:ascii="Calibri" w:eastAsia="Calibri" w:hAnsi="Calibri"/>
              </w:rPr>
            </w:pPr>
            <w:r>
              <w:rPr>
                <w:rFonts w:eastAsia="Calibri"/>
              </w:rPr>
              <w:t>Auftragsverarbeiter</w:t>
            </w:r>
          </w:p>
        </w:tc>
        <w:tc>
          <w:tcPr>
            <w:tcW w:w="7246" w:type="dxa"/>
          </w:tcPr>
          <w:p w14:paraId="6045A3B4" w14:textId="77777777" w:rsidR="00AE4EA7" w:rsidRDefault="00000000">
            <w:pPr>
              <w:widowControl w:val="0"/>
              <w:spacing w:after="0" w:line="240" w:lineRule="auto"/>
            </w:pPr>
            <w:r>
              <w:rPr>
                <w:rFonts w:eastAsia="Calibri"/>
              </w:rPr>
              <w:t>„</w:t>
            </w:r>
            <w:r>
              <w:rPr>
                <w:rFonts w:ascii="Symbol" w:eastAsia="Symbol" w:hAnsi="Symbol" w:cs="Symbol"/>
              </w:rPr>
              <w:t></w:t>
            </w:r>
            <w:r>
              <w:rPr>
                <w:rFonts w:eastAsia="Calibri"/>
              </w:rPr>
              <w:t>Auftragsverarbeiter</w:t>
            </w:r>
            <w:r>
              <w:rPr>
                <w:rFonts w:ascii="Symbol" w:eastAsia="Symbol" w:hAnsi="Symbol" w:cs="Symbol"/>
              </w:rPr>
              <w:t></w:t>
            </w:r>
            <w:r>
              <w:rPr>
                <w:rFonts w:eastAsia="Calibri"/>
              </w:rPr>
              <w:t xml:space="preserve"> </w:t>
            </w:r>
            <w:r w:rsidRPr="004832F9">
              <w:rPr>
                <w:rFonts w:eastAsia="Calibri"/>
              </w:rPr>
              <w:t>eine</w:t>
            </w:r>
            <w:r>
              <w:rPr>
                <w:rFonts w:eastAsia="Calibri"/>
              </w:rPr>
              <w:t xml:space="preserve"> natürliche oder juristische Person, Behörde, Einrichtung oder andere Stelle, die personenbezogene Daten im Auftrag des Verantwortlichen verarbeitet</w:t>
            </w:r>
            <w:r w:rsidRPr="004832F9">
              <w:rPr>
                <w:rFonts w:eastAsia="Calibri"/>
              </w:rPr>
              <w:t>“</w:t>
            </w:r>
          </w:p>
          <w:p w14:paraId="6AA61504" w14:textId="77777777" w:rsidR="00AE4EA7" w:rsidRDefault="00000000">
            <w:pPr>
              <w:widowControl w:val="0"/>
              <w:spacing w:after="0" w:line="240" w:lineRule="auto"/>
              <w:rPr>
                <w:rFonts w:ascii="Calibri" w:eastAsia="Calibri" w:hAnsi="Calibri"/>
              </w:rPr>
            </w:pPr>
            <w:r>
              <w:rPr>
                <w:rFonts w:eastAsia="Calibri"/>
              </w:rPr>
              <w:t xml:space="preserve">(Quelle: Art. 4 </w:t>
            </w:r>
            <w:r w:rsidRPr="004832F9">
              <w:rPr>
                <w:rFonts w:eastAsia="Calibri"/>
              </w:rPr>
              <w:t>Ziff</w:t>
            </w:r>
            <w:r>
              <w:rPr>
                <w:rFonts w:eastAsia="Calibri"/>
              </w:rPr>
              <w:t>. 8 DS-GVO)</w:t>
            </w:r>
          </w:p>
        </w:tc>
      </w:tr>
      <w:tr w:rsidR="00AE4EA7" w14:paraId="2759968B" w14:textId="77777777" w:rsidTr="007A1A5F">
        <w:tc>
          <w:tcPr>
            <w:tcW w:w="2360" w:type="dxa"/>
          </w:tcPr>
          <w:p w14:paraId="7860B473" w14:textId="77777777" w:rsidR="00AE4EA7" w:rsidRDefault="00000000">
            <w:pPr>
              <w:widowControl w:val="0"/>
              <w:spacing w:after="0" w:line="240" w:lineRule="auto"/>
              <w:jc w:val="left"/>
              <w:rPr>
                <w:rFonts w:ascii="Calibri" w:eastAsia="Calibri" w:hAnsi="Calibri"/>
              </w:rPr>
            </w:pPr>
            <w:r>
              <w:rPr>
                <w:rFonts w:eastAsia="Calibri"/>
              </w:rPr>
              <w:t>Automatische Verarbeitung</w:t>
            </w:r>
          </w:p>
        </w:tc>
        <w:tc>
          <w:tcPr>
            <w:tcW w:w="7246" w:type="dxa"/>
          </w:tcPr>
          <w:p w14:paraId="30F7A3F4" w14:textId="77777777" w:rsidR="00AE4EA7" w:rsidRDefault="00000000">
            <w:pPr>
              <w:widowControl w:val="0"/>
              <w:spacing w:after="0" w:line="240" w:lineRule="auto"/>
              <w:rPr>
                <w:rFonts w:ascii="Calibri" w:eastAsia="Calibri" w:hAnsi="Calibri"/>
              </w:rPr>
            </w:pPr>
            <w:r>
              <w:rPr>
                <w:rFonts w:eastAsia="Calibri"/>
              </w:rPr>
              <w:t xml:space="preserve">Verarbeitung unter Nutzung von EDV; also z. B. Word- oder Excel-Datei, aber auch KIS, </w:t>
            </w:r>
            <w:r w:rsidRPr="004832F9">
              <w:rPr>
                <w:rFonts w:eastAsia="Calibri"/>
              </w:rPr>
              <w:t>RIS</w:t>
            </w:r>
            <w:r>
              <w:rPr>
                <w:rFonts w:eastAsia="Calibri"/>
              </w:rPr>
              <w:t xml:space="preserve">, </w:t>
            </w:r>
            <w:r w:rsidRPr="004832F9">
              <w:rPr>
                <w:rFonts w:eastAsia="Calibri"/>
              </w:rPr>
              <w:t>PACS</w:t>
            </w:r>
            <w:r>
              <w:rPr>
                <w:rFonts w:eastAsia="Calibri"/>
              </w:rPr>
              <w:t xml:space="preserve">, unabhängig ob Client-Server-Lösung oder Stand-alone PC, Tablet oder anderweitige Hardware genutzt </w:t>
            </w:r>
            <w:r w:rsidRPr="004832F9">
              <w:rPr>
                <w:rFonts w:eastAsia="Calibri"/>
              </w:rPr>
              <w:t>wird</w:t>
            </w:r>
          </w:p>
        </w:tc>
      </w:tr>
      <w:tr w:rsidR="00AE4EA7" w14:paraId="50349F89" w14:textId="77777777" w:rsidTr="007A1A5F">
        <w:tc>
          <w:tcPr>
            <w:tcW w:w="2360" w:type="dxa"/>
          </w:tcPr>
          <w:p w14:paraId="32F1103D" w14:textId="77777777" w:rsidR="00AE4EA7" w:rsidRDefault="00000000">
            <w:pPr>
              <w:widowControl w:val="0"/>
              <w:spacing w:after="0" w:line="240" w:lineRule="auto"/>
              <w:jc w:val="left"/>
              <w:rPr>
                <w:rFonts w:ascii="Calibri" w:eastAsia="Calibri" w:hAnsi="Calibri"/>
              </w:rPr>
            </w:pPr>
            <w:r>
              <w:rPr>
                <w:rFonts w:eastAsia="Calibri"/>
              </w:rPr>
              <w:t>Betroffener/betroffene Person</w:t>
            </w:r>
          </w:p>
        </w:tc>
        <w:tc>
          <w:tcPr>
            <w:tcW w:w="7246" w:type="dxa"/>
          </w:tcPr>
          <w:p w14:paraId="6508C169" w14:textId="77777777" w:rsidR="00AE4EA7" w:rsidRDefault="00000000">
            <w:pPr>
              <w:widowControl w:val="0"/>
              <w:spacing w:after="0" w:line="240" w:lineRule="auto"/>
              <w:rPr>
                <w:rFonts w:ascii="Calibri" w:eastAsia="Calibri" w:hAnsi="Calibri"/>
              </w:rPr>
            </w:pPr>
            <w:r>
              <w:rPr>
                <w:rFonts w:eastAsia="Calibri"/>
              </w:rPr>
              <w:t>Genau genommen „betroffene Person“, in der Literatur aber häufig als "Betroffener" aufgeführt;</w:t>
            </w:r>
          </w:p>
          <w:p w14:paraId="1BF0BD67" w14:textId="0826CD6E" w:rsidR="00AE4EA7" w:rsidRDefault="00000000">
            <w:pPr>
              <w:widowControl w:val="0"/>
              <w:spacing w:after="0" w:line="240" w:lineRule="auto"/>
            </w:pPr>
            <w:r>
              <w:rPr>
                <w:rFonts w:eastAsia="Calibri"/>
              </w:rPr>
              <w:t>„</w:t>
            </w:r>
            <w:r>
              <w:rPr>
                <w:rFonts w:ascii="Symbol" w:eastAsia="Symbol" w:hAnsi="Symbol" w:cs="Symbol"/>
              </w:rPr>
              <w:t></w:t>
            </w:r>
            <w:r>
              <w:rPr>
                <w:rFonts w:eastAsia="Calibri"/>
              </w:rPr>
              <w:t>Personenbezogene Daten</w:t>
            </w:r>
            <w:r>
              <w:rPr>
                <w:rFonts w:ascii="Symbol" w:eastAsia="Symbol" w:hAnsi="Symbol" w:cs="Symbol"/>
              </w:rPr>
              <w:t></w:t>
            </w:r>
            <w:r>
              <w:rPr>
                <w:rFonts w:eastAsia="Calibri"/>
              </w:rPr>
              <w:t xml:space="preserve"> </w:t>
            </w:r>
            <w:r w:rsidRPr="004832F9">
              <w:rPr>
                <w:rFonts w:eastAsia="Calibri"/>
              </w:rPr>
              <w:t>alle</w:t>
            </w:r>
            <w:r>
              <w:rPr>
                <w:rFonts w:eastAsia="Calibri"/>
              </w:rPr>
              <w:t xml:space="preserve"> Informationen, die sich auf eine identifizierte oder identifizierbare natürliche Person (im Folgenden „betroffene Person“) beziehen; als identifizierbar wird eine natürliche Person angesehen, die direkt oder indirekt, insbesondere mittels Zuordnung zu einer Kennung wie einem Namen, zu einer Kennnummer, zu Standortdaten, zu einer Online-Kennung oder zu einem oder mehreren besonderen Merkmalen, die Ausdruck der physischen, physiologischen, genetischen, psychischen, wirtschaftlichen, kulturellen oder sozialen Identität dieser natürlichen Person sind, identifiziert werden kann</w:t>
            </w:r>
            <w:r w:rsidRPr="004832F9">
              <w:rPr>
                <w:rFonts w:eastAsia="Calibri"/>
              </w:rPr>
              <w:t>“</w:t>
            </w:r>
          </w:p>
          <w:p w14:paraId="7D9ECD3D" w14:textId="77777777" w:rsidR="00AE4EA7" w:rsidRDefault="00000000">
            <w:pPr>
              <w:widowControl w:val="0"/>
              <w:spacing w:after="0" w:line="240" w:lineRule="auto"/>
              <w:rPr>
                <w:rFonts w:ascii="Calibri" w:eastAsia="Calibri" w:hAnsi="Calibri"/>
              </w:rPr>
            </w:pPr>
            <w:r>
              <w:rPr>
                <w:rFonts w:eastAsia="Calibri"/>
              </w:rPr>
              <w:t xml:space="preserve">(Quelle: Art. 4 </w:t>
            </w:r>
            <w:r w:rsidRPr="004832F9">
              <w:rPr>
                <w:rFonts w:eastAsia="Calibri"/>
              </w:rPr>
              <w:t>Ziff</w:t>
            </w:r>
            <w:r>
              <w:rPr>
                <w:rFonts w:eastAsia="Calibri"/>
              </w:rPr>
              <w:t>. 1 DS-GVO)</w:t>
            </w:r>
          </w:p>
        </w:tc>
      </w:tr>
      <w:tr w:rsidR="00AE4EA7" w14:paraId="18F19854" w14:textId="77777777" w:rsidTr="007A1A5F">
        <w:tc>
          <w:tcPr>
            <w:tcW w:w="2360" w:type="dxa"/>
          </w:tcPr>
          <w:p w14:paraId="0DD926B6" w14:textId="77777777" w:rsidR="00AE4EA7" w:rsidRDefault="00000000">
            <w:pPr>
              <w:widowControl w:val="0"/>
              <w:spacing w:after="0" w:line="240" w:lineRule="auto"/>
              <w:jc w:val="left"/>
              <w:rPr>
                <w:rFonts w:ascii="Calibri" w:eastAsia="Calibri" w:hAnsi="Calibri"/>
              </w:rPr>
            </w:pPr>
            <w:r>
              <w:rPr>
                <w:rFonts w:eastAsia="Calibri"/>
              </w:rPr>
              <w:t xml:space="preserve">Data </w:t>
            </w:r>
            <w:r w:rsidRPr="004832F9">
              <w:rPr>
                <w:rFonts w:eastAsia="Calibri"/>
              </w:rPr>
              <w:t>linkage</w:t>
            </w:r>
          </w:p>
        </w:tc>
        <w:tc>
          <w:tcPr>
            <w:tcW w:w="7246" w:type="dxa"/>
          </w:tcPr>
          <w:p w14:paraId="5EAEC2B9" w14:textId="77777777" w:rsidR="00AE4EA7" w:rsidRDefault="00000000">
            <w:pPr>
              <w:widowControl w:val="0"/>
              <w:spacing w:after="0" w:line="240" w:lineRule="auto"/>
              <w:rPr>
                <w:rFonts w:ascii="Calibri" w:eastAsia="Calibri" w:hAnsi="Calibri"/>
              </w:rPr>
            </w:pPr>
            <w:r>
              <w:rPr>
                <w:rFonts w:eastAsia="Calibri"/>
              </w:rPr>
              <w:t>Abgleich und Zusammenführung von Daten aus mehreren Datenbanken</w:t>
            </w:r>
          </w:p>
          <w:p w14:paraId="71710C4B" w14:textId="77777777" w:rsidR="00AE4EA7" w:rsidRDefault="00000000">
            <w:pPr>
              <w:widowControl w:val="0"/>
              <w:spacing w:after="0" w:line="240" w:lineRule="auto"/>
              <w:rPr>
                <w:rFonts w:ascii="Calibri" w:eastAsia="Calibri" w:hAnsi="Calibri"/>
              </w:rPr>
            </w:pPr>
            <w:r>
              <w:rPr>
                <w:rFonts w:eastAsia="Calibri"/>
              </w:rPr>
              <w:t>(Quelle: DIN EN ISO 25237)</w:t>
            </w:r>
          </w:p>
        </w:tc>
      </w:tr>
      <w:tr w:rsidR="00AE4EA7" w14:paraId="3F175FCE" w14:textId="77777777" w:rsidTr="007A1A5F">
        <w:tc>
          <w:tcPr>
            <w:tcW w:w="2360" w:type="dxa"/>
          </w:tcPr>
          <w:p w14:paraId="076D8465" w14:textId="77777777" w:rsidR="00AE4EA7" w:rsidRDefault="00000000">
            <w:pPr>
              <w:widowControl w:val="0"/>
              <w:spacing w:after="0" w:line="240" w:lineRule="auto"/>
              <w:jc w:val="left"/>
              <w:rPr>
                <w:rFonts w:ascii="Calibri" w:eastAsia="Calibri" w:hAnsi="Calibri"/>
              </w:rPr>
            </w:pPr>
            <w:r>
              <w:rPr>
                <w:rFonts w:eastAsia="Calibri"/>
              </w:rPr>
              <w:t>Datenverknüpfung</w:t>
            </w:r>
          </w:p>
        </w:tc>
        <w:tc>
          <w:tcPr>
            <w:tcW w:w="7246" w:type="dxa"/>
          </w:tcPr>
          <w:p w14:paraId="0F7CBACF" w14:textId="77777777" w:rsidR="00AE4EA7" w:rsidRDefault="00000000">
            <w:pPr>
              <w:widowControl w:val="0"/>
              <w:spacing w:after="0" w:line="240" w:lineRule="auto"/>
              <w:rPr>
                <w:rFonts w:ascii="Calibri" w:eastAsia="Calibri" w:hAnsi="Calibri"/>
              </w:rPr>
            </w:pPr>
            <w:r>
              <w:rPr>
                <w:rFonts w:eastAsia="Calibri"/>
              </w:rPr>
              <w:t xml:space="preserve">Siehe „Data </w:t>
            </w:r>
            <w:r w:rsidRPr="004832F9">
              <w:rPr>
                <w:rFonts w:eastAsia="Calibri"/>
              </w:rPr>
              <w:t>linkage“</w:t>
            </w:r>
          </w:p>
        </w:tc>
      </w:tr>
      <w:tr w:rsidR="00AE4EA7" w14:paraId="0EA0323D" w14:textId="77777777" w:rsidTr="007A1A5F">
        <w:tc>
          <w:tcPr>
            <w:tcW w:w="2360" w:type="dxa"/>
          </w:tcPr>
          <w:p w14:paraId="7EC33C0C" w14:textId="77777777" w:rsidR="00AE4EA7" w:rsidRDefault="00000000">
            <w:pPr>
              <w:widowControl w:val="0"/>
              <w:spacing w:after="0" w:line="240" w:lineRule="auto"/>
              <w:jc w:val="left"/>
              <w:rPr>
                <w:rFonts w:ascii="Calibri" w:eastAsia="Calibri" w:hAnsi="Calibri"/>
              </w:rPr>
            </w:pPr>
            <w:r>
              <w:rPr>
                <w:rFonts w:eastAsia="Calibri"/>
              </w:rPr>
              <w:t>De-Anonymisierung</w:t>
            </w:r>
          </w:p>
        </w:tc>
        <w:tc>
          <w:tcPr>
            <w:tcW w:w="7246" w:type="dxa"/>
          </w:tcPr>
          <w:p w14:paraId="22E38CE0" w14:textId="77777777" w:rsidR="00AE4EA7" w:rsidRDefault="00000000">
            <w:pPr>
              <w:widowControl w:val="0"/>
              <w:spacing w:after="0" w:line="240" w:lineRule="auto"/>
              <w:rPr>
                <w:rFonts w:ascii="Calibri" w:eastAsia="Calibri" w:hAnsi="Calibri"/>
              </w:rPr>
            </w:pPr>
            <w:r>
              <w:rPr>
                <w:rFonts w:eastAsia="Calibri"/>
              </w:rPr>
              <w:t>(Gezielte) Aufhebung einer zuvor durchgeführten Anonymisierung von Daten</w:t>
            </w:r>
          </w:p>
        </w:tc>
      </w:tr>
      <w:tr w:rsidR="000875AD" w14:paraId="1CD70E3A" w14:textId="77777777" w:rsidTr="007A1A5F">
        <w:tc>
          <w:tcPr>
            <w:tcW w:w="2360" w:type="dxa"/>
          </w:tcPr>
          <w:p w14:paraId="04595F87" w14:textId="75BC7BC1" w:rsidR="000875AD" w:rsidRDefault="000875AD">
            <w:pPr>
              <w:widowControl w:val="0"/>
              <w:spacing w:after="0" w:line="240" w:lineRule="auto"/>
              <w:jc w:val="left"/>
              <w:rPr>
                <w:rFonts w:eastAsia="Calibri"/>
              </w:rPr>
            </w:pPr>
            <w:r w:rsidRPr="000875AD">
              <w:rPr>
                <w:rFonts w:eastAsia="Calibri"/>
              </w:rPr>
              <w:t>De-Identifizierung</w:t>
            </w:r>
          </w:p>
        </w:tc>
        <w:tc>
          <w:tcPr>
            <w:tcW w:w="7246" w:type="dxa"/>
          </w:tcPr>
          <w:p w14:paraId="73B25E42" w14:textId="747DB5BB" w:rsidR="000875AD" w:rsidRDefault="000875AD">
            <w:pPr>
              <w:widowControl w:val="0"/>
              <w:spacing w:after="0" w:line="240" w:lineRule="auto"/>
              <w:rPr>
                <w:rFonts w:eastAsia="Calibri"/>
              </w:rPr>
            </w:pPr>
            <w:r w:rsidRPr="000875AD">
              <w:rPr>
                <w:rFonts w:eastAsia="Calibri"/>
              </w:rPr>
              <w:t>Ein Prozess, bei dem Informationen, die zur Identifizierung einer Person verwendet werden könnten, aus einem Datensatz entfernt werden.</w:t>
            </w:r>
          </w:p>
        </w:tc>
      </w:tr>
      <w:tr w:rsidR="00AE4EA7" w14:paraId="784A0447" w14:textId="77777777" w:rsidTr="007A1A5F">
        <w:tc>
          <w:tcPr>
            <w:tcW w:w="2360" w:type="dxa"/>
          </w:tcPr>
          <w:p w14:paraId="32B3FEDD" w14:textId="77777777" w:rsidR="00AE4EA7" w:rsidRDefault="00000000">
            <w:pPr>
              <w:widowControl w:val="0"/>
              <w:spacing w:after="0" w:line="240" w:lineRule="auto"/>
              <w:jc w:val="left"/>
              <w:rPr>
                <w:rFonts w:ascii="Calibri" w:eastAsia="Calibri" w:hAnsi="Calibri"/>
              </w:rPr>
            </w:pPr>
            <w:r>
              <w:rPr>
                <w:rFonts w:eastAsia="Calibri"/>
              </w:rPr>
              <w:t>Einwilligung</w:t>
            </w:r>
          </w:p>
        </w:tc>
        <w:tc>
          <w:tcPr>
            <w:tcW w:w="7246" w:type="dxa"/>
          </w:tcPr>
          <w:p w14:paraId="3E4540AC" w14:textId="77777777" w:rsidR="00AE4EA7" w:rsidRDefault="00000000">
            <w:pPr>
              <w:widowControl w:val="0"/>
              <w:spacing w:after="0" w:line="240" w:lineRule="auto"/>
            </w:pPr>
            <w:r>
              <w:rPr>
                <w:rFonts w:eastAsia="Calibri"/>
              </w:rPr>
              <w:t>„</w:t>
            </w:r>
            <w:r>
              <w:rPr>
                <w:rFonts w:ascii="Symbol" w:eastAsia="Symbol" w:hAnsi="Symbol" w:cs="Symbol"/>
              </w:rPr>
              <w:t></w:t>
            </w:r>
            <w:r>
              <w:rPr>
                <w:rFonts w:eastAsia="Calibri"/>
              </w:rPr>
              <w:t>Einwilligung</w:t>
            </w:r>
            <w:r>
              <w:rPr>
                <w:rFonts w:ascii="Symbol" w:eastAsia="Symbol" w:hAnsi="Symbol" w:cs="Symbol"/>
              </w:rPr>
              <w:t></w:t>
            </w:r>
            <w:r>
              <w:rPr>
                <w:rFonts w:eastAsia="Calibri"/>
              </w:rPr>
              <w:t xml:space="preserve"> </w:t>
            </w:r>
            <w:r w:rsidRPr="004832F9">
              <w:rPr>
                <w:rFonts w:eastAsia="Calibri"/>
              </w:rPr>
              <w:t>der</w:t>
            </w:r>
            <w:r>
              <w:rPr>
                <w:rFonts w:eastAsia="Calibri"/>
              </w:rPr>
              <w:t xml:space="preserve"> betroffenen Person jede freiwillig für den bestimmten Fall, in informierter Weise und unmissverständlich abgegebene Willensbekundung in Form einer Erklärung oder einer sonstigen eindeutigen bestätigenden Handlung, mit der die betroffene Person zu verstehen gibt, dass sie mit der Verarbeitung der sie betreffenden personenbezogenen Daten einverstanden ist</w:t>
            </w:r>
            <w:r w:rsidRPr="004832F9">
              <w:rPr>
                <w:rFonts w:eastAsia="Calibri"/>
              </w:rPr>
              <w:t>“</w:t>
            </w:r>
          </w:p>
          <w:p w14:paraId="01CEDEE7" w14:textId="77777777" w:rsidR="00AE4EA7" w:rsidRDefault="00000000">
            <w:pPr>
              <w:widowControl w:val="0"/>
              <w:spacing w:after="0" w:line="240" w:lineRule="auto"/>
              <w:rPr>
                <w:rFonts w:ascii="Calibri" w:eastAsia="Calibri" w:hAnsi="Calibri"/>
              </w:rPr>
            </w:pPr>
            <w:r>
              <w:rPr>
                <w:rFonts w:eastAsia="Calibri"/>
              </w:rPr>
              <w:t xml:space="preserve">(Quelle: Art. 4 </w:t>
            </w:r>
            <w:r w:rsidRPr="004832F9">
              <w:rPr>
                <w:rFonts w:eastAsia="Calibri"/>
              </w:rPr>
              <w:t>Ziff</w:t>
            </w:r>
            <w:r>
              <w:rPr>
                <w:rFonts w:eastAsia="Calibri"/>
              </w:rPr>
              <w:t>. 11 DS-GVO)</w:t>
            </w:r>
          </w:p>
        </w:tc>
      </w:tr>
      <w:tr w:rsidR="00AE4EA7" w14:paraId="4F2904F2" w14:textId="77777777" w:rsidTr="007A1A5F">
        <w:tc>
          <w:tcPr>
            <w:tcW w:w="2360" w:type="dxa"/>
          </w:tcPr>
          <w:p w14:paraId="4A93191F" w14:textId="77777777" w:rsidR="00AE4EA7" w:rsidRDefault="00000000">
            <w:pPr>
              <w:widowControl w:val="0"/>
              <w:spacing w:after="0" w:line="240" w:lineRule="auto"/>
              <w:jc w:val="left"/>
              <w:rPr>
                <w:rFonts w:ascii="Calibri" w:eastAsia="Calibri" w:hAnsi="Calibri"/>
              </w:rPr>
            </w:pPr>
            <w:r>
              <w:rPr>
                <w:rFonts w:eastAsia="Calibri"/>
              </w:rPr>
              <w:t>Entpersonalisierung</w:t>
            </w:r>
          </w:p>
        </w:tc>
        <w:tc>
          <w:tcPr>
            <w:tcW w:w="7246" w:type="dxa"/>
          </w:tcPr>
          <w:p w14:paraId="08379873" w14:textId="1181940A" w:rsidR="00AE4EA7" w:rsidRDefault="004C1658">
            <w:pPr>
              <w:widowControl w:val="0"/>
              <w:spacing w:after="0" w:line="240" w:lineRule="auto"/>
              <w:rPr>
                <w:rFonts w:ascii="Calibri" w:eastAsia="Calibri" w:hAnsi="Calibri"/>
              </w:rPr>
            </w:pPr>
            <w:r w:rsidRPr="004C1658">
              <w:rPr>
                <w:rFonts w:eastAsia="Calibri"/>
              </w:rPr>
              <w:t>Allgemeine</w:t>
            </w:r>
            <w:r>
              <w:rPr>
                <w:rFonts w:eastAsia="Calibri"/>
              </w:rPr>
              <w:t xml:space="preserve"> Benennung für jeden Prozess der Reduktion der Zuordnung zwischen einer Menge von zur Identifizierung geeigneten Daten und der betroffenen Person</w:t>
            </w:r>
          </w:p>
          <w:p w14:paraId="57E0339D" w14:textId="77777777" w:rsidR="00AE4EA7" w:rsidRDefault="00000000">
            <w:pPr>
              <w:widowControl w:val="0"/>
              <w:spacing w:after="0" w:line="240" w:lineRule="auto"/>
              <w:rPr>
                <w:rFonts w:ascii="Calibri" w:eastAsia="Calibri" w:hAnsi="Calibri"/>
              </w:rPr>
            </w:pPr>
            <w:r>
              <w:rPr>
                <w:rFonts w:eastAsia="Calibri"/>
              </w:rPr>
              <w:t>(Quelle: DIN EN ISO 25237)</w:t>
            </w:r>
          </w:p>
        </w:tc>
      </w:tr>
      <w:tr w:rsidR="00AE4EA7" w14:paraId="2DCE079E" w14:textId="77777777" w:rsidTr="007A1A5F">
        <w:tc>
          <w:tcPr>
            <w:tcW w:w="2360" w:type="dxa"/>
          </w:tcPr>
          <w:p w14:paraId="73AF9BDE" w14:textId="7CB92140" w:rsidR="00AE4EA7" w:rsidRDefault="00000000">
            <w:pPr>
              <w:widowControl w:val="0"/>
              <w:spacing w:after="0" w:line="240" w:lineRule="auto"/>
              <w:jc w:val="left"/>
              <w:rPr>
                <w:rFonts w:ascii="Calibri" w:eastAsia="Calibri" w:hAnsi="Calibri"/>
              </w:rPr>
            </w:pPr>
            <w:r>
              <w:rPr>
                <w:rFonts w:eastAsia="Calibri"/>
              </w:rPr>
              <w:t>Genetische Daten</w:t>
            </w:r>
          </w:p>
        </w:tc>
        <w:tc>
          <w:tcPr>
            <w:tcW w:w="7246" w:type="dxa"/>
          </w:tcPr>
          <w:p w14:paraId="32FB7954" w14:textId="77777777" w:rsidR="00AE4EA7" w:rsidRDefault="00000000">
            <w:pPr>
              <w:widowControl w:val="0"/>
              <w:spacing w:after="0" w:line="240" w:lineRule="auto"/>
            </w:pPr>
            <w:r>
              <w:rPr>
                <w:rFonts w:eastAsia="Calibri"/>
              </w:rPr>
              <w:t>„</w:t>
            </w:r>
            <w:r>
              <w:rPr>
                <w:rFonts w:ascii="Symbol" w:eastAsia="Symbol" w:hAnsi="Symbol" w:cs="Symbol"/>
              </w:rPr>
              <w:t></w:t>
            </w:r>
            <w:r>
              <w:rPr>
                <w:rFonts w:eastAsia="Calibri"/>
              </w:rPr>
              <w:t>Genetische Daten</w:t>
            </w:r>
            <w:r>
              <w:rPr>
                <w:rFonts w:ascii="Symbol" w:eastAsia="Symbol" w:hAnsi="Symbol" w:cs="Symbol"/>
              </w:rPr>
              <w:t></w:t>
            </w:r>
            <w:r>
              <w:rPr>
                <w:rFonts w:eastAsia="Calibri"/>
              </w:rPr>
              <w:t xml:space="preserve"> </w:t>
            </w:r>
            <w:r w:rsidRPr="004832F9">
              <w:rPr>
                <w:rFonts w:eastAsia="Calibri"/>
              </w:rPr>
              <w:t>personenbezogene</w:t>
            </w:r>
            <w:r>
              <w:rPr>
                <w:rFonts w:eastAsia="Calibri"/>
              </w:rPr>
              <w:t xml:space="preserve"> Daten zu den ererbten oder erworbenen genetischen Eigenschaften einer natürlichen Person, die eindeutige Informationen über die Physiologie oder die Gesundheit dieser natürlichen Person liefern und insbesondere aus der Analyse einer biologischen Probe der betreffenden natürlichen Person gewonnen wurden</w:t>
            </w:r>
            <w:r w:rsidRPr="004832F9">
              <w:rPr>
                <w:rFonts w:eastAsia="Calibri"/>
              </w:rPr>
              <w:t>“</w:t>
            </w:r>
          </w:p>
          <w:p w14:paraId="746A51B8" w14:textId="77777777" w:rsidR="00AE4EA7" w:rsidRDefault="00000000">
            <w:pPr>
              <w:widowControl w:val="0"/>
              <w:spacing w:after="0" w:line="240" w:lineRule="auto"/>
              <w:rPr>
                <w:rFonts w:ascii="Calibri" w:eastAsia="Calibri" w:hAnsi="Calibri"/>
              </w:rPr>
            </w:pPr>
            <w:r>
              <w:rPr>
                <w:rFonts w:eastAsia="Calibri"/>
              </w:rPr>
              <w:t xml:space="preserve">(Quelle: Art. 4 </w:t>
            </w:r>
            <w:r w:rsidRPr="004832F9">
              <w:rPr>
                <w:rFonts w:eastAsia="Calibri"/>
              </w:rPr>
              <w:t>Ziff</w:t>
            </w:r>
            <w:r>
              <w:rPr>
                <w:rFonts w:eastAsia="Calibri"/>
              </w:rPr>
              <w:t>. 13 DS-GVO)</w:t>
            </w:r>
          </w:p>
        </w:tc>
      </w:tr>
      <w:tr w:rsidR="00AE4EA7" w14:paraId="2C7C24C4" w14:textId="77777777" w:rsidTr="007A1A5F">
        <w:tc>
          <w:tcPr>
            <w:tcW w:w="2360" w:type="dxa"/>
          </w:tcPr>
          <w:p w14:paraId="5406F0F8" w14:textId="77777777" w:rsidR="00AE4EA7" w:rsidRDefault="00000000">
            <w:pPr>
              <w:widowControl w:val="0"/>
              <w:spacing w:after="0" w:line="240" w:lineRule="auto"/>
              <w:jc w:val="left"/>
              <w:rPr>
                <w:rFonts w:ascii="Calibri" w:eastAsia="Calibri" w:hAnsi="Calibri"/>
              </w:rPr>
            </w:pPr>
            <w:r>
              <w:rPr>
                <w:rFonts w:eastAsia="Calibri"/>
              </w:rPr>
              <w:t>Gesundheitsdaten</w:t>
            </w:r>
          </w:p>
        </w:tc>
        <w:tc>
          <w:tcPr>
            <w:tcW w:w="7246" w:type="dxa"/>
          </w:tcPr>
          <w:p w14:paraId="29573941" w14:textId="77777777" w:rsidR="00AE4EA7" w:rsidRDefault="00000000">
            <w:pPr>
              <w:widowControl w:val="0"/>
              <w:spacing w:after="0" w:line="240" w:lineRule="auto"/>
            </w:pPr>
            <w:r>
              <w:rPr>
                <w:rFonts w:eastAsia="Calibri"/>
              </w:rPr>
              <w:t>„</w:t>
            </w:r>
            <w:r>
              <w:rPr>
                <w:rFonts w:ascii="Symbol" w:eastAsia="Symbol" w:hAnsi="Symbol" w:cs="Symbol"/>
              </w:rPr>
              <w:t></w:t>
            </w:r>
            <w:r>
              <w:rPr>
                <w:rFonts w:eastAsia="Calibri"/>
              </w:rPr>
              <w:t>Gesundheitsdaten</w:t>
            </w:r>
            <w:r>
              <w:rPr>
                <w:rFonts w:ascii="Symbol" w:eastAsia="Symbol" w:hAnsi="Symbol" w:cs="Symbol"/>
              </w:rPr>
              <w:t></w:t>
            </w:r>
            <w:r>
              <w:rPr>
                <w:rFonts w:eastAsia="Calibri"/>
              </w:rPr>
              <w:t xml:space="preserve"> </w:t>
            </w:r>
            <w:r w:rsidRPr="004832F9">
              <w:rPr>
                <w:rFonts w:eastAsia="Calibri"/>
              </w:rPr>
              <w:t>personenbezogene</w:t>
            </w:r>
            <w:r>
              <w:rPr>
                <w:rFonts w:eastAsia="Calibri"/>
              </w:rPr>
              <w:t xml:space="preserve"> Daten, die sich auf die körperliche oder geistige Gesundheit einer natürlichen Person, einschließlich der Erbringung von Gesundheitsdienstleistungen, beziehen und aus denen Informationen über deren Gesundheitszustand hervorgehen</w:t>
            </w:r>
            <w:r w:rsidRPr="004832F9">
              <w:rPr>
                <w:rFonts w:eastAsia="Calibri"/>
              </w:rPr>
              <w:t>“</w:t>
            </w:r>
          </w:p>
          <w:p w14:paraId="123C4051" w14:textId="77777777" w:rsidR="00AE4EA7" w:rsidRDefault="00000000">
            <w:pPr>
              <w:widowControl w:val="0"/>
              <w:spacing w:after="0" w:line="240" w:lineRule="auto"/>
              <w:rPr>
                <w:rFonts w:ascii="Calibri" w:eastAsia="Calibri" w:hAnsi="Calibri"/>
              </w:rPr>
            </w:pPr>
            <w:r>
              <w:rPr>
                <w:rFonts w:eastAsia="Calibri"/>
              </w:rPr>
              <w:t xml:space="preserve">(Quelle: Art. 4 </w:t>
            </w:r>
            <w:r w:rsidRPr="004832F9">
              <w:rPr>
                <w:rFonts w:eastAsia="Calibri"/>
              </w:rPr>
              <w:t>Ziff</w:t>
            </w:r>
            <w:r>
              <w:rPr>
                <w:rFonts w:eastAsia="Calibri"/>
              </w:rPr>
              <w:t>. 15 DS-GVO)</w:t>
            </w:r>
          </w:p>
        </w:tc>
      </w:tr>
      <w:tr w:rsidR="00AE4EA7" w14:paraId="3D091BA0" w14:textId="77777777" w:rsidTr="007A1A5F">
        <w:tc>
          <w:tcPr>
            <w:tcW w:w="2360" w:type="dxa"/>
          </w:tcPr>
          <w:p w14:paraId="319B35AA" w14:textId="77777777" w:rsidR="00AE4EA7" w:rsidRDefault="00000000">
            <w:pPr>
              <w:widowControl w:val="0"/>
              <w:spacing w:after="0" w:line="240" w:lineRule="auto"/>
              <w:jc w:val="left"/>
              <w:rPr>
                <w:rFonts w:ascii="Calibri" w:eastAsia="Calibri" w:hAnsi="Calibri"/>
              </w:rPr>
            </w:pPr>
            <w:r>
              <w:rPr>
                <w:rFonts w:eastAsia="Calibri"/>
              </w:rPr>
              <w:t>Hashfunktion</w:t>
            </w:r>
          </w:p>
        </w:tc>
        <w:tc>
          <w:tcPr>
            <w:tcW w:w="7246" w:type="dxa"/>
          </w:tcPr>
          <w:p w14:paraId="2A669905" w14:textId="77777777" w:rsidR="00AE4EA7" w:rsidRDefault="00000000">
            <w:pPr>
              <w:widowControl w:val="0"/>
              <w:spacing w:after="0" w:line="240" w:lineRule="auto"/>
              <w:rPr>
                <w:rFonts w:ascii="Calibri" w:eastAsia="Calibri" w:hAnsi="Calibri"/>
              </w:rPr>
            </w:pPr>
            <w:r>
              <w:rPr>
                <w:rFonts w:eastAsia="Calibri"/>
              </w:rPr>
              <w:t>Eindeutige Prüfsumme mit festgelegter Länge (Hash-Wert) einer Datei oder eines Datensatzes</w:t>
            </w:r>
          </w:p>
        </w:tc>
      </w:tr>
      <w:tr w:rsidR="007A1A5F" w14:paraId="1A796E37" w14:textId="77777777" w:rsidTr="007A1A5F">
        <w:tc>
          <w:tcPr>
            <w:tcW w:w="2360" w:type="dxa"/>
          </w:tcPr>
          <w:p w14:paraId="1980ECDE" w14:textId="71AE5336" w:rsidR="007A1A5F" w:rsidRDefault="007A1A5F">
            <w:pPr>
              <w:widowControl w:val="0"/>
              <w:spacing w:after="0" w:line="240" w:lineRule="auto"/>
              <w:jc w:val="left"/>
              <w:rPr>
                <w:rFonts w:eastAsia="Calibri"/>
              </w:rPr>
            </w:pPr>
            <w:r>
              <w:rPr>
                <w:rFonts w:eastAsia="Calibri"/>
              </w:rPr>
              <w:t>ICD</w:t>
            </w:r>
          </w:p>
        </w:tc>
        <w:tc>
          <w:tcPr>
            <w:tcW w:w="7246" w:type="dxa"/>
          </w:tcPr>
          <w:p w14:paraId="020BD1BA" w14:textId="0FF7B447" w:rsidR="007A1A5F" w:rsidRDefault="007A1A5F">
            <w:pPr>
              <w:widowControl w:val="0"/>
              <w:spacing w:after="0" w:line="240" w:lineRule="auto"/>
              <w:rPr>
                <w:rFonts w:eastAsia="Calibri"/>
              </w:rPr>
            </w:pPr>
            <w:r>
              <w:rPr>
                <w:rFonts w:eastAsia="Calibri"/>
              </w:rPr>
              <w:t xml:space="preserve">Der ICD ist ein </w:t>
            </w:r>
            <w:r w:rsidRPr="007A1A5F">
              <w:rPr>
                <w:rFonts w:eastAsia="Calibri"/>
              </w:rPr>
              <w:t>Klassifikationssystem für medizinische Diagnosen</w:t>
            </w:r>
            <w:r>
              <w:rPr>
                <w:rFonts w:eastAsia="Calibri"/>
              </w:rPr>
              <w:t>, wobei sich die Zuordnung eines Codes zu einer Krankheit jährlich ändern kann. D. h., ein Code aus dem Jahr 2004 kann eine andere Krankheit beschreiben als der identische Code aus dem Jahr 2011. Daher muss zur eindeutigen Darstellung der Erkrankung immer die Jahreszahl angegeben werden, wobei sich in der Praxis die Jahreszahl häufig nur indirekt z. B. aus dem B</w:t>
            </w:r>
            <w:r w:rsidR="006330C9">
              <w:rPr>
                <w:rFonts w:eastAsia="Calibri"/>
              </w:rPr>
              <w:t>e</w:t>
            </w:r>
            <w:r>
              <w:rPr>
                <w:rFonts w:eastAsia="Calibri"/>
              </w:rPr>
              <w:t>handlungsdatum ergibt.</w:t>
            </w:r>
          </w:p>
        </w:tc>
      </w:tr>
      <w:tr w:rsidR="00AE4EA7" w14:paraId="7C034E20" w14:textId="77777777" w:rsidTr="007A1A5F">
        <w:tc>
          <w:tcPr>
            <w:tcW w:w="2360" w:type="dxa"/>
          </w:tcPr>
          <w:p w14:paraId="2175958E" w14:textId="21BF44A4" w:rsidR="00AE4EA7" w:rsidRDefault="00216B82">
            <w:pPr>
              <w:widowControl w:val="0"/>
              <w:spacing w:after="0" w:line="240" w:lineRule="auto"/>
              <w:jc w:val="left"/>
              <w:rPr>
                <w:rFonts w:ascii="Calibri" w:eastAsia="Calibri" w:hAnsi="Calibri"/>
              </w:rPr>
            </w:pPr>
            <w:r>
              <w:rPr>
                <w:rFonts w:eastAsia="Calibri"/>
              </w:rPr>
              <w:t>Identifizierbare Person</w:t>
            </w:r>
          </w:p>
        </w:tc>
        <w:tc>
          <w:tcPr>
            <w:tcW w:w="7246" w:type="dxa"/>
          </w:tcPr>
          <w:p w14:paraId="36F7268D" w14:textId="77777777" w:rsidR="00AE4EA7" w:rsidRDefault="00000000">
            <w:pPr>
              <w:widowControl w:val="0"/>
              <w:spacing w:after="0" w:line="240" w:lineRule="auto"/>
              <w:rPr>
                <w:rFonts w:ascii="Calibri" w:eastAsia="Calibri" w:hAnsi="Calibri"/>
              </w:rPr>
            </w:pPr>
            <w:r>
              <w:rPr>
                <w:rFonts w:eastAsia="Calibri"/>
              </w:rPr>
              <w:t xml:space="preserve">Jemand, der direkt oder indirekt identifiziert werden kann, insbesondere über die Referenz zu einer Identifizierungsnummer oder zu einem oder mehreren Kennzeichen, die bezüglich seiner körperlichen, physiologischen, geistigen, ökonomischen, kulturellen oder sozialen Identität spezifisch </w:t>
            </w:r>
            <w:r w:rsidRPr="004832F9">
              <w:rPr>
                <w:rFonts w:eastAsia="Calibri"/>
              </w:rPr>
              <w:t>sind</w:t>
            </w:r>
          </w:p>
          <w:p w14:paraId="428ED161" w14:textId="77777777" w:rsidR="00AE4EA7" w:rsidRDefault="00000000">
            <w:pPr>
              <w:widowControl w:val="0"/>
              <w:spacing w:after="0" w:line="240" w:lineRule="auto"/>
              <w:rPr>
                <w:rFonts w:ascii="Calibri" w:eastAsia="Calibri" w:hAnsi="Calibri"/>
              </w:rPr>
            </w:pPr>
            <w:r>
              <w:rPr>
                <w:rFonts w:eastAsia="Calibri"/>
              </w:rPr>
              <w:t>(Quelle: DIN EN ISO 25237)</w:t>
            </w:r>
          </w:p>
        </w:tc>
      </w:tr>
      <w:tr w:rsidR="00AE4EA7" w14:paraId="746ADB6E" w14:textId="77777777" w:rsidTr="007A1A5F">
        <w:tc>
          <w:tcPr>
            <w:tcW w:w="2360" w:type="dxa"/>
          </w:tcPr>
          <w:p w14:paraId="25D9244D" w14:textId="77777777" w:rsidR="00AE4EA7" w:rsidRDefault="00000000">
            <w:pPr>
              <w:widowControl w:val="0"/>
              <w:spacing w:after="0" w:line="240" w:lineRule="auto"/>
              <w:jc w:val="left"/>
              <w:rPr>
                <w:rFonts w:ascii="Calibri" w:eastAsia="Calibri" w:hAnsi="Calibri"/>
              </w:rPr>
            </w:pPr>
            <w:r>
              <w:rPr>
                <w:rFonts w:eastAsia="Calibri"/>
              </w:rPr>
              <w:t>Identifizierung</w:t>
            </w:r>
          </w:p>
        </w:tc>
        <w:tc>
          <w:tcPr>
            <w:tcW w:w="7246" w:type="dxa"/>
          </w:tcPr>
          <w:p w14:paraId="16526F6C" w14:textId="77777777" w:rsidR="00AE4EA7" w:rsidRDefault="00000000">
            <w:pPr>
              <w:widowControl w:val="0"/>
              <w:spacing w:after="0" w:line="240" w:lineRule="auto"/>
              <w:rPr>
                <w:rFonts w:ascii="Calibri" w:eastAsia="Calibri" w:hAnsi="Calibri"/>
              </w:rPr>
            </w:pPr>
            <w:r>
              <w:rPr>
                <w:rFonts w:eastAsia="Calibri"/>
              </w:rPr>
              <w:t xml:space="preserve">Prozess der Nutzung von behaupteten oder beobachteten Attributen einer juristischen Person mit dem Ziel, diese aus den anderen juristischen Personen in einer Reihe von Identitäten </w:t>
            </w:r>
            <w:r w:rsidRPr="004832F9">
              <w:rPr>
                <w:rFonts w:eastAsia="Calibri"/>
              </w:rPr>
              <w:t>herauszufinden</w:t>
            </w:r>
          </w:p>
          <w:p w14:paraId="738946B7" w14:textId="77777777" w:rsidR="00AE4EA7" w:rsidRDefault="00000000">
            <w:pPr>
              <w:widowControl w:val="0"/>
              <w:spacing w:after="0" w:line="240" w:lineRule="auto"/>
              <w:rPr>
                <w:rFonts w:ascii="Calibri" w:eastAsia="Calibri" w:hAnsi="Calibri"/>
              </w:rPr>
            </w:pPr>
            <w:r>
              <w:rPr>
                <w:rFonts w:eastAsia="Calibri"/>
              </w:rPr>
              <w:t>(Quelle: DIN EN ISO 25237)</w:t>
            </w:r>
          </w:p>
        </w:tc>
      </w:tr>
      <w:tr w:rsidR="00AE4EA7" w14:paraId="189DA4CF" w14:textId="77777777" w:rsidTr="007A1A5F">
        <w:tc>
          <w:tcPr>
            <w:tcW w:w="2360" w:type="dxa"/>
          </w:tcPr>
          <w:p w14:paraId="4270FC07" w14:textId="77777777" w:rsidR="00AE4EA7" w:rsidRDefault="00000000">
            <w:pPr>
              <w:widowControl w:val="0"/>
              <w:spacing w:after="0" w:line="240" w:lineRule="auto"/>
              <w:jc w:val="left"/>
              <w:rPr>
                <w:rFonts w:ascii="Calibri" w:eastAsia="Calibri" w:hAnsi="Calibri"/>
              </w:rPr>
            </w:pPr>
            <w:r>
              <w:rPr>
                <w:rFonts w:eastAsia="Calibri"/>
              </w:rPr>
              <w:t>Normadressat</w:t>
            </w:r>
          </w:p>
        </w:tc>
        <w:tc>
          <w:tcPr>
            <w:tcW w:w="7246" w:type="dxa"/>
          </w:tcPr>
          <w:p w14:paraId="03817622" w14:textId="77777777" w:rsidR="00AE4EA7" w:rsidRDefault="00000000">
            <w:pPr>
              <w:widowControl w:val="0"/>
              <w:spacing w:after="0" w:line="240" w:lineRule="auto"/>
              <w:rPr>
                <w:rFonts w:ascii="Calibri" w:eastAsia="Calibri" w:hAnsi="Calibri"/>
              </w:rPr>
            </w:pPr>
            <w:r>
              <w:rPr>
                <w:rFonts w:eastAsia="Calibri"/>
              </w:rPr>
              <w:t xml:space="preserve">Rechtssubjekt (z. B. natürliche Person, juristische Person, Personenvereinigung), an die sich die Regelung eines Gesetzes (= einer Norm) </w:t>
            </w:r>
            <w:r w:rsidRPr="004832F9">
              <w:rPr>
                <w:rFonts w:eastAsia="Calibri"/>
              </w:rPr>
              <w:t>richtet</w:t>
            </w:r>
          </w:p>
        </w:tc>
      </w:tr>
      <w:tr w:rsidR="00AE4EA7" w14:paraId="70CDA2CB" w14:textId="77777777" w:rsidTr="007A1A5F">
        <w:tc>
          <w:tcPr>
            <w:tcW w:w="2360" w:type="dxa"/>
          </w:tcPr>
          <w:p w14:paraId="72C86459" w14:textId="77777777" w:rsidR="00AE4EA7" w:rsidRDefault="00000000">
            <w:pPr>
              <w:widowControl w:val="0"/>
              <w:spacing w:after="0" w:line="240" w:lineRule="auto"/>
              <w:jc w:val="left"/>
              <w:rPr>
                <w:rFonts w:ascii="Calibri" w:eastAsia="Calibri" w:hAnsi="Calibri"/>
              </w:rPr>
            </w:pPr>
            <w:r>
              <w:rPr>
                <w:rFonts w:eastAsia="Calibri"/>
              </w:rPr>
              <w:t>Personenbezeichner</w:t>
            </w:r>
          </w:p>
        </w:tc>
        <w:tc>
          <w:tcPr>
            <w:tcW w:w="7246" w:type="dxa"/>
          </w:tcPr>
          <w:p w14:paraId="0CBEB1A8" w14:textId="77777777" w:rsidR="00AE4EA7" w:rsidRDefault="00000000">
            <w:pPr>
              <w:widowControl w:val="0"/>
              <w:spacing w:after="0" w:line="240" w:lineRule="auto"/>
              <w:rPr>
                <w:rFonts w:ascii="Calibri" w:eastAsia="Calibri" w:hAnsi="Calibri"/>
              </w:rPr>
            </w:pPr>
            <w:r>
              <w:rPr>
                <w:rFonts w:eastAsia="Calibri"/>
              </w:rPr>
              <w:t xml:space="preserve">Informationen, deren Zweck darin besteht, eine Person innerhalb eines bestimmten Kontexts eindeutig zu </w:t>
            </w:r>
            <w:r w:rsidRPr="004832F9">
              <w:rPr>
                <w:rFonts w:eastAsia="Calibri"/>
              </w:rPr>
              <w:t>identifizieren</w:t>
            </w:r>
          </w:p>
          <w:p w14:paraId="0AB22F4F" w14:textId="77777777" w:rsidR="00AE4EA7" w:rsidRDefault="00000000">
            <w:pPr>
              <w:widowControl w:val="0"/>
              <w:spacing w:after="0" w:line="240" w:lineRule="auto"/>
              <w:rPr>
                <w:rFonts w:ascii="Calibri" w:eastAsia="Calibri" w:hAnsi="Calibri"/>
              </w:rPr>
            </w:pPr>
            <w:r>
              <w:rPr>
                <w:rFonts w:eastAsia="Calibri"/>
              </w:rPr>
              <w:t>(Quelle: DIN EN ISO 25237)</w:t>
            </w:r>
          </w:p>
        </w:tc>
      </w:tr>
      <w:tr w:rsidR="00AE4EA7" w14:paraId="45F43E00" w14:textId="77777777" w:rsidTr="007A1A5F">
        <w:tc>
          <w:tcPr>
            <w:tcW w:w="2360" w:type="dxa"/>
          </w:tcPr>
          <w:p w14:paraId="1BEB2F53" w14:textId="77777777" w:rsidR="00AE4EA7" w:rsidRDefault="00000000">
            <w:pPr>
              <w:widowControl w:val="0"/>
              <w:spacing w:after="0" w:line="240" w:lineRule="auto"/>
              <w:jc w:val="left"/>
              <w:rPr>
                <w:rFonts w:ascii="Calibri" w:eastAsia="Calibri" w:hAnsi="Calibri"/>
              </w:rPr>
            </w:pPr>
            <w:r>
              <w:rPr>
                <w:rFonts w:eastAsia="Calibri"/>
              </w:rPr>
              <w:t>Personenidentifizierung</w:t>
            </w:r>
          </w:p>
        </w:tc>
        <w:tc>
          <w:tcPr>
            <w:tcW w:w="7246" w:type="dxa"/>
          </w:tcPr>
          <w:p w14:paraId="28833415" w14:textId="77777777" w:rsidR="00AE4EA7" w:rsidRDefault="00000000">
            <w:pPr>
              <w:widowControl w:val="0"/>
              <w:spacing w:after="0" w:line="240" w:lineRule="auto"/>
              <w:rPr>
                <w:rFonts w:ascii="Calibri" w:eastAsia="Calibri" w:hAnsi="Calibri"/>
              </w:rPr>
            </w:pPr>
            <w:r>
              <w:rPr>
                <w:rFonts w:eastAsia="Calibri"/>
              </w:rPr>
              <w:t>Prozess der Aufstellung einer Verbindung zwischen einem Informationsobjekt und einer physischen Person</w:t>
            </w:r>
          </w:p>
          <w:p w14:paraId="4C71D48F" w14:textId="77777777" w:rsidR="00AE4EA7" w:rsidRDefault="00000000">
            <w:pPr>
              <w:widowControl w:val="0"/>
              <w:spacing w:after="0" w:line="240" w:lineRule="auto"/>
              <w:rPr>
                <w:rFonts w:ascii="Calibri" w:eastAsia="Calibri" w:hAnsi="Calibri"/>
              </w:rPr>
            </w:pPr>
            <w:r>
              <w:rPr>
                <w:rFonts w:eastAsia="Calibri"/>
              </w:rPr>
              <w:t>(Quelle: DIN EN ISO 25237)</w:t>
            </w:r>
          </w:p>
        </w:tc>
      </w:tr>
      <w:tr w:rsidR="00AE4EA7" w14:paraId="11E9A8B8" w14:textId="77777777" w:rsidTr="007A1A5F">
        <w:tc>
          <w:tcPr>
            <w:tcW w:w="2360" w:type="dxa"/>
          </w:tcPr>
          <w:p w14:paraId="45FB6DDA" w14:textId="77777777" w:rsidR="00AE4EA7" w:rsidRDefault="00000000">
            <w:pPr>
              <w:widowControl w:val="0"/>
              <w:spacing w:after="0" w:line="240" w:lineRule="auto"/>
              <w:jc w:val="left"/>
              <w:rPr>
                <w:rFonts w:ascii="Calibri" w:eastAsia="Calibri" w:hAnsi="Calibri"/>
              </w:rPr>
            </w:pPr>
            <w:r>
              <w:rPr>
                <w:rFonts w:eastAsia="Calibri"/>
              </w:rPr>
              <w:t>Pseudonym</w:t>
            </w:r>
          </w:p>
        </w:tc>
        <w:tc>
          <w:tcPr>
            <w:tcW w:w="7246" w:type="dxa"/>
          </w:tcPr>
          <w:p w14:paraId="59B21498" w14:textId="77777777" w:rsidR="00AE4EA7" w:rsidRDefault="00000000">
            <w:pPr>
              <w:widowControl w:val="0"/>
              <w:spacing w:after="0" w:line="240" w:lineRule="auto"/>
              <w:rPr>
                <w:rFonts w:ascii="Calibri" w:eastAsia="Calibri" w:hAnsi="Calibri"/>
              </w:rPr>
            </w:pPr>
            <w:r>
              <w:rPr>
                <w:rFonts w:eastAsia="Calibri"/>
              </w:rPr>
              <w:t xml:space="preserve">Personenbezeichner, der sich vom üblicherweise verwendeten Personenbezeichner unterscheidet und mit </w:t>
            </w:r>
            <w:r w:rsidRPr="004832F9">
              <w:rPr>
                <w:rFonts w:eastAsia="Calibri"/>
              </w:rPr>
              <w:t>pseudonymisierten</w:t>
            </w:r>
            <w:r>
              <w:rPr>
                <w:rFonts w:eastAsia="Calibri"/>
              </w:rPr>
              <w:t xml:space="preserve"> Daten verwendet wird, um für Kohärenz innerhalb des Datensatzes zu sorgen, die alle Informationen über die betroffene Person miteinander verknüpft, ohne die Identität dieser Person in der realen Welt </w:t>
            </w:r>
            <w:r w:rsidRPr="004832F9">
              <w:rPr>
                <w:rFonts w:eastAsia="Calibri"/>
              </w:rPr>
              <w:t>offenzulegen</w:t>
            </w:r>
          </w:p>
          <w:p w14:paraId="1FCCE13D" w14:textId="77777777" w:rsidR="00AE4EA7" w:rsidRDefault="00000000">
            <w:pPr>
              <w:widowControl w:val="0"/>
              <w:spacing w:after="0" w:line="240" w:lineRule="auto"/>
              <w:rPr>
                <w:rFonts w:ascii="Calibri" w:eastAsia="Calibri" w:hAnsi="Calibri"/>
              </w:rPr>
            </w:pPr>
            <w:r>
              <w:rPr>
                <w:rFonts w:eastAsia="Calibri"/>
              </w:rPr>
              <w:t>(Quelle: DIN EN ISO 25237)</w:t>
            </w:r>
          </w:p>
        </w:tc>
      </w:tr>
      <w:tr w:rsidR="00AE4EA7" w14:paraId="5915B3A9" w14:textId="77777777" w:rsidTr="007A1A5F">
        <w:tc>
          <w:tcPr>
            <w:tcW w:w="2360" w:type="dxa"/>
          </w:tcPr>
          <w:p w14:paraId="4BFA603A" w14:textId="77777777" w:rsidR="00AE4EA7" w:rsidRDefault="00000000">
            <w:pPr>
              <w:widowControl w:val="0"/>
              <w:spacing w:after="0" w:line="240" w:lineRule="auto"/>
              <w:jc w:val="left"/>
              <w:rPr>
                <w:rFonts w:ascii="Calibri" w:eastAsia="Calibri" w:hAnsi="Calibri"/>
              </w:rPr>
            </w:pPr>
            <w:r>
              <w:rPr>
                <w:rFonts w:eastAsia="Calibri"/>
              </w:rPr>
              <w:t>Pseudonymisierung</w:t>
            </w:r>
          </w:p>
        </w:tc>
        <w:tc>
          <w:tcPr>
            <w:tcW w:w="7246" w:type="dxa"/>
          </w:tcPr>
          <w:p w14:paraId="5F4A728D" w14:textId="77777777" w:rsidR="00AE4EA7" w:rsidRDefault="00000000">
            <w:pPr>
              <w:widowControl w:val="0"/>
              <w:spacing w:after="0" w:line="240" w:lineRule="auto"/>
            </w:pPr>
            <w:r>
              <w:rPr>
                <w:rFonts w:eastAsia="Calibri"/>
              </w:rPr>
              <w:t>„</w:t>
            </w:r>
            <w:r>
              <w:rPr>
                <w:rFonts w:ascii="Symbol" w:eastAsia="Symbol" w:hAnsi="Symbol" w:cs="Symbol"/>
              </w:rPr>
              <w:t></w:t>
            </w:r>
            <w:r>
              <w:rPr>
                <w:rFonts w:eastAsia="Calibri"/>
              </w:rPr>
              <w:t>Pseudonymisierung</w:t>
            </w:r>
            <w:r>
              <w:rPr>
                <w:rFonts w:ascii="Symbol" w:eastAsia="Symbol" w:hAnsi="Symbol" w:cs="Symbol"/>
              </w:rPr>
              <w:t></w:t>
            </w:r>
            <w:r>
              <w:rPr>
                <w:rFonts w:eastAsia="Calibri"/>
              </w:rPr>
              <w:t xml:space="preserve"> </w:t>
            </w:r>
            <w:r w:rsidRPr="004832F9">
              <w:rPr>
                <w:rFonts w:eastAsia="Calibri"/>
              </w:rPr>
              <w:t>die</w:t>
            </w:r>
            <w:r>
              <w:rPr>
                <w:rFonts w:eastAsia="Calibri"/>
              </w:rPr>
              <w:t xml:space="preserve"> Verarbeitung personenbezogener Daten in einer Weise, dass die personenbezogenen Daten ohne Hinzuziehung zusätzlicher Informationen nicht mehr einer spezifischen betroffenen Person zugeordnet werden können, sofern diese zusätzlichen Informationen gesondert aufbewahrt werden und technischen und organisatorischen Maßnahmen unterliegen, die gewährleisten, dass die personenbezogenen Daten nicht einer identifizierten oder identifizierbaren natürlichen Person zugewiesen werden</w:t>
            </w:r>
            <w:r w:rsidRPr="004832F9">
              <w:rPr>
                <w:rFonts w:eastAsia="Calibri"/>
              </w:rPr>
              <w:t>“</w:t>
            </w:r>
          </w:p>
          <w:p w14:paraId="46197120" w14:textId="77777777" w:rsidR="00AE4EA7" w:rsidRDefault="00000000">
            <w:pPr>
              <w:widowControl w:val="0"/>
              <w:spacing w:after="0" w:line="240" w:lineRule="auto"/>
              <w:rPr>
                <w:rFonts w:ascii="Calibri" w:eastAsia="Calibri" w:hAnsi="Calibri"/>
              </w:rPr>
            </w:pPr>
            <w:r>
              <w:rPr>
                <w:rFonts w:eastAsia="Calibri"/>
              </w:rPr>
              <w:t xml:space="preserve">(Quelle: Art. 4 </w:t>
            </w:r>
            <w:r w:rsidRPr="004832F9">
              <w:rPr>
                <w:rFonts w:eastAsia="Calibri"/>
              </w:rPr>
              <w:t>Ziff</w:t>
            </w:r>
            <w:r>
              <w:rPr>
                <w:rFonts w:eastAsia="Calibri"/>
              </w:rPr>
              <w:t>. 5 DS-GVO)</w:t>
            </w:r>
          </w:p>
        </w:tc>
      </w:tr>
      <w:tr w:rsidR="00AE4EA7" w14:paraId="67E0B32B" w14:textId="77777777" w:rsidTr="007A1A5F">
        <w:tc>
          <w:tcPr>
            <w:tcW w:w="2360" w:type="dxa"/>
          </w:tcPr>
          <w:p w14:paraId="309A4ED6" w14:textId="77777777" w:rsidR="00AE4EA7" w:rsidRDefault="00000000">
            <w:pPr>
              <w:widowControl w:val="0"/>
              <w:spacing w:after="0" w:line="240" w:lineRule="auto"/>
              <w:jc w:val="left"/>
              <w:rPr>
                <w:rFonts w:ascii="Calibri" w:eastAsia="Calibri" w:hAnsi="Calibri"/>
              </w:rPr>
            </w:pPr>
            <w:r>
              <w:rPr>
                <w:rFonts w:eastAsia="Calibri"/>
              </w:rPr>
              <w:t>Re-Identifikation</w:t>
            </w:r>
          </w:p>
        </w:tc>
        <w:tc>
          <w:tcPr>
            <w:tcW w:w="7246" w:type="dxa"/>
          </w:tcPr>
          <w:p w14:paraId="2ACF258F" w14:textId="77777777" w:rsidR="00AE4EA7" w:rsidRDefault="00000000">
            <w:pPr>
              <w:widowControl w:val="0"/>
              <w:spacing w:after="0" w:line="240" w:lineRule="auto"/>
              <w:rPr>
                <w:rFonts w:ascii="Calibri" w:eastAsia="Calibri" w:hAnsi="Calibri"/>
              </w:rPr>
            </w:pPr>
            <w:r>
              <w:rPr>
                <w:rFonts w:eastAsia="Calibri"/>
              </w:rPr>
              <w:t>(Gezielte) Aufhebung einer zuvor durchgeführten Pseudonymisierung oder Anonymisierung von Daten</w:t>
            </w:r>
          </w:p>
        </w:tc>
      </w:tr>
      <w:tr w:rsidR="00AE4EA7" w14:paraId="3D112857" w14:textId="77777777" w:rsidTr="007A1A5F">
        <w:tc>
          <w:tcPr>
            <w:tcW w:w="2360" w:type="dxa"/>
          </w:tcPr>
          <w:p w14:paraId="324658C1" w14:textId="77777777" w:rsidR="00AE4EA7" w:rsidRDefault="00000000">
            <w:pPr>
              <w:widowControl w:val="0"/>
              <w:spacing w:after="0" w:line="240" w:lineRule="auto"/>
              <w:jc w:val="left"/>
              <w:rPr>
                <w:rFonts w:ascii="Calibri" w:eastAsia="Calibri" w:hAnsi="Calibri"/>
              </w:rPr>
            </w:pPr>
            <w:r w:rsidRPr="004832F9">
              <w:rPr>
                <w:rFonts w:eastAsia="Calibri"/>
              </w:rPr>
              <w:t>Salt</w:t>
            </w:r>
          </w:p>
        </w:tc>
        <w:tc>
          <w:tcPr>
            <w:tcW w:w="7246" w:type="dxa"/>
          </w:tcPr>
          <w:p w14:paraId="4FC7BFAD" w14:textId="77777777" w:rsidR="00AE4EA7" w:rsidRDefault="00000000">
            <w:pPr>
              <w:widowControl w:val="0"/>
              <w:spacing w:after="0" w:line="240" w:lineRule="auto"/>
              <w:rPr>
                <w:rFonts w:ascii="Calibri" w:eastAsia="Calibri" w:hAnsi="Calibri"/>
              </w:rPr>
            </w:pPr>
            <w:r>
              <w:rPr>
                <w:rFonts w:eastAsia="Calibri"/>
              </w:rPr>
              <w:t xml:space="preserve">Zufällig gewählte Zeichenfolge, die an einen gegebenen Klartext vor der Verwendung als Eingabe einer Hashfunktion angehängt </w:t>
            </w:r>
            <w:r w:rsidRPr="004832F9">
              <w:rPr>
                <w:rFonts w:eastAsia="Calibri"/>
              </w:rPr>
              <w:t>wird</w:t>
            </w:r>
          </w:p>
        </w:tc>
      </w:tr>
      <w:tr w:rsidR="00AE4EA7" w14:paraId="79CE02BD" w14:textId="77777777" w:rsidTr="007A1A5F">
        <w:tc>
          <w:tcPr>
            <w:tcW w:w="2360" w:type="dxa"/>
          </w:tcPr>
          <w:p w14:paraId="564558F0" w14:textId="77777777" w:rsidR="00AE4EA7" w:rsidRDefault="00000000">
            <w:pPr>
              <w:widowControl w:val="0"/>
              <w:spacing w:after="0" w:line="240" w:lineRule="auto"/>
              <w:jc w:val="left"/>
              <w:rPr>
                <w:rFonts w:ascii="Calibri" w:eastAsia="Calibri" w:hAnsi="Calibri"/>
              </w:rPr>
            </w:pPr>
            <w:r>
              <w:rPr>
                <w:rFonts w:eastAsia="Calibri"/>
              </w:rPr>
              <w:t>Unumkehrbarkeit</w:t>
            </w:r>
          </w:p>
        </w:tc>
        <w:tc>
          <w:tcPr>
            <w:tcW w:w="7246" w:type="dxa"/>
          </w:tcPr>
          <w:p w14:paraId="3D71C608" w14:textId="77777777" w:rsidR="00AE4EA7" w:rsidRDefault="00000000">
            <w:pPr>
              <w:widowControl w:val="0"/>
              <w:spacing w:after="0" w:line="240" w:lineRule="auto"/>
              <w:rPr>
                <w:rFonts w:ascii="Calibri" w:eastAsia="Calibri" w:hAnsi="Calibri"/>
              </w:rPr>
            </w:pPr>
            <w:r>
              <w:rPr>
                <w:rFonts w:eastAsia="Calibri"/>
              </w:rPr>
              <w:t xml:space="preserve">Situation, in der es für einen beliebigen Übergang von identifizierbar zu pseudonym rechentechnisch unmöglich ist, vom Pseudonym auf den ursprünglichen Bezeichner zu </w:t>
            </w:r>
            <w:r w:rsidRPr="004832F9">
              <w:rPr>
                <w:rFonts w:eastAsia="Calibri"/>
              </w:rPr>
              <w:t>schließen</w:t>
            </w:r>
          </w:p>
          <w:p w14:paraId="50C6E863" w14:textId="77777777" w:rsidR="00AE4EA7" w:rsidRDefault="00000000">
            <w:pPr>
              <w:widowControl w:val="0"/>
              <w:spacing w:after="0" w:line="240" w:lineRule="auto"/>
              <w:rPr>
                <w:rFonts w:ascii="Calibri" w:eastAsia="Calibri" w:hAnsi="Calibri"/>
              </w:rPr>
            </w:pPr>
            <w:r>
              <w:rPr>
                <w:rFonts w:eastAsia="Calibri"/>
              </w:rPr>
              <w:t>(Quelle: DIN EN ISO 25237)</w:t>
            </w:r>
          </w:p>
        </w:tc>
      </w:tr>
      <w:tr w:rsidR="007A1A5F" w14:paraId="222DF270" w14:textId="77777777" w:rsidTr="007A1A5F">
        <w:tc>
          <w:tcPr>
            <w:tcW w:w="2360" w:type="dxa"/>
          </w:tcPr>
          <w:p w14:paraId="1F2870C5" w14:textId="6DFF08C8" w:rsidR="007A1A5F" w:rsidRDefault="007A1A5F" w:rsidP="007A1A5F">
            <w:pPr>
              <w:widowControl w:val="0"/>
              <w:spacing w:after="0" w:line="240" w:lineRule="auto"/>
              <w:jc w:val="left"/>
              <w:rPr>
                <w:rFonts w:eastAsia="Calibri"/>
              </w:rPr>
            </w:pPr>
            <w:r>
              <w:rPr>
                <w:rFonts w:eastAsia="Calibri"/>
              </w:rPr>
              <w:t>Verantwortlicher</w:t>
            </w:r>
          </w:p>
        </w:tc>
        <w:tc>
          <w:tcPr>
            <w:tcW w:w="7246" w:type="dxa"/>
          </w:tcPr>
          <w:p w14:paraId="6C00D0D2" w14:textId="77777777" w:rsidR="007A1A5F" w:rsidRDefault="007A1A5F" w:rsidP="007A1A5F">
            <w:pPr>
              <w:widowControl w:val="0"/>
              <w:spacing w:after="0" w:line="240" w:lineRule="auto"/>
            </w:pPr>
            <w:r>
              <w:rPr>
                <w:rFonts w:eastAsia="Calibri"/>
              </w:rPr>
              <w:t>„</w:t>
            </w:r>
            <w:r>
              <w:rPr>
                <w:rFonts w:ascii="Symbol" w:eastAsia="Symbol" w:hAnsi="Symbol" w:cs="Symbol"/>
              </w:rPr>
              <w:t></w:t>
            </w:r>
            <w:r>
              <w:rPr>
                <w:rFonts w:eastAsia="Calibri"/>
              </w:rPr>
              <w:t>Verantwortlicher</w:t>
            </w:r>
            <w:r>
              <w:rPr>
                <w:rFonts w:ascii="Symbol" w:eastAsia="Symbol" w:hAnsi="Symbol" w:cs="Symbol"/>
              </w:rPr>
              <w:t></w:t>
            </w:r>
            <w:r>
              <w:rPr>
                <w:rFonts w:eastAsia="Calibri"/>
              </w:rPr>
              <w:t xml:space="preserve"> </w:t>
            </w:r>
            <w:r w:rsidRPr="004832F9">
              <w:rPr>
                <w:rFonts w:eastAsia="Calibri"/>
              </w:rPr>
              <w:t>die</w:t>
            </w:r>
            <w:r>
              <w:rPr>
                <w:rFonts w:eastAsia="Calibri"/>
              </w:rPr>
              <w:t xml:space="preserve"> natürliche oder juristische Person, Behörde, Einrichtung oder andere Stelle, die allein oder gemeinsam mit anderen über die Zwecke und Mittel der Verarbeitung von personenbezogenen Daten entscheidet; sind die Zwecke und Mittel dieser Verarbeitung durch das Unionsrecht oder das Recht der Mitgliedstaaten vorgegeben, so kann der Verantwortliche beziehungsweise können die bestimmten Kriterien seiner Benennung nach dem Unionsrecht oder dem Recht der Mitgliedstaaten vorgesehen werden</w:t>
            </w:r>
            <w:r w:rsidRPr="004832F9">
              <w:rPr>
                <w:rFonts w:eastAsia="Calibri"/>
              </w:rPr>
              <w:t>“</w:t>
            </w:r>
          </w:p>
          <w:p w14:paraId="6D7AFC4C" w14:textId="76580557" w:rsidR="007A1A5F" w:rsidRDefault="007A1A5F" w:rsidP="007A1A5F">
            <w:pPr>
              <w:widowControl w:val="0"/>
              <w:spacing w:after="0" w:line="240" w:lineRule="auto"/>
              <w:rPr>
                <w:rFonts w:eastAsia="Calibri"/>
              </w:rPr>
            </w:pPr>
            <w:r>
              <w:rPr>
                <w:rFonts w:eastAsia="Calibri"/>
              </w:rPr>
              <w:t xml:space="preserve">(Quelle: Art. 4 </w:t>
            </w:r>
            <w:r w:rsidRPr="004832F9">
              <w:rPr>
                <w:rFonts w:eastAsia="Calibri"/>
              </w:rPr>
              <w:t>Ziff</w:t>
            </w:r>
            <w:r>
              <w:rPr>
                <w:rFonts w:eastAsia="Calibri"/>
              </w:rPr>
              <w:t>. 7 DS-GVO)</w:t>
            </w:r>
          </w:p>
        </w:tc>
      </w:tr>
      <w:tr w:rsidR="007A1A5F" w14:paraId="7FE28727" w14:textId="77777777" w:rsidTr="007A1A5F">
        <w:tc>
          <w:tcPr>
            <w:tcW w:w="2360" w:type="dxa"/>
          </w:tcPr>
          <w:p w14:paraId="3825F74F" w14:textId="3067D057" w:rsidR="007A1A5F" w:rsidRDefault="007A1A5F" w:rsidP="007A1A5F">
            <w:pPr>
              <w:widowControl w:val="0"/>
              <w:spacing w:after="0" w:line="240" w:lineRule="auto"/>
              <w:jc w:val="left"/>
              <w:rPr>
                <w:rFonts w:eastAsia="Calibri"/>
              </w:rPr>
            </w:pPr>
            <w:r>
              <w:rPr>
                <w:rFonts w:eastAsia="Calibri"/>
              </w:rPr>
              <w:t>Verarbeitung</w:t>
            </w:r>
          </w:p>
        </w:tc>
        <w:tc>
          <w:tcPr>
            <w:tcW w:w="7246" w:type="dxa"/>
          </w:tcPr>
          <w:p w14:paraId="19B0661C" w14:textId="77777777" w:rsidR="007A1A5F" w:rsidRDefault="007A1A5F" w:rsidP="007A1A5F">
            <w:pPr>
              <w:widowControl w:val="0"/>
              <w:spacing w:after="0" w:line="240" w:lineRule="auto"/>
            </w:pPr>
            <w:r>
              <w:rPr>
                <w:rFonts w:eastAsia="Calibri"/>
              </w:rPr>
              <w:t>„</w:t>
            </w:r>
            <w:r>
              <w:rPr>
                <w:rFonts w:ascii="Symbol" w:eastAsia="Symbol" w:hAnsi="Symbol" w:cs="Symbol"/>
              </w:rPr>
              <w:t></w:t>
            </w:r>
            <w:r>
              <w:rPr>
                <w:rFonts w:eastAsia="Calibri"/>
              </w:rPr>
              <w:t>Verarbeitung</w:t>
            </w:r>
            <w:r>
              <w:rPr>
                <w:rFonts w:ascii="Symbol" w:eastAsia="Symbol" w:hAnsi="Symbol" w:cs="Symbol"/>
              </w:rPr>
              <w:t></w:t>
            </w:r>
            <w:r>
              <w:rPr>
                <w:rFonts w:eastAsia="Calibri"/>
              </w:rPr>
              <w:t xml:space="preserve"> </w:t>
            </w:r>
            <w:r w:rsidRPr="004832F9">
              <w:rPr>
                <w:rFonts w:eastAsia="Calibri"/>
              </w:rPr>
              <w:t>jeden</w:t>
            </w:r>
            <w:r>
              <w:rPr>
                <w:rFonts w:eastAsia="Calibri"/>
              </w:rPr>
              <w:t xml:space="preserve"> mit oder ohne Hilfe automatisierter Verfahren ausgeführten Vorgang oder jede solche Vorgangsreihe im Zusammenhang mit personenbezogenen Daten wie das Erheben, das Erfassen, die Organisation, das Ordnen, die Speicherung, die Anpassung oder Veränderung, das Auslesen, das Abfragen, die Verwendung, die Offenlegung durch Übermittlung, Verbreitung oder eine andere Form der Bereitstellung, den Abgleich oder die Verknüpfung, die Einschränkung, das Löschen oder die Vernichtung“</w:t>
            </w:r>
          </w:p>
          <w:p w14:paraId="238D542A" w14:textId="1F4A051C" w:rsidR="007A1A5F" w:rsidRDefault="007A1A5F" w:rsidP="007A1A5F">
            <w:pPr>
              <w:widowControl w:val="0"/>
              <w:spacing w:after="0" w:line="240" w:lineRule="auto"/>
              <w:rPr>
                <w:rFonts w:eastAsia="Calibri"/>
              </w:rPr>
            </w:pPr>
            <w:r>
              <w:rPr>
                <w:rFonts w:eastAsia="Calibri"/>
              </w:rPr>
              <w:t xml:space="preserve">(Quelle: Art. 4 </w:t>
            </w:r>
            <w:r w:rsidRPr="004832F9">
              <w:rPr>
                <w:rFonts w:eastAsia="Calibri"/>
              </w:rPr>
              <w:t>Ziff</w:t>
            </w:r>
            <w:r>
              <w:rPr>
                <w:rFonts w:eastAsia="Calibri"/>
              </w:rPr>
              <w:t>. 2 DS-GVO)</w:t>
            </w:r>
          </w:p>
        </w:tc>
      </w:tr>
      <w:tr w:rsidR="007A1A5F" w14:paraId="263426AB" w14:textId="77777777" w:rsidTr="007A1A5F">
        <w:tc>
          <w:tcPr>
            <w:tcW w:w="2360" w:type="dxa"/>
          </w:tcPr>
          <w:p w14:paraId="533FAD3C" w14:textId="39BC37DA" w:rsidR="007A1A5F" w:rsidRDefault="007A1A5F" w:rsidP="007A1A5F">
            <w:pPr>
              <w:widowControl w:val="0"/>
              <w:spacing w:after="0" w:line="240" w:lineRule="auto"/>
              <w:jc w:val="left"/>
              <w:rPr>
                <w:rFonts w:eastAsia="Calibri"/>
              </w:rPr>
            </w:pPr>
            <w:r>
              <w:rPr>
                <w:rFonts w:eastAsia="Calibri"/>
              </w:rPr>
              <w:t>Verknüpfung von Informationsobjekten</w:t>
            </w:r>
          </w:p>
        </w:tc>
        <w:tc>
          <w:tcPr>
            <w:tcW w:w="7246" w:type="dxa"/>
          </w:tcPr>
          <w:p w14:paraId="04B775D9" w14:textId="77777777" w:rsidR="007A1A5F" w:rsidRDefault="007A1A5F" w:rsidP="007A1A5F">
            <w:pPr>
              <w:widowControl w:val="0"/>
              <w:spacing w:after="0" w:line="240" w:lineRule="auto"/>
              <w:rPr>
                <w:rFonts w:ascii="Calibri" w:eastAsia="Calibri" w:hAnsi="Calibri"/>
              </w:rPr>
            </w:pPr>
            <w:r>
              <w:rPr>
                <w:rFonts w:eastAsia="Calibri"/>
              </w:rPr>
              <w:t xml:space="preserve">Prozess, der die Aufstellung einer logischen Verbindung zwischen verschiedenen Informationsobjekten </w:t>
            </w:r>
            <w:r w:rsidRPr="004832F9">
              <w:rPr>
                <w:rFonts w:eastAsia="Calibri"/>
              </w:rPr>
              <w:t>ermöglicht</w:t>
            </w:r>
          </w:p>
          <w:p w14:paraId="4CE5C7F0" w14:textId="0D30BC88" w:rsidR="007A1A5F" w:rsidRDefault="007A1A5F" w:rsidP="007A1A5F">
            <w:pPr>
              <w:widowControl w:val="0"/>
              <w:spacing w:after="0" w:line="240" w:lineRule="auto"/>
              <w:rPr>
                <w:rFonts w:eastAsia="Calibri"/>
              </w:rPr>
            </w:pPr>
            <w:r>
              <w:rPr>
                <w:rFonts w:eastAsia="Calibri"/>
              </w:rPr>
              <w:t>(Quelle: DIN EN ISO 25237)</w:t>
            </w:r>
          </w:p>
        </w:tc>
      </w:tr>
    </w:tbl>
    <w:p w14:paraId="55B80A23" w14:textId="77777777" w:rsidR="00AE4EA7" w:rsidRDefault="00AE4EA7"/>
    <w:p w14:paraId="1069C86B" w14:textId="77777777" w:rsidR="00AE4EA7" w:rsidRDefault="00000000">
      <w:pPr>
        <w:jc w:val="left"/>
        <w:rPr>
          <w:rFonts w:asciiTheme="majorHAnsi" w:eastAsiaTheme="majorEastAsia" w:hAnsiTheme="majorHAnsi" w:cstheme="majorBidi"/>
          <w:b/>
          <w:bCs/>
          <w:color w:val="365F91" w:themeColor="accent1" w:themeShade="BF"/>
          <w:sz w:val="28"/>
          <w:szCs w:val="28"/>
        </w:rPr>
      </w:pPr>
      <w:r>
        <w:br w:type="page"/>
      </w:r>
    </w:p>
    <w:p w14:paraId="453A7355" w14:textId="77777777" w:rsidR="00AE4EA7" w:rsidRDefault="00000000">
      <w:pPr>
        <w:pStyle w:val="berschrift1"/>
      </w:pPr>
      <w:bookmarkStart w:id="253" w:name="_Toc154652691"/>
      <w:r>
        <w:t>Literatur</w:t>
      </w:r>
      <w:bookmarkEnd w:id="253"/>
    </w:p>
    <w:p w14:paraId="6E676223" w14:textId="77777777" w:rsidR="00AE4EA7" w:rsidRDefault="00000000">
      <w:pPr>
        <w:pStyle w:val="berschrift2"/>
      </w:pPr>
      <w:bookmarkStart w:id="254" w:name="_Toc154652692"/>
      <w:r>
        <w:t>Bücher</w:t>
      </w:r>
      <w:bookmarkEnd w:id="254"/>
    </w:p>
    <w:p w14:paraId="0F2CC5E4" w14:textId="77777777" w:rsidR="00AE4EA7" w:rsidRDefault="00000000">
      <w:pPr>
        <w:pStyle w:val="Listenabsatz"/>
        <w:numPr>
          <w:ilvl w:val="0"/>
          <w:numId w:val="4"/>
        </w:numPr>
      </w:pPr>
      <w:r>
        <w:t xml:space="preserve">Berberich O.: </w:t>
      </w:r>
      <w:r w:rsidRPr="004832F9">
        <w:t>Trusted</w:t>
      </w:r>
      <w:r>
        <w:t xml:space="preserve"> Web 4.0 – Konzepte einer digitalen Gesellschaft: Konzepte der Dezentralisierung und Anonymisierung. Springer </w:t>
      </w:r>
      <w:r w:rsidRPr="004832F9">
        <w:t>Vieweg</w:t>
      </w:r>
      <w:r>
        <w:t>, 1. Auflage 2016. ISBN 978-3-662-49189-8</w:t>
      </w:r>
    </w:p>
    <w:p w14:paraId="43B061F7" w14:textId="77777777" w:rsidR="00AE4EA7" w:rsidRDefault="00000000">
      <w:pPr>
        <w:pStyle w:val="Listenabsatz"/>
        <w:numPr>
          <w:ilvl w:val="0"/>
          <w:numId w:val="4"/>
        </w:numPr>
      </w:pPr>
      <w:r>
        <w:t>Haase MS: Datenschutzrechtliche Fragen des Personenbezugs. Mohr Siebeck, 1. Auflage 2015. ISBN 978-3-16-153799-8</w:t>
      </w:r>
    </w:p>
    <w:p w14:paraId="60AB2C07" w14:textId="77777777" w:rsidR="00AE4EA7" w:rsidRDefault="00000000">
      <w:pPr>
        <w:pStyle w:val="Listenabsatz"/>
        <w:numPr>
          <w:ilvl w:val="0"/>
          <w:numId w:val="4"/>
        </w:numPr>
      </w:pPr>
      <w:r w:rsidRPr="004832F9">
        <w:t>El Emam</w:t>
      </w:r>
      <w:r>
        <w:t xml:space="preserve"> K, </w:t>
      </w:r>
      <w:r w:rsidRPr="004832F9">
        <w:t>Arbuckle</w:t>
      </w:r>
      <w:r>
        <w:t xml:space="preserve"> L.: </w:t>
      </w:r>
      <w:r w:rsidRPr="004832F9">
        <w:t>Anonymizing</w:t>
      </w:r>
      <w:r>
        <w:t xml:space="preserve"> </w:t>
      </w:r>
      <w:r w:rsidRPr="004832F9">
        <w:t>Health</w:t>
      </w:r>
      <w:r>
        <w:t xml:space="preserve"> Data. O’Reilly Media, Inc., 1. Auflage 2014. ISBN 9781449363079</w:t>
      </w:r>
    </w:p>
    <w:p w14:paraId="21C4E695" w14:textId="77777777" w:rsidR="00AE4EA7" w:rsidRDefault="00000000">
      <w:pPr>
        <w:pStyle w:val="Listenabsatz"/>
        <w:numPr>
          <w:ilvl w:val="0"/>
          <w:numId w:val="4"/>
        </w:numPr>
      </w:pPr>
      <w:r>
        <w:t xml:space="preserve">Krebs HA, Hagenweiler: Datenanonymisierung im Kontext von </w:t>
      </w:r>
      <w:r w:rsidRPr="004832F9">
        <w:t>Künstlicher</w:t>
      </w:r>
      <w:r>
        <w:t xml:space="preserve"> Intelligenz und Big Data. Springer </w:t>
      </w:r>
      <w:r w:rsidRPr="004832F9">
        <w:t>Vieweg</w:t>
      </w:r>
      <w:r>
        <w:t>, 1. Auflage 2022. ISBN 978-3-658-37587-4</w:t>
      </w:r>
    </w:p>
    <w:p w14:paraId="19CE9409" w14:textId="77777777" w:rsidR="00AE4EA7" w:rsidRDefault="00000000">
      <w:pPr>
        <w:pStyle w:val="Listenabsatz"/>
        <w:numPr>
          <w:ilvl w:val="0"/>
          <w:numId w:val="4"/>
        </w:numPr>
      </w:pPr>
      <w:r w:rsidRPr="004832F9">
        <w:t>Küpper</w:t>
      </w:r>
      <w:r>
        <w:t xml:space="preserve"> J.: Personenbezug von Gruppendaten? Eine Untersuchung am Beispiel von Scoring- und Geo- Gruppendaten. Herbert Utz Verlag, 1. Auflage 2016. ISBN 978-3-8316-4597-8</w:t>
      </w:r>
    </w:p>
    <w:p w14:paraId="2511CFB3" w14:textId="77777777" w:rsidR="00AE4EA7" w:rsidRDefault="00000000">
      <w:pPr>
        <w:pStyle w:val="Listenabsatz"/>
        <w:numPr>
          <w:ilvl w:val="0"/>
          <w:numId w:val="4"/>
        </w:numPr>
      </w:pPr>
      <w:r w:rsidRPr="004832F9">
        <w:t>Mühlenbeck</w:t>
      </w:r>
      <w:r>
        <w:t xml:space="preserve">, </w:t>
      </w:r>
      <w:r w:rsidRPr="004832F9">
        <w:t>RL.</w:t>
      </w:r>
      <w:r>
        <w:t>: Anonyme und pseudonyme Daten. Nomos Verlagsgesellschaft, 1. Auflage 2023. ISBN 978-3-7560-0225-2</w:t>
      </w:r>
    </w:p>
    <w:p w14:paraId="3759C2DF" w14:textId="77777777" w:rsidR="00AE4EA7" w:rsidRDefault="00000000">
      <w:pPr>
        <w:pStyle w:val="berschrift2"/>
      </w:pPr>
      <w:bookmarkStart w:id="255" w:name="_Toc154652693"/>
      <w:r>
        <w:t>Online</w:t>
      </w:r>
      <w:bookmarkEnd w:id="255"/>
    </w:p>
    <w:p w14:paraId="3F6D9DD7" w14:textId="146E5C62" w:rsidR="00070E8C" w:rsidRDefault="00070E8C">
      <w:pPr>
        <w:pStyle w:val="Listenabsatz"/>
        <w:numPr>
          <w:ilvl w:val="0"/>
          <w:numId w:val="4"/>
        </w:numPr>
      </w:pPr>
      <w:r>
        <w:t xml:space="preserve">Artikel-29-Datenschutzgruppe. WP 136 „Stellungnahme 4/2007 zum Begriff 'personenbezogene Daten'“. Online, zitiert am </w:t>
      </w:r>
      <w:r w:rsidR="006B2B45">
        <w:t>2023-10</w:t>
      </w:r>
      <w:r>
        <w:t xml:space="preserve">-14; verfügbar unter </w:t>
      </w:r>
      <w:hyperlink r:id="rId75">
        <w:r>
          <w:rPr>
            <w:rStyle w:val="Internetverknpfung"/>
          </w:rPr>
          <w:t xml:space="preserve">http://ec.europa.eu/justice/article-29/documentation/opinion-recommen </w:t>
        </w:r>
        <w:r w:rsidRPr="004832F9">
          <w:rPr>
            <w:rStyle w:val="Internetverknpfung"/>
          </w:rPr>
          <w:t>dation</w:t>
        </w:r>
        <w:r>
          <w:rPr>
            <w:rStyle w:val="Internetverknpfung"/>
          </w:rPr>
          <w:t>/</w:t>
        </w:r>
        <w:r w:rsidRPr="004832F9">
          <w:rPr>
            <w:rStyle w:val="Internetverknpfung"/>
          </w:rPr>
          <w:t>files</w:t>
        </w:r>
        <w:r>
          <w:rPr>
            <w:rStyle w:val="Internetverknpfung"/>
          </w:rPr>
          <w:t>/2007/</w:t>
        </w:r>
        <w:r w:rsidRPr="004832F9">
          <w:rPr>
            <w:rStyle w:val="Internetverknpfung"/>
          </w:rPr>
          <w:t>wp136_en.pdf</w:t>
        </w:r>
      </w:hyperlink>
    </w:p>
    <w:p w14:paraId="3721EE98" w14:textId="32B735F2" w:rsidR="002559E5" w:rsidRDefault="002559E5" w:rsidP="00A14BBB">
      <w:pPr>
        <w:pStyle w:val="Listenabsatz"/>
        <w:numPr>
          <w:ilvl w:val="0"/>
          <w:numId w:val="4"/>
        </w:numPr>
        <w:jc w:val="left"/>
      </w:pPr>
      <w:r w:rsidRPr="002559E5">
        <w:t>Artikel-29-Datenschutzgruppe (2014) Stellungnahme 5/2014 zu Anonymisierungstechniken. Online, zitiert am 202</w:t>
      </w:r>
      <w:r w:rsidR="006B2B45">
        <w:t>3</w:t>
      </w:r>
      <w:r w:rsidRPr="002559E5">
        <w:t>-1</w:t>
      </w:r>
      <w:r>
        <w:t>1</w:t>
      </w:r>
      <w:r w:rsidRPr="002559E5">
        <w:t>-</w:t>
      </w:r>
      <w:r>
        <w:t>02</w:t>
      </w:r>
      <w:r w:rsidRPr="002559E5">
        <w:t xml:space="preserve">; verfügbar unter </w:t>
      </w:r>
      <w:r w:rsidRPr="004832F9">
        <w:t>https://ec.europa.eu/justice/article-29/documentation/opinion-recommendation/index_en.htm#maincontentSec4</w:t>
      </w:r>
    </w:p>
    <w:p w14:paraId="3CADB4D4" w14:textId="2FCAE6F8" w:rsidR="00A14BBB" w:rsidRDefault="00A14BBB" w:rsidP="00A14BBB">
      <w:pPr>
        <w:pStyle w:val="Listenabsatz"/>
        <w:numPr>
          <w:ilvl w:val="0"/>
          <w:numId w:val="4"/>
        </w:numPr>
        <w:jc w:val="left"/>
      </w:pPr>
      <w:r>
        <w:t xml:space="preserve">Bitkom (2020) </w:t>
      </w:r>
      <w:r w:rsidRPr="00A14BBB">
        <w:t>Anonymisierung und Pseudonymisierung von Daten für Projekte des maschinellen Lernens</w:t>
      </w:r>
      <w:r>
        <w:t xml:space="preserve">. </w:t>
      </w:r>
      <w:r w:rsidRPr="004832F9">
        <w:t>Online,</w:t>
      </w:r>
      <w:r>
        <w:t xml:space="preserve"> zitiert am </w:t>
      </w:r>
      <w:r w:rsidR="006B2B45">
        <w:t>2023-10</w:t>
      </w:r>
      <w:r>
        <w:t xml:space="preserve">-14; verfügbar unter </w:t>
      </w:r>
      <w:hyperlink r:id="rId76" w:history="1">
        <w:r>
          <w:rPr>
            <w:rStyle w:val="Hyperlink"/>
          </w:rPr>
          <w:t>https://www.bitkom.org/Bitkom/ Publikationen/</w:t>
        </w:r>
        <w:r w:rsidRPr="004832F9">
          <w:rPr>
            <w:rStyle w:val="Hyperlink"/>
          </w:rPr>
          <w:t>Anonymisierung-und-Pseudonymisierung-von-Daten-fuer-Projekte-des-maschinellen-Lernens</w:t>
        </w:r>
      </w:hyperlink>
    </w:p>
    <w:p w14:paraId="6207083F" w14:textId="547D1469" w:rsidR="00281DEF" w:rsidRDefault="00281DEF" w:rsidP="00A14BBB">
      <w:pPr>
        <w:pStyle w:val="Listenabsatz"/>
        <w:numPr>
          <w:ilvl w:val="0"/>
          <w:numId w:val="4"/>
        </w:numPr>
        <w:jc w:val="left"/>
      </w:pPr>
      <w:r>
        <w:t>B</w:t>
      </w:r>
      <w:r w:rsidRPr="00281DEF">
        <w:t>undesbeauftragte für den Datenschutz und die Informationsfreiheit</w:t>
      </w:r>
      <w:r>
        <w:t xml:space="preserve"> (2020) </w:t>
      </w:r>
      <w:r w:rsidRPr="00281DEF">
        <w:t xml:space="preserve">Anonymisierung - </w:t>
      </w:r>
      <w:r w:rsidRPr="004832F9">
        <w:t>Eine</w:t>
      </w:r>
      <w:r w:rsidRPr="00281DEF">
        <w:t xml:space="preserve"> Standortbestimmung zwischen der DSGVO und dem TKG</w:t>
      </w:r>
      <w:r>
        <w:t xml:space="preserve">. Online, zitiert am </w:t>
      </w:r>
      <w:r w:rsidR="006B2B45">
        <w:t>2023-10</w:t>
      </w:r>
      <w:r>
        <w:t xml:space="preserve">-14; verfügbar unter </w:t>
      </w:r>
      <w:hyperlink r:id="rId77" w:history="1">
        <w:r>
          <w:rPr>
            <w:rStyle w:val="Hyperlink"/>
          </w:rPr>
          <w:t>https://www.bfdi.bund.de/DE/Fachthemen/Inhalte/Telefon-Internet/ Positionen/</w:t>
        </w:r>
        <w:r w:rsidRPr="004832F9">
          <w:rPr>
            <w:rStyle w:val="Hyperlink"/>
          </w:rPr>
          <w:t>Positionspapier-Anonymisierung-DSGVO-TKG.html</w:t>
        </w:r>
      </w:hyperlink>
    </w:p>
    <w:p w14:paraId="64D25518" w14:textId="4D12E590" w:rsidR="00A14BBB" w:rsidRDefault="00A14BBB">
      <w:pPr>
        <w:pStyle w:val="Listenabsatz"/>
        <w:numPr>
          <w:ilvl w:val="0"/>
          <w:numId w:val="4"/>
        </w:numPr>
      </w:pPr>
      <w:r w:rsidRPr="00A14BBB">
        <w:t xml:space="preserve">Bundesverband der </w:t>
      </w:r>
      <w:r w:rsidRPr="004832F9">
        <w:t>Deutschen</w:t>
      </w:r>
      <w:r w:rsidRPr="00A14BBB">
        <w:t xml:space="preserve"> Industrie e. V. (BDI)</w:t>
      </w:r>
      <w:r>
        <w:t xml:space="preserve"> (2020) </w:t>
      </w:r>
      <w:r w:rsidRPr="00A14BBB">
        <w:t>Anonymisierung personenbezogener Daten</w:t>
      </w:r>
      <w:r>
        <w:t xml:space="preserve">. Online, zitiert am </w:t>
      </w:r>
      <w:r w:rsidR="006B2B45">
        <w:t>2023-10</w:t>
      </w:r>
      <w:r>
        <w:t xml:space="preserve">-14; verfügbar unter </w:t>
      </w:r>
      <w:hyperlink r:id="rId78" w:history="1">
        <w:r>
          <w:rPr>
            <w:rStyle w:val="Hyperlink"/>
          </w:rPr>
          <w:t xml:space="preserve">https://bdi.eu/publikation/news/ </w:t>
        </w:r>
        <w:r w:rsidRPr="004832F9">
          <w:rPr>
            <w:rStyle w:val="Hyperlink"/>
          </w:rPr>
          <w:t>anonymisierung-personenbezogener-daten/</w:t>
        </w:r>
      </w:hyperlink>
    </w:p>
    <w:p w14:paraId="0995AB5F" w14:textId="6581A4D2" w:rsidR="00AE4EA7" w:rsidRDefault="00000000">
      <w:pPr>
        <w:pStyle w:val="Listenabsatz"/>
        <w:numPr>
          <w:ilvl w:val="0"/>
          <w:numId w:val="4"/>
        </w:numPr>
      </w:pPr>
      <w:r w:rsidRPr="004C1658">
        <w:t>DICOM</w:t>
      </w:r>
      <w:r>
        <w:t xml:space="preserve"> Standard – Supplement 142 </w:t>
      </w:r>
      <w:r w:rsidRPr="004832F9">
        <w:t>Clinical</w:t>
      </w:r>
      <w:r>
        <w:t xml:space="preserve"> Trial </w:t>
      </w:r>
      <w:r w:rsidRPr="004832F9">
        <w:t>De-identification</w:t>
      </w:r>
      <w:r>
        <w:t xml:space="preserve"> Profiles (Stand 2009). </w:t>
      </w:r>
      <w:r w:rsidRPr="004832F9">
        <w:t>Online,</w:t>
      </w:r>
      <w:r>
        <w:t xml:space="preserve"> zitiert am </w:t>
      </w:r>
      <w:r w:rsidR="006B2B45">
        <w:t>2023-10</w:t>
      </w:r>
      <w:r>
        <w:t xml:space="preserve">-14; verfügbar unter </w:t>
      </w:r>
      <w:hyperlink r:id="rId79">
        <w:r w:rsidRPr="004832F9">
          <w:rPr>
            <w:rStyle w:val="Internetverknpfung"/>
          </w:rPr>
          <w:t>ftp</w:t>
        </w:r>
        <w:r>
          <w:rPr>
            <w:rStyle w:val="Internetverknpfung"/>
          </w:rPr>
          <w:t>://</w:t>
        </w:r>
        <w:r w:rsidRPr="004832F9">
          <w:rPr>
            <w:rStyle w:val="Internetverknpfung"/>
          </w:rPr>
          <w:t>medical.nema.org</w:t>
        </w:r>
        <w:r>
          <w:rPr>
            <w:rStyle w:val="Internetverknpfung"/>
          </w:rPr>
          <w:t>/</w:t>
        </w:r>
        <w:r w:rsidRPr="004832F9">
          <w:rPr>
            <w:rStyle w:val="Internetverknpfung"/>
          </w:rPr>
          <w:t>medical</w:t>
        </w:r>
        <w:r>
          <w:rPr>
            <w:rStyle w:val="Internetverknpfung"/>
          </w:rPr>
          <w:t>/</w:t>
        </w:r>
        <w:r w:rsidRPr="004832F9">
          <w:rPr>
            <w:rStyle w:val="Internetverknpfung"/>
          </w:rPr>
          <w:t>dicom</w:t>
        </w:r>
        <w:r>
          <w:rPr>
            <w:rStyle w:val="Internetverknpfung"/>
          </w:rPr>
          <w:t xml:space="preserve">/final/ </w:t>
        </w:r>
        <w:r w:rsidRPr="004832F9">
          <w:rPr>
            <w:rStyle w:val="Internetverknpfung"/>
          </w:rPr>
          <w:t>sup142_ft.pdf</w:t>
        </w:r>
      </w:hyperlink>
    </w:p>
    <w:p w14:paraId="07E3CF38" w14:textId="55183BEF" w:rsidR="006D01EC" w:rsidRDefault="006D01EC" w:rsidP="006D01EC">
      <w:pPr>
        <w:pStyle w:val="Listenabsatz"/>
        <w:numPr>
          <w:ilvl w:val="0"/>
          <w:numId w:val="4"/>
        </w:numPr>
      </w:pPr>
      <w:r w:rsidRPr="004832F9">
        <w:t xml:space="preserve">EDPS (2019) Introduction to the hash function as a personal data pseudonymisation technique. </w:t>
      </w:r>
      <w:r w:rsidRPr="004C1658">
        <w:t>Online,</w:t>
      </w:r>
      <w:r>
        <w:t xml:space="preserve"> zitiert am </w:t>
      </w:r>
      <w:r w:rsidR="006B2B45">
        <w:t>2023-10</w:t>
      </w:r>
      <w:r>
        <w:t xml:space="preserve">-14; verfügbar unter </w:t>
      </w:r>
      <w:hyperlink r:id="rId80" w:history="1">
        <w:r w:rsidRPr="004832F9">
          <w:rPr>
            <w:rStyle w:val="Hyperlink"/>
          </w:rPr>
          <w:t>https://edps.europa.eu/data-protection/our-work/publications/papers/introduction-hash-function-personal-data_en</w:t>
        </w:r>
      </w:hyperlink>
    </w:p>
    <w:p w14:paraId="2195011E" w14:textId="6D4F244F" w:rsidR="006D01EC" w:rsidRDefault="006D01EC" w:rsidP="006D01EC">
      <w:pPr>
        <w:pStyle w:val="Listenabsatz"/>
        <w:numPr>
          <w:ilvl w:val="0"/>
          <w:numId w:val="4"/>
        </w:numPr>
      </w:pPr>
      <w:r w:rsidRPr="004832F9">
        <w:t xml:space="preserve">EDPS/ AEPD (2021) 10 misunderstandings related to Anonymisation. </w:t>
      </w:r>
      <w:r w:rsidRPr="004C1658">
        <w:t>Online,</w:t>
      </w:r>
      <w:r>
        <w:t xml:space="preserve"> zitiert am </w:t>
      </w:r>
      <w:r w:rsidR="006B2B45">
        <w:t>2023-10</w:t>
      </w:r>
      <w:r>
        <w:t xml:space="preserve">-14; verfügbar unter </w:t>
      </w:r>
      <w:hyperlink r:id="rId81" w:history="1">
        <w:r>
          <w:rPr>
            <w:rStyle w:val="Hyperlink"/>
          </w:rPr>
          <w:t xml:space="preserve">https://edps.europa.eu/data-protection/our-work/publications/papers/ </w:t>
        </w:r>
        <w:r w:rsidRPr="004832F9">
          <w:rPr>
            <w:rStyle w:val="Hyperlink"/>
          </w:rPr>
          <w:t>aepd-edps-joint-paper-10-misunderstandings-related_en</w:t>
        </w:r>
      </w:hyperlink>
    </w:p>
    <w:p w14:paraId="1F4CB5AA" w14:textId="77777777" w:rsidR="00C9149F" w:rsidRDefault="00C9149F">
      <w:pPr>
        <w:spacing w:after="0" w:line="240" w:lineRule="auto"/>
        <w:jc w:val="left"/>
      </w:pPr>
      <w:r>
        <w:br w:type="page"/>
      </w:r>
    </w:p>
    <w:p w14:paraId="4DDC247E" w14:textId="78318874" w:rsidR="00AE4EA7" w:rsidRDefault="00000000">
      <w:pPr>
        <w:pStyle w:val="Listenabsatz"/>
        <w:numPr>
          <w:ilvl w:val="0"/>
          <w:numId w:val="4"/>
        </w:numPr>
      </w:pPr>
      <w:r>
        <w:t>ENISA</w:t>
      </w:r>
    </w:p>
    <w:p w14:paraId="1170CC78" w14:textId="3B2725EA" w:rsidR="00AE4EA7" w:rsidRDefault="00000000">
      <w:pPr>
        <w:pStyle w:val="Listenabsatz"/>
        <w:numPr>
          <w:ilvl w:val="1"/>
          <w:numId w:val="4"/>
        </w:numPr>
      </w:pPr>
      <w:r w:rsidRPr="004832F9">
        <w:t>Pseudonymisation</w:t>
      </w:r>
      <w:r>
        <w:t xml:space="preserve"> </w:t>
      </w:r>
      <w:r w:rsidRPr="004832F9">
        <w:t>techniques</w:t>
      </w:r>
      <w:r>
        <w:t xml:space="preserve"> </w:t>
      </w:r>
      <w:r w:rsidRPr="004832F9">
        <w:t>and</w:t>
      </w:r>
      <w:r>
        <w:t xml:space="preserve"> </w:t>
      </w:r>
      <w:r w:rsidRPr="004832F9">
        <w:t>best practices</w:t>
      </w:r>
      <w:r>
        <w:t xml:space="preserve"> (2019) Online, zitiert am </w:t>
      </w:r>
      <w:r w:rsidR="006B2B45">
        <w:t>2023-10</w:t>
      </w:r>
      <w:r>
        <w:t xml:space="preserve">-14; verfügbar unter </w:t>
      </w:r>
      <w:hyperlink r:id="rId82">
        <w:r w:rsidRPr="004832F9">
          <w:rPr>
            <w:rStyle w:val="Internetverknpfung"/>
          </w:rPr>
          <w:t>https://www.enisa.europa.eu/publications/pseudonymisation-techniques-and-best-practices</w:t>
        </w:r>
      </w:hyperlink>
    </w:p>
    <w:p w14:paraId="2F60D124" w14:textId="08E32217" w:rsidR="00AE4EA7" w:rsidRDefault="00000000">
      <w:pPr>
        <w:pStyle w:val="Listenabsatz"/>
        <w:numPr>
          <w:ilvl w:val="1"/>
          <w:numId w:val="4"/>
        </w:numPr>
      </w:pPr>
      <w:r>
        <w:t xml:space="preserve">Data </w:t>
      </w:r>
      <w:r w:rsidRPr="004832F9">
        <w:t>Pseudonymisation</w:t>
      </w:r>
      <w:r>
        <w:t xml:space="preserve">: </w:t>
      </w:r>
      <w:r w:rsidRPr="004832F9">
        <w:t>Advanced</w:t>
      </w:r>
      <w:r>
        <w:t xml:space="preserve"> </w:t>
      </w:r>
      <w:r w:rsidRPr="004832F9">
        <w:t>Techniques</w:t>
      </w:r>
      <w:r>
        <w:t xml:space="preserve"> </w:t>
      </w:r>
      <w:r w:rsidRPr="004832F9">
        <w:t>and</w:t>
      </w:r>
      <w:r>
        <w:t xml:space="preserve"> </w:t>
      </w:r>
      <w:r w:rsidRPr="004832F9">
        <w:t>Use</w:t>
      </w:r>
      <w:r>
        <w:t xml:space="preserve"> Cases (2021) Online, zitiert am </w:t>
      </w:r>
      <w:r w:rsidR="006B2B45">
        <w:t>2023-10</w:t>
      </w:r>
      <w:r>
        <w:t xml:space="preserve">-14; verfügbar unter </w:t>
      </w:r>
      <w:hyperlink r:id="rId83">
        <w:r w:rsidRPr="004832F9">
          <w:rPr>
            <w:rStyle w:val="Internetverknpfung"/>
          </w:rPr>
          <w:t>https://www.enisa.europa.eu/publications/data-pseudonymisation-advanced-techniques-and-use-cases</w:t>
        </w:r>
      </w:hyperlink>
    </w:p>
    <w:p w14:paraId="304418BD" w14:textId="5C685207" w:rsidR="00AE4EA7" w:rsidRDefault="00000000">
      <w:pPr>
        <w:pStyle w:val="Listenabsatz"/>
        <w:numPr>
          <w:ilvl w:val="1"/>
          <w:numId w:val="4"/>
        </w:numPr>
      </w:pPr>
      <w:r w:rsidRPr="004832F9">
        <w:t>Deploying</w:t>
      </w:r>
      <w:r>
        <w:t xml:space="preserve"> </w:t>
      </w:r>
      <w:r w:rsidRPr="004832F9">
        <w:t>Pseudonymisation</w:t>
      </w:r>
      <w:r>
        <w:t xml:space="preserve"> </w:t>
      </w:r>
      <w:r w:rsidRPr="004832F9">
        <w:t>Techniques</w:t>
      </w:r>
      <w:r>
        <w:t xml:space="preserve"> (2022) Online, zitiert am </w:t>
      </w:r>
      <w:r w:rsidR="006B2B45">
        <w:t>2023-10</w:t>
      </w:r>
      <w:r>
        <w:t xml:space="preserve">-14; verfügbar unter </w:t>
      </w:r>
      <w:hyperlink r:id="rId84">
        <w:r w:rsidRPr="004832F9">
          <w:rPr>
            <w:rStyle w:val="Internetverknpfung"/>
          </w:rPr>
          <w:t>https://www.enisa.europa.eu/publications/deploying-pseudonymisation-techniques</w:t>
        </w:r>
      </w:hyperlink>
    </w:p>
    <w:p w14:paraId="3F75C927" w14:textId="3F489693" w:rsidR="00AE4EA7" w:rsidRDefault="00000000">
      <w:pPr>
        <w:pStyle w:val="Listenabsatz"/>
        <w:numPr>
          <w:ilvl w:val="1"/>
          <w:numId w:val="4"/>
        </w:numPr>
      </w:pPr>
      <w:r>
        <w:t xml:space="preserve">Data </w:t>
      </w:r>
      <w:r w:rsidRPr="004832F9">
        <w:t>Protection</w:t>
      </w:r>
      <w:r>
        <w:t xml:space="preserve"> Engineering (2022) Online, zitiert am </w:t>
      </w:r>
      <w:r w:rsidR="006B2B45">
        <w:t>2023-10</w:t>
      </w:r>
      <w:r>
        <w:t xml:space="preserve">-14; verfügbar unter </w:t>
      </w:r>
      <w:hyperlink r:id="rId85">
        <w:r w:rsidRPr="004832F9">
          <w:rPr>
            <w:rStyle w:val="Internetverknpfung"/>
          </w:rPr>
          <w:t>https://www.enisa.europa.eu/publications/data-protection-engineering</w:t>
        </w:r>
      </w:hyperlink>
    </w:p>
    <w:p w14:paraId="24B2A361" w14:textId="57256533" w:rsidR="00AE4EA7" w:rsidRDefault="00000000">
      <w:pPr>
        <w:pStyle w:val="Listenabsatz"/>
        <w:numPr>
          <w:ilvl w:val="0"/>
          <w:numId w:val="4"/>
        </w:numPr>
      </w:pPr>
      <w:r w:rsidRPr="004832F9">
        <w:t>Garfinkel</w:t>
      </w:r>
      <w:r>
        <w:t xml:space="preserve"> S. (2015) </w:t>
      </w:r>
      <w:r w:rsidRPr="004832F9">
        <w:t>De-Identification</w:t>
      </w:r>
      <w:r>
        <w:t xml:space="preserve"> </w:t>
      </w:r>
      <w:r w:rsidRPr="004832F9">
        <w:t>of</w:t>
      </w:r>
      <w:r>
        <w:t xml:space="preserve"> Personal Information. Online, zitiert am </w:t>
      </w:r>
      <w:r w:rsidR="006B2B45">
        <w:t>2023-10</w:t>
      </w:r>
      <w:r>
        <w:t xml:space="preserve">-14; verfügbar unter </w:t>
      </w:r>
      <w:hyperlink r:id="rId86">
        <w:r w:rsidRPr="004832F9">
          <w:rPr>
            <w:rStyle w:val="Internetverknpfung"/>
          </w:rPr>
          <w:t>https://nvlpubs.nist.gov/nistpubs/ir/2015/NIST.IR.8053.pdf</w:t>
        </w:r>
      </w:hyperlink>
    </w:p>
    <w:p w14:paraId="74327B47" w14:textId="61758091" w:rsidR="00AE4EA7" w:rsidRDefault="00000000">
      <w:pPr>
        <w:pStyle w:val="Listenabsatz"/>
        <w:numPr>
          <w:ilvl w:val="0"/>
          <w:numId w:val="4"/>
        </w:numPr>
      </w:pPr>
      <w:r w:rsidRPr="004832F9">
        <w:t>Hochfellner</w:t>
      </w:r>
      <w:r>
        <w:t xml:space="preserve"> et al. (2012) </w:t>
      </w:r>
      <w:r w:rsidRPr="004832F9">
        <w:t>FDZ-Methodenreporte</w:t>
      </w:r>
      <w:r>
        <w:t xml:space="preserve">: Datenschutz am Forschungsdatenzentrum. (Hrsg.: Bundesagentur für Arbeit). Online, zitiert am </w:t>
      </w:r>
      <w:r w:rsidR="006B2B45">
        <w:t>2023-10</w:t>
      </w:r>
      <w:r>
        <w:t xml:space="preserve">-14; verfügbar unter </w:t>
      </w:r>
      <w:hyperlink r:id="rId87">
        <w:r>
          <w:rPr>
            <w:rStyle w:val="Internetverknpfung"/>
          </w:rPr>
          <w:t>http://doku.iab.de/fdz/reporte/ 2012/</w:t>
        </w:r>
        <w:r w:rsidRPr="004832F9">
          <w:rPr>
            <w:rStyle w:val="Internetverknpfung"/>
          </w:rPr>
          <w:t>MR_06-12.pdf</w:t>
        </w:r>
      </w:hyperlink>
    </w:p>
    <w:p w14:paraId="7B45C575" w14:textId="5E753199" w:rsidR="008D517C" w:rsidRDefault="008D517C">
      <w:pPr>
        <w:pStyle w:val="Listenabsatz"/>
        <w:numPr>
          <w:ilvl w:val="0"/>
          <w:numId w:val="4"/>
        </w:numPr>
      </w:pPr>
      <w:r w:rsidRPr="004832F9">
        <w:t xml:space="preserve">Information Commissioner's Office (ICO) (2012) Anonymisation: managing data protection risk code of practice. </w:t>
      </w:r>
      <w:r>
        <w:t xml:space="preserve">Online, zitiert am </w:t>
      </w:r>
      <w:r w:rsidR="006B2B45">
        <w:t>2023-10</w:t>
      </w:r>
      <w:r>
        <w:t xml:space="preserve">-14; verfügbar unter </w:t>
      </w:r>
      <w:hyperlink r:id="rId88" w:history="1">
        <w:r>
          <w:rPr>
            <w:rStyle w:val="Hyperlink"/>
          </w:rPr>
          <w:t xml:space="preserve">https://ico.org.uk/media/1061/ </w:t>
        </w:r>
        <w:r w:rsidRPr="004832F9">
          <w:rPr>
            <w:rStyle w:val="Hyperlink"/>
          </w:rPr>
          <w:t>anonymisation-code.pdf</w:t>
        </w:r>
      </w:hyperlink>
    </w:p>
    <w:p w14:paraId="3B193E8F" w14:textId="04D6C4E9" w:rsidR="008D517C" w:rsidRDefault="008D517C" w:rsidP="008D517C">
      <w:pPr>
        <w:pStyle w:val="Listenabsatz"/>
        <w:ind w:left="360"/>
      </w:pPr>
      <w:r>
        <w:t xml:space="preserve">Hinweis: Überarbeitung vorhanden, Draft </w:t>
      </w:r>
      <w:r w:rsidRPr="004832F9">
        <w:t>von einzelnen Kapitel</w:t>
      </w:r>
      <w:r>
        <w:t xml:space="preserve"> ist online verfügbar: </w:t>
      </w:r>
      <w:hyperlink r:id="rId89" w:history="1">
        <w:r w:rsidRPr="004832F9">
          <w:rPr>
            <w:rStyle w:val="Hyperlink"/>
          </w:rPr>
          <w:t>https://ico.org.uk/about-the-ico/ico-and-stakeholder-consultations/ico-call-for-views-anonymisation-pseudonymisation-and-privacy-enhancing-technologies-guidance/</w:t>
        </w:r>
      </w:hyperlink>
    </w:p>
    <w:p w14:paraId="4FB05817" w14:textId="241481B6" w:rsidR="00AE4EA7" w:rsidRDefault="00000000">
      <w:pPr>
        <w:pStyle w:val="Listenabsatz"/>
        <w:numPr>
          <w:ilvl w:val="0"/>
          <w:numId w:val="4"/>
        </w:numPr>
      </w:pPr>
      <w:r w:rsidRPr="004832F9">
        <w:t xml:space="preserve">Integrating the Healthcare Enterprise (IHE), Domain „IT Infrastructure“ (ITI): nalysis of Optimal De-Identification Algorithms for Family Planning Data Elements (Stand 2016-12-02). </w:t>
      </w:r>
      <w:r>
        <w:t xml:space="preserve">Online, zitiert am </w:t>
      </w:r>
      <w:r w:rsidR="006B2B45">
        <w:t>2023-10</w:t>
      </w:r>
      <w:r>
        <w:t xml:space="preserve">-14; verfügbar unter </w:t>
      </w:r>
      <w:hyperlink r:id="rId90">
        <w:r>
          <w:rPr>
            <w:rStyle w:val="Internetverknpfung"/>
          </w:rPr>
          <w:t xml:space="preserve">http://www.ihe.net/uploadedFiles/Documents/ITI/ </w:t>
        </w:r>
        <w:r w:rsidRPr="004832F9">
          <w:rPr>
            <w:rStyle w:val="Internetverknpfung"/>
          </w:rPr>
          <w:t>IHE_ITI_WP_Analysis-of-DeID-Algorithms-for-FP-Data_Elements.pdf</w:t>
        </w:r>
      </w:hyperlink>
    </w:p>
    <w:p w14:paraId="3B304997" w14:textId="2198ACFE" w:rsidR="00AE4EA7" w:rsidRDefault="00000000">
      <w:pPr>
        <w:pStyle w:val="Listenabsatz"/>
        <w:numPr>
          <w:ilvl w:val="0"/>
          <w:numId w:val="4"/>
        </w:numPr>
      </w:pPr>
      <w:r w:rsidRPr="004832F9">
        <w:t xml:space="preserve">Integrating the Healthcare Enterprise (IHE), Domain „IT Infrastructure“ (ITI): Algorithm Mapping Spreadsheet (for use with De-Identification Handbook) (Stand 2014-06-06). </w:t>
      </w:r>
      <w:r>
        <w:t xml:space="preserve">Online, zitiert am 2018-10-14; verfügbar unter </w:t>
      </w:r>
      <w:hyperlink r:id="rId91">
        <w:r>
          <w:rPr>
            <w:rStyle w:val="Internetverknpfung"/>
          </w:rPr>
          <w:t xml:space="preserve">http://www.ihe.net/uploadedFiles/Documents/ITI/ </w:t>
        </w:r>
        <w:r w:rsidRPr="004832F9">
          <w:rPr>
            <w:rStyle w:val="Internetverknpfung"/>
          </w:rPr>
          <w:t>IHE_ITI_Handbook_De-Identification-Mapping_Rev1.1_2014</w:t>
        </w:r>
        <w:r>
          <w:rPr>
            <w:rStyle w:val="Internetverknpfung"/>
          </w:rPr>
          <w:t>-06-06</w:t>
        </w:r>
        <w:r w:rsidRPr="004832F9">
          <w:rPr>
            <w:rStyle w:val="Internetverknpfung"/>
          </w:rPr>
          <w:t>.xlsx</w:t>
        </w:r>
      </w:hyperlink>
    </w:p>
    <w:p w14:paraId="4683FA86" w14:textId="7275AE43" w:rsidR="00AE4EA7" w:rsidRDefault="00000000">
      <w:pPr>
        <w:pStyle w:val="Listenabsatz"/>
        <w:numPr>
          <w:ilvl w:val="0"/>
          <w:numId w:val="4"/>
        </w:numPr>
      </w:pPr>
      <w:r w:rsidRPr="004832F9">
        <w:t>Integrating</w:t>
      </w:r>
      <w:r>
        <w:t xml:space="preserve"> </w:t>
      </w:r>
      <w:r w:rsidRPr="004832F9">
        <w:t>the</w:t>
      </w:r>
      <w:r>
        <w:t xml:space="preserve"> </w:t>
      </w:r>
      <w:r w:rsidRPr="004832F9">
        <w:t>Healthcare</w:t>
      </w:r>
      <w:r>
        <w:t xml:space="preserve"> Enterprise (</w:t>
      </w:r>
      <w:r w:rsidRPr="004832F9">
        <w:t>IHE</w:t>
      </w:r>
      <w:r>
        <w:t>), Domain „</w:t>
      </w:r>
      <w:r w:rsidRPr="004832F9">
        <w:t>Quality</w:t>
      </w:r>
      <w:r>
        <w:t xml:space="preserve">, Research </w:t>
      </w:r>
      <w:r w:rsidRPr="004832F9">
        <w:t>and</w:t>
      </w:r>
      <w:r>
        <w:t xml:space="preserve"> Public </w:t>
      </w:r>
      <w:r w:rsidRPr="004832F9">
        <w:t>Health</w:t>
      </w:r>
      <w:r>
        <w:t>“ (</w:t>
      </w:r>
      <w:r w:rsidRPr="004832F9">
        <w:t>QRPH</w:t>
      </w:r>
      <w:r>
        <w:t xml:space="preserve">): </w:t>
      </w:r>
      <w:r w:rsidRPr="004832F9">
        <w:t>Pseudonymization</w:t>
      </w:r>
      <w:r>
        <w:t xml:space="preserve"> White Paper (Stand: 2008-12-22). </w:t>
      </w:r>
      <w:r w:rsidRPr="004832F9">
        <w:t>Online,</w:t>
      </w:r>
      <w:r>
        <w:t xml:space="preserve"> zitiert am </w:t>
      </w:r>
      <w:r w:rsidR="006B2B45">
        <w:t>2023-10</w:t>
      </w:r>
      <w:r>
        <w:t xml:space="preserve">-14; verfügbar unter </w:t>
      </w:r>
      <w:hyperlink r:id="rId92">
        <w:r w:rsidRPr="004832F9">
          <w:rPr>
            <w:rStyle w:val="Internetverknpfung"/>
          </w:rPr>
          <w:t>ftp</w:t>
        </w:r>
        <w:r>
          <w:rPr>
            <w:rStyle w:val="Internetverknpfung"/>
          </w:rPr>
          <w:t>://</w:t>
        </w:r>
        <w:r w:rsidRPr="004832F9">
          <w:rPr>
            <w:rStyle w:val="Internetverknpfung"/>
          </w:rPr>
          <w:t>ftp.ihe.net</w:t>
        </w:r>
        <w:r>
          <w:rPr>
            <w:rStyle w:val="Internetverknpfung"/>
          </w:rPr>
          <w:t>/</w:t>
        </w:r>
        <w:r w:rsidRPr="004832F9">
          <w:rPr>
            <w:rStyle w:val="Internetverknpfung"/>
          </w:rPr>
          <w:t>Quality</w:t>
        </w:r>
        <w:r>
          <w:rPr>
            <w:rStyle w:val="Internetverknpfung"/>
          </w:rPr>
          <w:t>/2009</w:t>
        </w:r>
        <w:r w:rsidRPr="004832F9">
          <w:rPr>
            <w:rStyle w:val="Internetverknpfung"/>
          </w:rPr>
          <w:t>_2010_YR_3</w:t>
        </w:r>
        <w:r>
          <w:rPr>
            <w:rStyle w:val="Internetverknpfung"/>
          </w:rPr>
          <w:t>/</w:t>
        </w:r>
        <w:r w:rsidRPr="004832F9">
          <w:rPr>
            <w:rStyle w:val="Internetverknpfung"/>
          </w:rPr>
          <w:t>Planning</w:t>
        </w:r>
        <w:r>
          <w:rPr>
            <w:rStyle w:val="Internetverknpfung"/>
          </w:rPr>
          <w:t>/White%</w:t>
        </w:r>
        <w:r w:rsidRPr="004832F9">
          <w:rPr>
            <w:rStyle w:val="Internetverknpfung"/>
          </w:rPr>
          <w:t>20papers</w:t>
        </w:r>
        <w:r>
          <w:rPr>
            <w:rStyle w:val="Internetverknpfung"/>
          </w:rPr>
          <w:t>%20</w:t>
        </w:r>
        <w:r w:rsidRPr="004832F9">
          <w:rPr>
            <w:rStyle w:val="Internetverknpfung"/>
          </w:rPr>
          <w:t>yr</w:t>
        </w:r>
        <w:r>
          <w:rPr>
            <w:rStyle w:val="Internetverknpfung"/>
          </w:rPr>
          <w:t>% 203/</w:t>
        </w:r>
        <w:r w:rsidRPr="004832F9">
          <w:rPr>
            <w:rStyle w:val="Internetverknpfung"/>
          </w:rPr>
          <w:t>Pseudonymisation-WP.doc</w:t>
        </w:r>
      </w:hyperlink>
    </w:p>
    <w:p w14:paraId="6D49F025" w14:textId="6F36ED7C" w:rsidR="00281DEF" w:rsidRDefault="00281DEF">
      <w:pPr>
        <w:pStyle w:val="Listenabsatz"/>
        <w:numPr>
          <w:ilvl w:val="0"/>
          <w:numId w:val="4"/>
        </w:numPr>
      </w:pPr>
      <w:r w:rsidRPr="00281DEF">
        <w:t>Leibniz-Institut für Bildungsforschung und Bildungsinformation</w:t>
      </w:r>
      <w:r>
        <w:t xml:space="preserve">: </w:t>
      </w:r>
      <w:r w:rsidRPr="00281DEF">
        <w:t xml:space="preserve">Anonymisieren und </w:t>
      </w:r>
      <w:r w:rsidRPr="004832F9">
        <w:t>Pseudonymisieren</w:t>
      </w:r>
      <w:r>
        <w:t xml:space="preserve">. Online, zitiert am 2018-10-14; verfügbar unter </w:t>
      </w:r>
      <w:hyperlink r:id="rId93" w:history="1">
        <w:r w:rsidRPr="004832F9">
          <w:rPr>
            <w:rStyle w:val="Hyperlink"/>
          </w:rPr>
          <w:t>https://www.forschungsdaten-bildung.de/anonymisieren-pseudonymisieren</w:t>
        </w:r>
      </w:hyperlink>
    </w:p>
    <w:p w14:paraId="38A7AD15" w14:textId="5317F500" w:rsidR="00281DEF" w:rsidRDefault="00281DEF" w:rsidP="00281DEF">
      <w:pPr>
        <w:pStyle w:val="Listenabsatz"/>
        <w:numPr>
          <w:ilvl w:val="1"/>
          <w:numId w:val="4"/>
        </w:numPr>
      </w:pPr>
      <w:r w:rsidRPr="00281DEF">
        <w:t>Hinweise zur Anonymisierung von qualitativen Daten</w:t>
      </w:r>
      <w:r>
        <w:t xml:space="preserve"> (2014) Online, zitiert am 2018-10-14; verfügbar unter </w:t>
      </w:r>
      <w:hyperlink r:id="rId94" w:history="1">
        <w:r w:rsidRPr="004832F9">
          <w:rPr>
            <w:rStyle w:val="Hyperlink"/>
          </w:rPr>
          <w:t>https://www.pedocs.de/volltexte/2022/21968/pdf/fdb-informiert_1_Meyermann_ua_Hinweise_zur_Anonymisierung_von_qualitativen_Daten_2014_v1-1_A.pdf</w:t>
        </w:r>
      </w:hyperlink>
    </w:p>
    <w:p w14:paraId="3848AF96" w14:textId="77777777" w:rsidR="00C9149F" w:rsidRDefault="00C9149F">
      <w:pPr>
        <w:spacing w:after="0" w:line="240" w:lineRule="auto"/>
        <w:jc w:val="left"/>
      </w:pPr>
      <w:r>
        <w:br w:type="page"/>
      </w:r>
    </w:p>
    <w:p w14:paraId="6C845107" w14:textId="1095D215" w:rsidR="00281DEF" w:rsidRDefault="00281DEF" w:rsidP="00281DEF">
      <w:pPr>
        <w:pStyle w:val="Listenabsatz"/>
        <w:numPr>
          <w:ilvl w:val="1"/>
          <w:numId w:val="4"/>
        </w:numPr>
      </w:pPr>
      <w:r w:rsidRPr="00281DEF">
        <w:t>Hinweise zur Anonymisierung von quantitativen Daten</w:t>
      </w:r>
      <w:r>
        <w:t xml:space="preserve"> (2015) Online, zitiert am 2018-10-14; verfügbar unter </w:t>
      </w:r>
      <w:hyperlink r:id="rId95" w:history="1">
        <w:r w:rsidRPr="004832F9">
          <w:rPr>
            <w:rStyle w:val="Hyperlink"/>
          </w:rPr>
          <w:t>https://www.pedocs.de/volltexte/2022/21970/pdf/fdb-informiert_3_Ebel_ua_Hinweise_zur_Anonymisierung_von_quantitativen_Daten_2015_v1-2_A.pdf</w:t>
        </w:r>
      </w:hyperlink>
    </w:p>
    <w:p w14:paraId="502ECA42" w14:textId="194FF902" w:rsidR="00AE4EA7" w:rsidRDefault="00000000">
      <w:pPr>
        <w:pStyle w:val="Listenabsatz"/>
        <w:numPr>
          <w:ilvl w:val="0"/>
          <w:numId w:val="4"/>
        </w:numPr>
      </w:pPr>
      <w:r>
        <w:t xml:space="preserve">Oracle. (2013) Data </w:t>
      </w:r>
      <w:r w:rsidRPr="004832F9">
        <w:t>Masking</w:t>
      </w:r>
      <w:r>
        <w:t xml:space="preserve"> Best Practice. Online, zitiert am </w:t>
      </w:r>
      <w:r w:rsidR="006B2B45">
        <w:t>2023-10</w:t>
      </w:r>
      <w:r>
        <w:t xml:space="preserve">-22; verfügbar unter </w:t>
      </w:r>
      <w:hyperlink r:id="rId96">
        <w:r w:rsidRPr="004832F9">
          <w:rPr>
            <w:rStyle w:val="Internetverknpfung"/>
          </w:rPr>
          <w:t>https://www.oracle.com/technetwork/database/manageability/data-masking-wp-12c-1964774.pdf</w:t>
        </w:r>
      </w:hyperlink>
    </w:p>
    <w:p w14:paraId="795B7E34" w14:textId="12BA0C09" w:rsidR="006D01EC" w:rsidRDefault="006D01EC" w:rsidP="00A14BBB">
      <w:pPr>
        <w:pStyle w:val="Listenabsatz"/>
        <w:numPr>
          <w:ilvl w:val="0"/>
          <w:numId w:val="4"/>
        </w:numPr>
        <w:jc w:val="left"/>
      </w:pPr>
      <w:r w:rsidRPr="006D01EC">
        <w:t xml:space="preserve">Personal Data </w:t>
      </w:r>
      <w:r w:rsidRPr="004832F9">
        <w:t>Protection</w:t>
      </w:r>
      <w:r w:rsidRPr="006D01EC">
        <w:t xml:space="preserve"> </w:t>
      </w:r>
      <w:r w:rsidRPr="004832F9">
        <w:t>Commsission</w:t>
      </w:r>
      <w:r w:rsidR="00045A16">
        <w:t xml:space="preserve"> </w:t>
      </w:r>
      <w:r>
        <w:t>Singapur (2018) G</w:t>
      </w:r>
      <w:r w:rsidRPr="006D01EC">
        <w:t xml:space="preserve">uide </w:t>
      </w:r>
      <w:r w:rsidRPr="004832F9">
        <w:t>to</w:t>
      </w:r>
      <w:r w:rsidRPr="006D01EC">
        <w:t xml:space="preserve"> </w:t>
      </w:r>
      <w:r w:rsidRPr="004832F9">
        <w:t>basic</w:t>
      </w:r>
      <w:r w:rsidRPr="006D01EC">
        <w:t xml:space="preserve"> </w:t>
      </w:r>
      <w:r w:rsidRPr="004832F9">
        <w:t>data</w:t>
      </w:r>
      <w:r w:rsidRPr="006D01EC">
        <w:t xml:space="preserve"> </w:t>
      </w:r>
      <w:r w:rsidRPr="004832F9">
        <w:t>anonymisation</w:t>
      </w:r>
      <w:r w:rsidRPr="006D01EC">
        <w:t xml:space="preserve"> </w:t>
      </w:r>
      <w:r w:rsidRPr="004832F9">
        <w:t>techniques</w:t>
      </w:r>
      <w:r>
        <w:t xml:space="preserve">. Online, zitiert am </w:t>
      </w:r>
      <w:r w:rsidR="006B2B45">
        <w:t>2023-10</w:t>
      </w:r>
      <w:r>
        <w:t xml:space="preserve">-14; verfügbar unter </w:t>
      </w:r>
      <w:hyperlink r:id="rId97" w:history="1">
        <w:r w:rsidRPr="00372B81">
          <w:rPr>
            <w:rStyle w:val="Hyperlink"/>
          </w:rPr>
          <w:t>https://www.pdpc.gov.sg/-/media/Files/PDPC/PDF-Files/Other-Guides/Guide-to-Anonymisation_v1-(250118)</w:t>
        </w:r>
        <w:r w:rsidRPr="004832F9">
          <w:rPr>
            <w:rStyle w:val="Hyperlink"/>
          </w:rPr>
          <w:t>.pdf?la</w:t>
        </w:r>
        <w:r w:rsidRPr="00372B81">
          <w:rPr>
            <w:rStyle w:val="Hyperlink"/>
          </w:rPr>
          <w:t>=</w:t>
        </w:r>
        <w:r w:rsidRPr="004832F9">
          <w:rPr>
            <w:rStyle w:val="Hyperlink"/>
          </w:rPr>
          <w:t>en</w:t>
        </w:r>
      </w:hyperlink>
    </w:p>
    <w:p w14:paraId="209BEEFE" w14:textId="07182347" w:rsidR="0040200F" w:rsidRDefault="0040200F" w:rsidP="00A14BBB">
      <w:pPr>
        <w:pStyle w:val="Listenabsatz"/>
        <w:numPr>
          <w:ilvl w:val="0"/>
          <w:numId w:val="4"/>
        </w:numPr>
        <w:jc w:val="left"/>
      </w:pPr>
      <w:r w:rsidRPr="0040200F">
        <w:t>Schröder, Dominique (2022) Sachverständigengutachten zum Schutz medizinischer Daten im Rahmen der Vorgaben des § 303b SGB V</w:t>
      </w:r>
      <w:r>
        <w:t xml:space="preserve">. </w:t>
      </w:r>
      <w:r w:rsidRPr="004832F9">
        <w:t>Online,</w:t>
      </w:r>
      <w:r>
        <w:t xml:space="preserve"> zitiert am 202</w:t>
      </w:r>
      <w:r w:rsidR="006B2B45">
        <w:t>3</w:t>
      </w:r>
      <w:r>
        <w:t xml:space="preserve">-11-02; verfügbar unter </w:t>
      </w:r>
      <w:hyperlink r:id="rId98" w:history="1">
        <w:r>
          <w:rPr>
            <w:rStyle w:val="Hyperlink"/>
          </w:rPr>
          <w:t>https://freiheitsrechte.org/uploads/documents/Freiheit-</w:t>
        </w:r>
        <w:r w:rsidRPr="004832F9">
          <w:rPr>
            <w:rStyle w:val="Hyperlink"/>
          </w:rPr>
          <w:t>im-digitalen-Zeitalter</w:t>
        </w:r>
        <w:r>
          <w:rPr>
            <w:rStyle w:val="Hyperlink"/>
          </w:rPr>
          <w:t>/ Gesundheitsdaten/</w:t>
        </w:r>
        <w:r w:rsidRPr="004832F9">
          <w:rPr>
            <w:rStyle w:val="Hyperlink"/>
          </w:rPr>
          <w:t>2022-04-25-Gutachten_Schroeder-Gesundheitsdaten</w:t>
        </w:r>
        <w:r>
          <w:rPr>
            <w:rStyle w:val="Hyperlink"/>
          </w:rPr>
          <w:t>-</w:t>
        </w:r>
        <w:r w:rsidRPr="004832F9">
          <w:rPr>
            <w:rStyle w:val="Hyperlink"/>
          </w:rPr>
          <w:t>Gesellschaft_fuer_</w:t>
        </w:r>
        <w:r>
          <w:rPr>
            <w:rStyle w:val="Hyperlink"/>
          </w:rPr>
          <w:t xml:space="preserve"> </w:t>
        </w:r>
        <w:r w:rsidRPr="004832F9">
          <w:rPr>
            <w:rStyle w:val="Hyperlink"/>
          </w:rPr>
          <w:t>Freiheitsrechte.pdf</w:t>
        </w:r>
      </w:hyperlink>
    </w:p>
    <w:p w14:paraId="43415B9D" w14:textId="6D00BF4F" w:rsidR="00E87699" w:rsidRDefault="00E87699" w:rsidP="00E87699">
      <w:pPr>
        <w:pStyle w:val="Listenabsatz"/>
        <w:numPr>
          <w:ilvl w:val="0"/>
          <w:numId w:val="4"/>
        </w:numPr>
        <w:jc w:val="left"/>
      </w:pPr>
      <w:r w:rsidRPr="00E87699">
        <w:t>Schwartmann R</w:t>
      </w:r>
      <w:r>
        <w:t xml:space="preserve">, </w:t>
      </w:r>
      <w:r w:rsidRPr="00E87699">
        <w:t>Weiß</w:t>
      </w:r>
      <w:r>
        <w:t xml:space="preserve"> </w:t>
      </w:r>
      <w:r w:rsidRPr="00E87699">
        <w:t>S</w:t>
      </w:r>
      <w:r>
        <w:t xml:space="preserve">. </w:t>
      </w:r>
      <w:r w:rsidRPr="00E87699">
        <w:t xml:space="preserve">(Hrsg.) Entwurf für einen Code of Conduct zum Einsatz DS-GVO konformer Pseudonymisierung. </w:t>
      </w:r>
      <w:r>
        <w:t xml:space="preserve">Stand Oktober 2019. </w:t>
      </w:r>
      <w:r w:rsidRPr="00E87699">
        <w:t xml:space="preserve">Online, zitiert am 2024-01-25; verfügbar unter </w:t>
      </w:r>
      <w:hyperlink r:id="rId99" w:history="1">
        <w:r w:rsidRPr="00E87699">
          <w:rPr>
            <w:rStyle w:val="Hyperlink"/>
          </w:rPr>
          <w:t>https://www.de.digital/DIGITAL/Redaktion/DE/Digital-Gipfel/Download/2019/p9-code-of-conduct.pdf?blob=publicationFile&amp;v=</w:t>
        </w:r>
        <w:r w:rsidRPr="0082301C">
          <w:rPr>
            <w:rStyle w:val="Hyperlink"/>
          </w:rPr>
          <w:t>1</w:t>
        </w:r>
      </w:hyperlink>
    </w:p>
    <w:p w14:paraId="15A4C1B8" w14:textId="45E88C38" w:rsidR="00A14BBB" w:rsidRDefault="00A14BBB" w:rsidP="00A14BBB">
      <w:pPr>
        <w:pStyle w:val="Listenabsatz"/>
        <w:numPr>
          <w:ilvl w:val="0"/>
          <w:numId w:val="4"/>
        </w:numPr>
        <w:jc w:val="left"/>
      </w:pPr>
      <w:r w:rsidRPr="00A14BBB">
        <w:t>Stiftung Datenschutz</w:t>
      </w:r>
      <w:r>
        <w:t xml:space="preserve"> (2022) </w:t>
      </w:r>
      <w:r w:rsidRPr="00A14BBB">
        <w:t>Grundsatzregeln für die Anonymisierung personenbezogener Daten</w:t>
      </w:r>
      <w:r>
        <w:t xml:space="preserve">. Online, zitiert am </w:t>
      </w:r>
      <w:r w:rsidR="006B2B45">
        <w:t>2023-10</w:t>
      </w:r>
      <w:r>
        <w:t xml:space="preserve">-22; verfügbar unter </w:t>
      </w:r>
      <w:hyperlink r:id="rId100" w:history="1">
        <w:r>
          <w:rPr>
            <w:rStyle w:val="Hyperlink"/>
          </w:rPr>
          <w:t>https://stiftungdatenschutz.org/fileadmin/ Redaktion/Dokumente/</w:t>
        </w:r>
        <w:r w:rsidRPr="004832F9">
          <w:rPr>
            <w:rStyle w:val="Hyperlink"/>
          </w:rPr>
          <w:t>Anonymisierung_personenbezogener_Daten</w:t>
        </w:r>
        <w:r>
          <w:rPr>
            <w:rStyle w:val="Hyperlink"/>
          </w:rPr>
          <w:t>/</w:t>
        </w:r>
        <w:r w:rsidRPr="004832F9">
          <w:rPr>
            <w:rStyle w:val="Hyperlink"/>
          </w:rPr>
          <w:t>SDS_Studie_Grundsatzregeln_Web_01.pdf</w:t>
        </w:r>
      </w:hyperlink>
    </w:p>
    <w:p w14:paraId="4F41FD28" w14:textId="21D15927" w:rsidR="00A14BBB" w:rsidRDefault="00A14BBB">
      <w:pPr>
        <w:pStyle w:val="Listenabsatz"/>
        <w:numPr>
          <w:ilvl w:val="0"/>
          <w:numId w:val="4"/>
        </w:numPr>
      </w:pPr>
      <w:r w:rsidRPr="00A14BBB">
        <w:t>Stiftung Datenschutz</w:t>
      </w:r>
      <w:r>
        <w:t xml:space="preserve"> (2022) </w:t>
      </w:r>
      <w:r w:rsidRPr="00A14BBB">
        <w:t>Praxisleitfaden zur Anonymisierung</w:t>
      </w:r>
      <w:r>
        <w:t xml:space="preserve">. Online, zitiert am </w:t>
      </w:r>
      <w:r w:rsidR="006B2B45">
        <w:t>2023-10</w:t>
      </w:r>
      <w:r>
        <w:t xml:space="preserve">-22; verfügbar unter </w:t>
      </w:r>
      <w:hyperlink r:id="rId101" w:history="1">
        <w:r>
          <w:rPr>
            <w:rStyle w:val="Hyperlink"/>
          </w:rPr>
          <w:t xml:space="preserve">https://stiftungdatenschutz.org/fileadmin/Redaktion/Dokumente/ </w:t>
        </w:r>
        <w:r w:rsidRPr="004832F9">
          <w:rPr>
            <w:rStyle w:val="Hyperlink"/>
          </w:rPr>
          <w:t>Anonymisierung_personenbezogener_Daten</w:t>
        </w:r>
        <w:r>
          <w:rPr>
            <w:rStyle w:val="Hyperlink"/>
          </w:rPr>
          <w:t>/</w:t>
        </w:r>
        <w:r w:rsidRPr="004832F9">
          <w:rPr>
            <w:rStyle w:val="Hyperlink"/>
          </w:rPr>
          <w:t>SDS_Studie_Praxisleitfaden-Anonymisieren-Web_01.pdf</w:t>
        </w:r>
      </w:hyperlink>
    </w:p>
    <w:p w14:paraId="2E122F2D" w14:textId="51FF6E94" w:rsidR="00AE4EA7" w:rsidRDefault="00000000">
      <w:pPr>
        <w:pStyle w:val="Listenabsatz"/>
        <w:numPr>
          <w:ilvl w:val="0"/>
          <w:numId w:val="4"/>
        </w:numPr>
      </w:pPr>
      <w:r>
        <w:t>Statistisches Bundesamt (</w:t>
      </w:r>
      <w:r w:rsidRPr="004832F9">
        <w:t>Destatis</w:t>
      </w:r>
      <w:r>
        <w:t>)</w:t>
      </w:r>
    </w:p>
    <w:p w14:paraId="0AA8AC17" w14:textId="78D13BC2" w:rsidR="00AE4EA7" w:rsidRDefault="00000000">
      <w:pPr>
        <w:pStyle w:val="Listenabsatz"/>
        <w:numPr>
          <w:ilvl w:val="1"/>
          <w:numId w:val="4"/>
        </w:numPr>
        <w:jc w:val="left"/>
      </w:pPr>
      <w:r>
        <w:t xml:space="preserve">Handbuch zur Anonymisierung wirtschaftsstatistischer Mikrodaten (Band 4 der Reihe Statistik und Wissenschaft, 2005). Online, zitiert am </w:t>
      </w:r>
      <w:r w:rsidR="006B2B45">
        <w:t>2023-10</w:t>
      </w:r>
      <w:r>
        <w:t xml:space="preserve">-14; verfügbar unter </w:t>
      </w:r>
      <w:hyperlink r:id="rId102">
        <w:r w:rsidRPr="004832F9">
          <w:rPr>
            <w:rStyle w:val="Internetverknpfung"/>
          </w:rPr>
          <w:t>https://www.statistischebibliothek.de/mir/receive/DEMonografie_mods_00000267</w:t>
        </w:r>
      </w:hyperlink>
      <w:hyperlink r:id="rId103">
        <w:r w:rsidRPr="004832F9">
          <w:rPr>
            <w:rStyle w:val="Internetverknpfung"/>
          </w:rPr>
          <w:t>https://www.destatis.de/DE/Publikationen/StatistikWissenschaft/Band4_AnonymisierungMikrodaten.html</w:t>
        </w:r>
      </w:hyperlink>
    </w:p>
    <w:p w14:paraId="03DEA090" w14:textId="1344F2B3" w:rsidR="00AE4EA7" w:rsidRDefault="00000000">
      <w:pPr>
        <w:pStyle w:val="Listenabsatz"/>
        <w:numPr>
          <w:ilvl w:val="1"/>
          <w:numId w:val="4"/>
        </w:numPr>
        <w:jc w:val="left"/>
      </w:pPr>
      <w:r>
        <w:t xml:space="preserve">Verfahren zur Anonymisierung von Einzeldaten (Band 16 der Reihe Statistik und Wissenschaft, 2010). Online, zitiert am </w:t>
      </w:r>
      <w:r w:rsidR="006B2B45">
        <w:t>2023-10</w:t>
      </w:r>
      <w:r>
        <w:t xml:space="preserve">-14]; verfügbar unter </w:t>
      </w:r>
      <w:hyperlink r:id="rId104">
        <w:r w:rsidRPr="004832F9">
          <w:rPr>
            <w:rStyle w:val="Internetverknpfung"/>
          </w:rPr>
          <w:t>https://www.statistischebibliothek.de/mir/receive/DEMonografie_mods_00000242</w:t>
        </w:r>
      </w:hyperlink>
    </w:p>
    <w:p w14:paraId="0EC25C41" w14:textId="6F0315D0" w:rsidR="00AE4EA7" w:rsidRDefault="00000000">
      <w:pPr>
        <w:pStyle w:val="Listenabsatz"/>
        <w:numPr>
          <w:ilvl w:val="1"/>
          <w:numId w:val="4"/>
        </w:numPr>
        <w:jc w:val="left"/>
      </w:pPr>
      <w:r>
        <w:t xml:space="preserve">Methoden der Geheimhaltung wirtschaftsstatistischer Einzeldaten und ihre Schutzwirkung (Band 18 der Reihe Statistik und Wissenschaft, 2010). Online, zitiert am </w:t>
      </w:r>
      <w:r w:rsidR="006B2B45">
        <w:t>2023-10</w:t>
      </w:r>
      <w:r>
        <w:t xml:space="preserve">-14; verfügbar unter </w:t>
      </w:r>
      <w:hyperlink r:id="rId105">
        <w:r w:rsidRPr="004832F9">
          <w:rPr>
            <w:rStyle w:val="Internetverknpfung"/>
          </w:rPr>
          <w:t>https://www.statistischebibliothek.de/mir/receive/DEMonografie_mods_00000245</w:t>
        </w:r>
      </w:hyperlink>
    </w:p>
    <w:p w14:paraId="5159D5F8" w14:textId="77777777" w:rsidR="00AE4EA7" w:rsidRDefault="00000000">
      <w:pPr>
        <w:pStyle w:val="Listenabsatz"/>
        <w:numPr>
          <w:ilvl w:val="0"/>
          <w:numId w:val="4"/>
        </w:numPr>
      </w:pPr>
      <w:r w:rsidRPr="004832F9">
        <w:t>TMF</w:t>
      </w:r>
      <w:r>
        <w:t xml:space="preserve"> - Technologie- und Methodenplattform für die vernetzte medizinische Forschung </w:t>
      </w:r>
      <w:r w:rsidRPr="004832F9">
        <w:t>e.V.</w:t>
      </w:r>
    </w:p>
    <w:p w14:paraId="7E72794F" w14:textId="226D7992" w:rsidR="00AE4EA7" w:rsidRDefault="00000000">
      <w:pPr>
        <w:pStyle w:val="Listenabsatz"/>
        <w:numPr>
          <w:ilvl w:val="1"/>
          <w:numId w:val="4"/>
        </w:numPr>
      </w:pPr>
      <w:r>
        <w:t xml:space="preserve">Anonymisierung. Online, zitiert am </w:t>
      </w:r>
      <w:r w:rsidR="006B2B45">
        <w:t>2023-10</w:t>
      </w:r>
      <w:r>
        <w:t xml:space="preserve">-14; verfügbar unter </w:t>
      </w:r>
      <w:hyperlink r:id="rId106">
        <w:r w:rsidRPr="004832F9">
          <w:rPr>
            <w:rStyle w:val="Internetverknpfung"/>
          </w:rPr>
          <w:t>https://www.toolpool-gesundheitsforschung.de/produkte/?term=anonymisierung</w:t>
        </w:r>
      </w:hyperlink>
    </w:p>
    <w:p w14:paraId="08A4D353" w14:textId="3E60CB8B" w:rsidR="00AE4EA7" w:rsidRDefault="00000000">
      <w:pPr>
        <w:pStyle w:val="Listenabsatz"/>
        <w:numPr>
          <w:ilvl w:val="1"/>
          <w:numId w:val="4"/>
        </w:numPr>
        <w:rPr>
          <w:rStyle w:val="Internetverknpfung"/>
          <w:color w:val="auto"/>
          <w:u w:val="none"/>
        </w:rPr>
      </w:pPr>
      <w:r>
        <w:t xml:space="preserve">Pseudonymisierung. Online, zitiert am </w:t>
      </w:r>
      <w:r w:rsidR="006B2B45">
        <w:t>2023-10</w:t>
      </w:r>
      <w:r>
        <w:t xml:space="preserve">-14; verfügbar unter </w:t>
      </w:r>
      <w:hyperlink r:id="rId107">
        <w:r w:rsidRPr="004832F9">
          <w:rPr>
            <w:rStyle w:val="Internetverknpfung"/>
          </w:rPr>
          <w:t>https://www.toolpool-gesundheitsforschung.de/produkte/?term=pseudonymisierung</w:t>
        </w:r>
      </w:hyperlink>
    </w:p>
    <w:p w14:paraId="364BC1F0" w14:textId="587BCB45" w:rsidR="00AE4EA7" w:rsidRDefault="00000000">
      <w:pPr>
        <w:pStyle w:val="Listenabsatz"/>
        <w:numPr>
          <w:ilvl w:val="0"/>
          <w:numId w:val="4"/>
        </w:numPr>
      </w:pPr>
      <w:r w:rsidRPr="004832F9">
        <w:t xml:space="preserve">U.S. Department of Health &amp; Human Services: Guidance Regarding Methods for De-identification of Protected Health Information in Accordance with the Health Insurance Portability and Accountability Act (HIPAA) Privacy Rule. </w:t>
      </w:r>
      <w:r>
        <w:t xml:space="preserve">Online, zitiert am </w:t>
      </w:r>
      <w:r w:rsidR="006B2B45">
        <w:t>2023-10</w:t>
      </w:r>
      <w:r>
        <w:t xml:space="preserve">-14; verfügbar unter </w:t>
      </w:r>
      <w:hyperlink r:id="rId108">
        <w:r w:rsidRPr="004832F9">
          <w:rPr>
            <w:rStyle w:val="Internetverknpfung"/>
          </w:rPr>
          <w:t>https://www.hhs.gov/hipaa/for-professionals/privacy/special-topics/de-identification/index.html</w:t>
        </w:r>
      </w:hyperlink>
    </w:p>
    <w:p w14:paraId="135BE32A" w14:textId="77777777" w:rsidR="00AE4EA7" w:rsidRDefault="00000000">
      <w:pPr>
        <w:pStyle w:val="berschrift2"/>
      </w:pPr>
      <w:bookmarkStart w:id="256" w:name="_Toc154652694"/>
      <w:r>
        <w:t>Zeitschriften</w:t>
      </w:r>
      <w:bookmarkEnd w:id="256"/>
    </w:p>
    <w:p w14:paraId="3943819B" w14:textId="38F27041" w:rsidR="004F79DB" w:rsidRDefault="004F79DB" w:rsidP="004F79DB">
      <w:pPr>
        <w:pStyle w:val="Listenabsatz"/>
        <w:numPr>
          <w:ilvl w:val="0"/>
          <w:numId w:val="4"/>
        </w:numPr>
      </w:pPr>
      <w:r w:rsidRPr="004832F9">
        <w:t>Abbasi</w:t>
      </w:r>
      <w:r>
        <w:t xml:space="preserve"> A, </w:t>
      </w:r>
      <w:r w:rsidRPr="004832F9">
        <w:t>Mohammadi</w:t>
      </w:r>
      <w:r>
        <w:t xml:space="preserve"> B. (2021) A </w:t>
      </w:r>
      <w:r w:rsidRPr="004832F9">
        <w:t>clustering-based</w:t>
      </w:r>
      <w:r>
        <w:t xml:space="preserve"> </w:t>
      </w:r>
      <w:r w:rsidRPr="004832F9">
        <w:t>anonymization</w:t>
      </w:r>
      <w:r>
        <w:t xml:space="preserve"> </w:t>
      </w:r>
      <w:r w:rsidRPr="004832F9">
        <w:t>approach</w:t>
      </w:r>
      <w:r>
        <w:t xml:space="preserve"> </w:t>
      </w:r>
      <w:r w:rsidRPr="004832F9">
        <w:t>for</w:t>
      </w:r>
      <w:r>
        <w:t xml:space="preserve"> </w:t>
      </w:r>
      <w:r w:rsidRPr="004832F9">
        <w:t>privacy-preserving</w:t>
      </w:r>
      <w:r>
        <w:t xml:space="preserve"> in </w:t>
      </w:r>
      <w:r w:rsidRPr="004832F9">
        <w:t>the</w:t>
      </w:r>
      <w:r>
        <w:t xml:space="preserve"> </w:t>
      </w:r>
      <w:r w:rsidRPr="004832F9">
        <w:t>healthcare</w:t>
      </w:r>
      <w:r>
        <w:t xml:space="preserve"> </w:t>
      </w:r>
      <w:r w:rsidRPr="004832F9">
        <w:t>cloud</w:t>
      </w:r>
      <w:r>
        <w:t xml:space="preserve">. </w:t>
      </w:r>
      <w:r w:rsidRPr="004832F9">
        <w:t xml:space="preserve">Concurrency Computat Pract Exper. </w:t>
      </w:r>
      <w:r>
        <w:t>(</w:t>
      </w:r>
      <w:r w:rsidRPr="004F79DB">
        <w:t>34</w:t>
      </w:r>
      <w:r>
        <w:t>)</w:t>
      </w:r>
      <w:r w:rsidRPr="004F79DB">
        <w:t>:</w:t>
      </w:r>
      <w:r>
        <w:t xml:space="preserve"> </w:t>
      </w:r>
      <w:r w:rsidRPr="004832F9">
        <w:t>e6487-e6491</w:t>
      </w:r>
      <w:r w:rsidRPr="004F79DB">
        <w:t>.</w:t>
      </w:r>
      <w:r>
        <w:t xml:space="preserve"> </w:t>
      </w:r>
      <w:hyperlink r:id="rId109" w:history="1">
        <w:r w:rsidRPr="00DF3CEB">
          <w:rPr>
            <w:rStyle w:val="Hyperlink"/>
          </w:rPr>
          <w:t>https://doi.org/10.1002/</w:t>
        </w:r>
        <w:r w:rsidRPr="004832F9">
          <w:rPr>
            <w:rStyle w:val="Hyperlink"/>
          </w:rPr>
          <w:t>cpe.6487</w:t>
        </w:r>
      </w:hyperlink>
    </w:p>
    <w:p w14:paraId="38478AF2" w14:textId="4D383CB7" w:rsidR="00EA60AE" w:rsidRDefault="00EA60AE" w:rsidP="008378A6">
      <w:pPr>
        <w:pStyle w:val="Listenabsatz"/>
        <w:numPr>
          <w:ilvl w:val="0"/>
          <w:numId w:val="4"/>
        </w:numPr>
      </w:pPr>
      <w:r w:rsidRPr="00EA60AE">
        <w:t>Adrian</w:t>
      </w:r>
      <w:r>
        <w:t xml:space="preserve"> et al. (2022) Entwicklung und Evaluation automatischer Verfahren zur Anonymisierung von Gerichtsentscheidungen. </w:t>
      </w:r>
      <w:r w:rsidRPr="004832F9">
        <w:t>LTZ</w:t>
      </w:r>
      <w:r>
        <w:t>: 233-238</w:t>
      </w:r>
    </w:p>
    <w:p w14:paraId="472686F8" w14:textId="0CBC01DD" w:rsidR="00AE4EA7" w:rsidRPr="004832F9" w:rsidRDefault="00000000">
      <w:pPr>
        <w:pStyle w:val="Listenabsatz"/>
        <w:numPr>
          <w:ilvl w:val="0"/>
          <w:numId w:val="4"/>
        </w:numPr>
        <w:rPr>
          <w:rStyle w:val="Internetverknpfung"/>
          <w:color w:val="auto"/>
          <w:u w:val="none"/>
        </w:rPr>
      </w:pPr>
      <w:r w:rsidRPr="004832F9">
        <w:t xml:space="preserve">Akgün et al. (2015) Privacy preserving processing of genomic data: A survey. Journal of Biomedical Informatics, </w:t>
      </w:r>
      <w:hyperlink r:id="rId110">
        <w:r w:rsidRPr="004832F9">
          <w:rPr>
            <w:rStyle w:val="Internetverknpfung"/>
          </w:rPr>
          <w:t>http://dx.doi.org/10.1016/j.jbi.2015.05.022</w:t>
        </w:r>
      </w:hyperlink>
    </w:p>
    <w:p w14:paraId="2C14A13A" w14:textId="77777777" w:rsidR="00AE4EA7" w:rsidRDefault="00000000">
      <w:pPr>
        <w:pStyle w:val="Listenabsatz"/>
        <w:numPr>
          <w:ilvl w:val="0"/>
          <w:numId w:val="4"/>
        </w:numPr>
        <w:rPr>
          <w:rStyle w:val="Internetverknpfung"/>
          <w:color w:val="auto"/>
          <w:u w:val="none"/>
        </w:rPr>
      </w:pPr>
      <w:r w:rsidRPr="004832F9">
        <w:rPr>
          <w:rStyle w:val="Internetverknpfung"/>
          <w:color w:val="auto"/>
          <w:u w:val="none"/>
        </w:rPr>
        <w:t>Amiri</w:t>
      </w:r>
      <w:r>
        <w:rPr>
          <w:rStyle w:val="Internetverknpfung"/>
          <w:color w:val="auto"/>
          <w:u w:val="none"/>
        </w:rPr>
        <w:t xml:space="preserve"> et al. (2019) </w:t>
      </w:r>
      <w:r w:rsidRPr="004832F9">
        <w:rPr>
          <w:rStyle w:val="Internetverknpfung"/>
          <w:color w:val="auto"/>
          <w:u w:val="none"/>
        </w:rPr>
        <w:t>Bayesian-based</w:t>
      </w:r>
      <w:r>
        <w:rPr>
          <w:rStyle w:val="Internetverknpfung"/>
          <w:color w:val="auto"/>
          <w:u w:val="none"/>
        </w:rPr>
        <w:t xml:space="preserve"> </w:t>
      </w:r>
      <w:r w:rsidRPr="004832F9">
        <w:rPr>
          <w:rStyle w:val="Internetverknpfung"/>
          <w:color w:val="auto"/>
          <w:u w:val="none"/>
        </w:rPr>
        <w:t>Anonymization</w:t>
      </w:r>
      <w:r>
        <w:rPr>
          <w:rStyle w:val="Internetverknpfung"/>
          <w:color w:val="auto"/>
          <w:u w:val="none"/>
        </w:rPr>
        <w:t xml:space="preserve"> Framework </w:t>
      </w:r>
      <w:r w:rsidRPr="004832F9">
        <w:rPr>
          <w:rStyle w:val="Internetverknpfung"/>
          <w:color w:val="auto"/>
          <w:u w:val="none"/>
        </w:rPr>
        <w:t>against</w:t>
      </w:r>
      <w:r>
        <w:rPr>
          <w:rStyle w:val="Internetverknpfung"/>
          <w:color w:val="auto"/>
          <w:u w:val="none"/>
        </w:rPr>
        <w:t xml:space="preserve"> Background Knowledge Attack in </w:t>
      </w:r>
      <w:r w:rsidRPr="004832F9">
        <w:rPr>
          <w:rStyle w:val="Internetverknpfung"/>
          <w:color w:val="auto"/>
          <w:u w:val="none"/>
        </w:rPr>
        <w:t>Continuous</w:t>
      </w:r>
      <w:r>
        <w:rPr>
          <w:rStyle w:val="Internetverknpfung"/>
          <w:color w:val="auto"/>
          <w:u w:val="none"/>
        </w:rPr>
        <w:t xml:space="preserve"> Data </w:t>
      </w:r>
      <w:r w:rsidRPr="004832F9">
        <w:rPr>
          <w:rStyle w:val="Internetverknpfung"/>
          <w:color w:val="auto"/>
          <w:u w:val="none"/>
        </w:rPr>
        <w:t>Publishing</w:t>
      </w:r>
      <w:r>
        <w:rPr>
          <w:rStyle w:val="Internetverknpfung"/>
          <w:color w:val="auto"/>
          <w:u w:val="none"/>
        </w:rPr>
        <w:t xml:space="preserve">. Transactions On </w:t>
      </w:r>
      <w:r w:rsidRPr="004832F9">
        <w:rPr>
          <w:rStyle w:val="Internetverknpfung"/>
          <w:color w:val="auto"/>
          <w:u w:val="none"/>
        </w:rPr>
        <w:t>data</w:t>
      </w:r>
      <w:r>
        <w:rPr>
          <w:rStyle w:val="Internetverknpfung"/>
          <w:color w:val="auto"/>
          <w:u w:val="none"/>
        </w:rPr>
        <w:t xml:space="preserve"> </w:t>
      </w:r>
      <w:r w:rsidRPr="004832F9">
        <w:rPr>
          <w:rStyle w:val="Internetverknpfung"/>
          <w:color w:val="auto"/>
          <w:u w:val="none"/>
        </w:rPr>
        <w:t>Privacy</w:t>
      </w:r>
      <w:r>
        <w:rPr>
          <w:rStyle w:val="Internetverknpfung"/>
          <w:color w:val="auto"/>
          <w:u w:val="none"/>
        </w:rPr>
        <w:t xml:space="preserve"> (12): 197-225</w:t>
      </w:r>
    </w:p>
    <w:p w14:paraId="2D36B0FE" w14:textId="48DB841A" w:rsidR="00116C6D" w:rsidRDefault="00116C6D" w:rsidP="008A4CA9">
      <w:pPr>
        <w:pStyle w:val="Listenabsatz"/>
        <w:numPr>
          <w:ilvl w:val="0"/>
          <w:numId w:val="4"/>
        </w:numPr>
      </w:pPr>
      <w:r w:rsidRPr="004832F9">
        <w:t xml:space="preserve">Babu et al. (2013) Achieving k-anonymity Using Improved Greedy Heuristics for Very Large Relational Databases. </w:t>
      </w:r>
      <w:r w:rsidRPr="00116C6D">
        <w:t xml:space="preserve">Transactions on Data </w:t>
      </w:r>
      <w:r w:rsidRPr="004832F9">
        <w:t>Privacy</w:t>
      </w:r>
      <w:r>
        <w:t>: 1-7</w:t>
      </w:r>
    </w:p>
    <w:p w14:paraId="2E79EC56" w14:textId="53C159EA" w:rsidR="00AE4EA7" w:rsidRPr="0030590C" w:rsidRDefault="00000000">
      <w:pPr>
        <w:pStyle w:val="Listenabsatz"/>
        <w:numPr>
          <w:ilvl w:val="0"/>
          <w:numId w:val="4"/>
        </w:numPr>
        <w:rPr>
          <w:rStyle w:val="Internetverknpfung"/>
          <w:color w:val="auto"/>
          <w:u w:val="none"/>
        </w:rPr>
      </w:pPr>
      <w:r>
        <w:t xml:space="preserve">Bandara K, Bandara D, Fernando S. (2021) Evaluation </w:t>
      </w:r>
      <w:r w:rsidRPr="004832F9">
        <w:t>of</w:t>
      </w:r>
      <w:r>
        <w:t xml:space="preserve"> </w:t>
      </w:r>
      <w:r w:rsidRPr="004832F9">
        <w:t>Re-identification</w:t>
      </w:r>
      <w:r>
        <w:t xml:space="preserve"> </w:t>
      </w:r>
      <w:r w:rsidRPr="004832F9">
        <w:t>Risks</w:t>
      </w:r>
      <w:r>
        <w:t xml:space="preserve"> in Data </w:t>
      </w:r>
      <w:r w:rsidRPr="004832F9">
        <w:t>Anonymization</w:t>
      </w:r>
      <w:r>
        <w:t xml:space="preserve"> </w:t>
      </w:r>
      <w:r w:rsidRPr="004832F9">
        <w:t>Techniques</w:t>
      </w:r>
      <w:r>
        <w:t xml:space="preserve"> </w:t>
      </w:r>
      <w:r w:rsidRPr="004832F9">
        <w:t>Based</w:t>
      </w:r>
      <w:r>
        <w:t xml:space="preserve"> on Population </w:t>
      </w:r>
      <w:r w:rsidRPr="004832F9">
        <w:t>Uniqueness</w:t>
      </w:r>
      <w:r>
        <w:t xml:space="preserve">. IEEE 2021. </w:t>
      </w:r>
      <w:hyperlink r:id="rId111">
        <w:r>
          <w:rPr>
            <w:rStyle w:val="Internetverknpfung"/>
          </w:rPr>
          <w:t>https://ieeexplore.ieee.org/abstract/document/9310884</w:t>
        </w:r>
      </w:hyperlink>
    </w:p>
    <w:p w14:paraId="71226980" w14:textId="03C377C1" w:rsidR="00116C6D" w:rsidRDefault="00116C6D" w:rsidP="00A262E6">
      <w:pPr>
        <w:pStyle w:val="Listenabsatz"/>
        <w:numPr>
          <w:ilvl w:val="0"/>
          <w:numId w:val="4"/>
        </w:numPr>
      </w:pPr>
      <w:r w:rsidRPr="004832F9">
        <w:t xml:space="preserve">Bayardo RJ, Agrawal R. (200) Data Privacy Through Optimal k-Anonymization. </w:t>
      </w:r>
      <w:r w:rsidRPr="00116C6D">
        <w:t>21</w:t>
      </w:r>
      <w:r w:rsidRPr="004832F9">
        <w:t>st</w:t>
      </w:r>
      <w:r w:rsidRPr="00116C6D">
        <w:t xml:space="preserve"> </w:t>
      </w:r>
      <w:r w:rsidRPr="004832F9">
        <w:t>International</w:t>
      </w:r>
      <w:r w:rsidRPr="00116C6D">
        <w:t xml:space="preserve"> Conference on Data Engineering (</w:t>
      </w:r>
      <w:r w:rsidRPr="004832F9">
        <w:t>ICDE</w:t>
      </w:r>
      <w:r w:rsidRPr="00116C6D">
        <w:t>'05), Tokyo, Japan</w:t>
      </w:r>
      <w:r>
        <w:t>:</w:t>
      </w:r>
      <w:r w:rsidRPr="00116C6D">
        <w:t xml:space="preserve"> 217-228, </w:t>
      </w:r>
      <w:hyperlink r:id="rId112" w:history="1">
        <w:r w:rsidRPr="00F123A9">
          <w:rPr>
            <w:rStyle w:val="Hyperlink"/>
          </w:rPr>
          <w:t>https://doi.org/10.1109/</w:t>
        </w:r>
        <w:r w:rsidRPr="004832F9">
          <w:rPr>
            <w:rStyle w:val="Hyperlink"/>
          </w:rPr>
          <w:t>ICDE.2005.42</w:t>
        </w:r>
      </w:hyperlink>
    </w:p>
    <w:p w14:paraId="5416BFA8" w14:textId="32869C2E" w:rsidR="00EA60AE" w:rsidRDefault="00EA60AE" w:rsidP="00A262E6">
      <w:pPr>
        <w:pStyle w:val="Listenabsatz"/>
        <w:numPr>
          <w:ilvl w:val="0"/>
          <w:numId w:val="4"/>
        </w:numPr>
      </w:pPr>
      <w:r w:rsidRPr="004832F9">
        <w:t>Bischoff</w:t>
      </w:r>
      <w:r w:rsidRPr="00EA60AE">
        <w:t>,</w:t>
      </w:r>
      <w:r>
        <w:t xml:space="preserve"> C. (2020) Pseudonymisierung und Anonymisierung von personenbezogenen Forschungsdaten im Rahmen klinischer Prüfungen von Arzneimitteln (Teil I) – </w:t>
      </w:r>
      <w:r w:rsidRPr="004832F9">
        <w:t>Gesetzliche</w:t>
      </w:r>
      <w:r>
        <w:t xml:space="preserve"> Anforderungen. </w:t>
      </w:r>
      <w:r w:rsidRPr="004832F9">
        <w:t>PharmR</w:t>
      </w:r>
      <w:r>
        <w:t>: 309-315</w:t>
      </w:r>
    </w:p>
    <w:p w14:paraId="5ABD204F" w14:textId="26422F21" w:rsidR="00EA60AE" w:rsidRDefault="00EA60AE" w:rsidP="001B0843">
      <w:pPr>
        <w:pStyle w:val="Listenabsatz"/>
        <w:numPr>
          <w:ilvl w:val="0"/>
          <w:numId w:val="4"/>
        </w:numPr>
      </w:pPr>
      <w:r w:rsidRPr="004832F9">
        <w:t>Bischoff</w:t>
      </w:r>
      <w:r>
        <w:t xml:space="preserve"> C, Drechsler J. (2020) Pseudonymisierung und Anonymisierung im Rahmen klinischer Prüfungen von Arzneimitteln (Teil II). </w:t>
      </w:r>
      <w:r w:rsidRPr="004832F9">
        <w:t>PharmR</w:t>
      </w:r>
      <w:r>
        <w:t>: 389-396</w:t>
      </w:r>
    </w:p>
    <w:p w14:paraId="001F3288" w14:textId="32E7C7C3" w:rsidR="0030590C" w:rsidRDefault="0030590C" w:rsidP="0030590C">
      <w:pPr>
        <w:pStyle w:val="Listenabsatz"/>
        <w:numPr>
          <w:ilvl w:val="0"/>
          <w:numId w:val="4"/>
        </w:numPr>
      </w:pPr>
      <w:r w:rsidRPr="004832F9">
        <w:t xml:space="preserve">Branson et al. (2020) Evaluating the re-identification risk of a clinical study report anonymized under EMA Policy 0070 and Health Canada Regulations. </w:t>
      </w:r>
      <w:r>
        <w:t xml:space="preserve">Trials: </w:t>
      </w:r>
      <w:hyperlink r:id="rId113" w:history="1">
        <w:r w:rsidRPr="009A62DA">
          <w:rPr>
            <w:rStyle w:val="Hyperlink"/>
          </w:rPr>
          <w:t>https://doi.org/10.1186/</w:t>
        </w:r>
        <w:r w:rsidRPr="004832F9">
          <w:rPr>
            <w:rStyle w:val="Hyperlink"/>
          </w:rPr>
          <w:t>s13063</w:t>
        </w:r>
        <w:r w:rsidRPr="009A62DA">
          <w:rPr>
            <w:rStyle w:val="Hyperlink"/>
          </w:rPr>
          <w:t>-020-4120-y</w:t>
        </w:r>
      </w:hyperlink>
    </w:p>
    <w:p w14:paraId="166C76E9" w14:textId="77777777" w:rsidR="00AE4EA7" w:rsidRDefault="00000000">
      <w:pPr>
        <w:pStyle w:val="Listenabsatz"/>
        <w:numPr>
          <w:ilvl w:val="0"/>
          <w:numId w:val="4"/>
        </w:numPr>
      </w:pPr>
      <w:r w:rsidRPr="004832F9">
        <w:t>Brisch</w:t>
      </w:r>
      <w:r>
        <w:t xml:space="preserve"> K, </w:t>
      </w:r>
      <w:r w:rsidRPr="004832F9">
        <w:t>Pieper</w:t>
      </w:r>
      <w:r>
        <w:t xml:space="preserve"> F. (2015) </w:t>
      </w:r>
      <w:r w:rsidRPr="004832F9">
        <w:t>Das</w:t>
      </w:r>
      <w:r>
        <w:t xml:space="preserve"> Kriterium der "Bestimmbarkeit" bei Big Data-Analyseverfahren - Anonymisierung, Vernunft und rechtliche Absicherung bei Datenübermittlungen. </w:t>
      </w:r>
      <w:r w:rsidRPr="004832F9">
        <w:t>CR</w:t>
      </w:r>
      <w:r>
        <w:t>: 724-729</w:t>
      </w:r>
    </w:p>
    <w:p w14:paraId="3B802151" w14:textId="4524835A" w:rsidR="004F79DB" w:rsidRDefault="004F79DB" w:rsidP="004F79DB">
      <w:pPr>
        <w:pStyle w:val="Listenabsatz"/>
        <w:numPr>
          <w:ilvl w:val="0"/>
          <w:numId w:val="4"/>
        </w:numPr>
      </w:pPr>
      <w:r w:rsidRPr="004832F9">
        <w:t xml:space="preserve">Chuanlu et al. (2021) Utility Preserved Facial Image De-identification Using Appearance Subspace Decomposition. </w:t>
      </w:r>
      <w:r w:rsidRPr="004F79DB">
        <w:t xml:space="preserve">Chinese Institute </w:t>
      </w:r>
      <w:r w:rsidRPr="004832F9">
        <w:t>of</w:t>
      </w:r>
      <w:r w:rsidRPr="004F79DB">
        <w:t xml:space="preserve"> Electronics</w:t>
      </w:r>
      <w:r>
        <w:t xml:space="preserve"> (30): 413-418. </w:t>
      </w:r>
      <w:hyperlink r:id="rId114" w:history="1">
        <w:r w:rsidR="00383094">
          <w:rPr>
            <w:rStyle w:val="Hyperlink"/>
          </w:rPr>
          <w:t>https://doi.org/ 10.1049/</w:t>
        </w:r>
        <w:r w:rsidR="00383094" w:rsidRPr="004832F9">
          <w:rPr>
            <w:rStyle w:val="Hyperlink"/>
          </w:rPr>
          <w:t>cje.2021.03.004</w:t>
        </w:r>
      </w:hyperlink>
    </w:p>
    <w:p w14:paraId="5A1A900D" w14:textId="56D009CD" w:rsidR="00AE4EA7" w:rsidRDefault="00000000">
      <w:pPr>
        <w:pStyle w:val="Listenabsatz"/>
        <w:numPr>
          <w:ilvl w:val="0"/>
          <w:numId w:val="4"/>
        </w:numPr>
      </w:pPr>
      <w:r w:rsidRPr="004832F9">
        <w:t xml:space="preserve">Chevrier et al. (2019) Use and Understanding of Anonymization and De-Identification in the Biomedical Literature: Scoping Review. </w:t>
      </w:r>
      <w:r>
        <w:t xml:space="preserve">J </w:t>
      </w:r>
      <w:r w:rsidRPr="004832F9">
        <w:t>Med</w:t>
      </w:r>
      <w:r>
        <w:t xml:space="preserve"> Internet Res): </w:t>
      </w:r>
      <w:r w:rsidRPr="004832F9">
        <w:t>e13484</w:t>
      </w:r>
      <w:r>
        <w:t xml:space="preserve">. </w:t>
      </w:r>
      <w:hyperlink r:id="rId115">
        <w:r>
          <w:rPr>
            <w:rStyle w:val="Internetverknpfung"/>
          </w:rPr>
          <w:t>https://www.ncbi.nlm.nih.gov/pmc/articles/PMC6658290/?report=printable#</w:t>
        </w:r>
      </w:hyperlink>
    </w:p>
    <w:p w14:paraId="48152088" w14:textId="77777777" w:rsidR="00AE4EA7" w:rsidRDefault="00000000">
      <w:pPr>
        <w:pStyle w:val="Listenabsatz"/>
        <w:numPr>
          <w:ilvl w:val="0"/>
          <w:numId w:val="4"/>
        </w:numPr>
      </w:pPr>
      <w:r w:rsidRPr="004832F9">
        <w:t>De Capitani</w:t>
      </w:r>
      <w:r>
        <w:t xml:space="preserve"> di </w:t>
      </w:r>
      <w:r w:rsidRPr="004832F9">
        <w:t>Vimercati</w:t>
      </w:r>
      <w:r>
        <w:t xml:space="preserve"> et al. (2023) </w:t>
      </w:r>
      <w:r w:rsidRPr="004832F9">
        <w:t>k-Anonymity</w:t>
      </w:r>
      <w:r>
        <w:t xml:space="preserve">: </w:t>
      </w:r>
      <w:r w:rsidRPr="004832F9">
        <w:t>From</w:t>
      </w:r>
      <w:r>
        <w:t xml:space="preserve"> </w:t>
      </w:r>
      <w:r w:rsidRPr="004832F9">
        <w:t>Theory</w:t>
      </w:r>
      <w:r>
        <w:t xml:space="preserve"> </w:t>
      </w:r>
      <w:r w:rsidRPr="004832F9">
        <w:t>to</w:t>
      </w:r>
      <w:r>
        <w:t xml:space="preserve"> </w:t>
      </w:r>
      <w:r w:rsidRPr="004832F9">
        <w:t>Applications</w:t>
      </w:r>
      <w:r>
        <w:t xml:space="preserve">. Transactions On </w:t>
      </w:r>
      <w:r w:rsidRPr="004832F9">
        <w:t>data</w:t>
      </w:r>
      <w:r>
        <w:t xml:space="preserve"> </w:t>
      </w:r>
      <w:r w:rsidRPr="004832F9">
        <w:t>Privacy</w:t>
      </w:r>
      <w:r>
        <w:t xml:space="preserve"> (16): 25-49</w:t>
      </w:r>
    </w:p>
    <w:p w14:paraId="6D8DEB21" w14:textId="6C635DE4" w:rsidR="00AE4EA7" w:rsidRPr="004832F9" w:rsidRDefault="00000000">
      <w:pPr>
        <w:pStyle w:val="Listenabsatz"/>
        <w:numPr>
          <w:ilvl w:val="0"/>
          <w:numId w:val="4"/>
        </w:numPr>
        <w:rPr>
          <w:rStyle w:val="Internetverknpfung"/>
          <w:color w:val="auto"/>
          <w:u w:val="none"/>
        </w:rPr>
      </w:pPr>
      <w:r w:rsidRPr="004832F9">
        <w:t>El Emam</w:t>
      </w:r>
      <w:r>
        <w:t xml:space="preserve">, et al. (2011) A </w:t>
      </w:r>
      <w:r w:rsidRPr="004832F9">
        <w:t>Systematic</w:t>
      </w:r>
      <w:r>
        <w:t xml:space="preserve"> Review </w:t>
      </w:r>
      <w:r w:rsidRPr="004832F9">
        <w:t>of</w:t>
      </w:r>
      <w:r>
        <w:t xml:space="preserve"> </w:t>
      </w:r>
      <w:r w:rsidRPr="004832F9">
        <w:t>Re-Identification</w:t>
      </w:r>
      <w:r>
        <w:t xml:space="preserve"> Attacks on </w:t>
      </w:r>
      <w:r w:rsidRPr="004832F9">
        <w:t>Health</w:t>
      </w:r>
      <w:r>
        <w:t xml:space="preserve"> Data. </w:t>
      </w:r>
      <w:r w:rsidRPr="004832F9">
        <w:t xml:space="preserve">PLoS One 6(12): e28071, </w:t>
      </w:r>
      <w:hyperlink r:id="rId116">
        <w:r w:rsidRPr="004832F9">
          <w:rPr>
            <w:rStyle w:val="Internetverknpfung"/>
          </w:rPr>
          <w:t>https://www.ncbi.nlm.nih.gov/pmc/articles/PMC3229505/</w:t>
        </w:r>
      </w:hyperlink>
    </w:p>
    <w:p w14:paraId="78823623" w14:textId="77777777" w:rsidR="00AE4EA7" w:rsidRDefault="00000000">
      <w:pPr>
        <w:pStyle w:val="Listenabsatz"/>
        <w:numPr>
          <w:ilvl w:val="0"/>
          <w:numId w:val="4"/>
        </w:numPr>
      </w:pPr>
      <w:r w:rsidRPr="004832F9">
        <w:t xml:space="preserve">Elliot et al. (2018) Functional anonymisation: Personal data and the data environment. </w:t>
      </w:r>
      <w:r>
        <w:t xml:space="preserve">Computer Law </w:t>
      </w:r>
      <w:r w:rsidRPr="004832F9">
        <w:t>and</w:t>
      </w:r>
      <w:r>
        <w:t xml:space="preserve"> Security Review (34): 204-221</w:t>
      </w:r>
    </w:p>
    <w:p w14:paraId="2DF275D3" w14:textId="51CA24E6" w:rsidR="00A0465D" w:rsidRDefault="00A0465D">
      <w:pPr>
        <w:pStyle w:val="Listenabsatz"/>
        <w:numPr>
          <w:ilvl w:val="0"/>
          <w:numId w:val="4"/>
        </w:numPr>
      </w:pPr>
      <w:r w:rsidRPr="004832F9">
        <w:t>Emam</w:t>
      </w:r>
      <w:r w:rsidRPr="00A0465D">
        <w:t xml:space="preserve"> </w:t>
      </w:r>
      <w:r w:rsidRPr="004832F9">
        <w:t>KE</w:t>
      </w:r>
      <w:r w:rsidRPr="00A0465D">
        <w:t>, Image O, Bass J. (2020</w:t>
      </w:r>
      <w:r w:rsidRPr="004832F9">
        <w:t xml:space="preserve">) </w:t>
      </w:r>
      <w:r w:rsidRPr="00A0465D">
        <w:t xml:space="preserve"> </w:t>
      </w:r>
      <w:r w:rsidRPr="004832F9">
        <w:t>Evaluating</w:t>
      </w:r>
      <w:r w:rsidRPr="00A0465D">
        <w:t xml:space="preserve"> </w:t>
      </w:r>
      <w:r w:rsidRPr="004832F9">
        <w:t>Identity</w:t>
      </w:r>
      <w:r w:rsidRPr="00A0465D">
        <w:t xml:space="preserve"> </w:t>
      </w:r>
      <w:r w:rsidRPr="004832F9">
        <w:t>Disclosure</w:t>
      </w:r>
      <w:r w:rsidRPr="00A0465D">
        <w:t xml:space="preserve"> </w:t>
      </w:r>
      <w:r w:rsidRPr="004832F9">
        <w:t>Risk</w:t>
      </w:r>
      <w:r w:rsidRPr="00A0465D">
        <w:t xml:space="preserve"> in </w:t>
      </w:r>
      <w:r w:rsidRPr="004832F9">
        <w:t>Fully</w:t>
      </w:r>
      <w:r w:rsidRPr="00A0465D">
        <w:t xml:space="preserve"> </w:t>
      </w:r>
      <w:r w:rsidRPr="004832F9">
        <w:t>Synthetic</w:t>
      </w:r>
      <w:r w:rsidRPr="00A0465D">
        <w:t xml:space="preserve"> </w:t>
      </w:r>
      <w:r w:rsidRPr="004832F9">
        <w:t>Health</w:t>
      </w:r>
      <w:r w:rsidRPr="00A0465D">
        <w:t xml:space="preserve"> Data: Model Development </w:t>
      </w:r>
      <w:r w:rsidRPr="004832F9">
        <w:t>and</w:t>
      </w:r>
      <w:r w:rsidRPr="00A0465D">
        <w:t xml:space="preserve"> Validation. J </w:t>
      </w:r>
      <w:r w:rsidRPr="004832F9">
        <w:t>Med</w:t>
      </w:r>
      <w:r w:rsidRPr="00A0465D">
        <w:t xml:space="preserve"> Internet Res 22(11):</w:t>
      </w:r>
      <w:r w:rsidRPr="004832F9">
        <w:t>e23139</w:t>
      </w:r>
      <w:r w:rsidRPr="00A0465D">
        <w:t xml:space="preserve">. </w:t>
      </w:r>
      <w:hyperlink r:id="rId117" w:history="1">
        <w:r w:rsidRPr="00363F86">
          <w:rPr>
            <w:rStyle w:val="Hyperlink"/>
          </w:rPr>
          <w:t>https://doi.org/10.2196/23139</w:t>
        </w:r>
      </w:hyperlink>
    </w:p>
    <w:p w14:paraId="3663E54F" w14:textId="5490A35A" w:rsidR="00AE4EA7" w:rsidRPr="004832F9" w:rsidRDefault="00000000">
      <w:pPr>
        <w:pStyle w:val="Listenabsatz"/>
        <w:numPr>
          <w:ilvl w:val="0"/>
          <w:numId w:val="4"/>
        </w:numPr>
      </w:pPr>
      <w:r w:rsidRPr="004832F9">
        <w:t xml:space="preserve">Gal et al. (2014) A data recipient centered de-identiﬁcation method to retain statistical Attributes. J Biomed Inform, </w:t>
      </w:r>
      <w:hyperlink r:id="rId118">
        <w:r w:rsidRPr="004832F9">
          <w:rPr>
            <w:rStyle w:val="Internetverknpfung"/>
          </w:rPr>
          <w:t>http://dx.doi.org/10.1016/j.jbi.2014.01.001</w:t>
        </w:r>
      </w:hyperlink>
    </w:p>
    <w:p w14:paraId="3160E6A2" w14:textId="77777777" w:rsidR="00AE4EA7" w:rsidRDefault="00000000">
      <w:pPr>
        <w:pStyle w:val="Listenabsatz"/>
        <w:numPr>
          <w:ilvl w:val="0"/>
          <w:numId w:val="4"/>
        </w:numPr>
      </w:pPr>
      <w:r w:rsidRPr="004832F9">
        <w:t>Geschonneck</w:t>
      </w:r>
      <w:r>
        <w:t xml:space="preserve"> A, Meyer J, </w:t>
      </w:r>
      <w:r w:rsidRPr="004832F9">
        <w:t>Scheben</w:t>
      </w:r>
      <w:r>
        <w:t xml:space="preserve"> B. (2011) Anonymisierung im Rahmen der forensischen Datenanalyse. BB</w:t>
      </w:r>
      <w:r w:rsidRPr="004832F9">
        <w:t>:2677-2680</w:t>
      </w:r>
    </w:p>
    <w:p w14:paraId="1833F595" w14:textId="25D983E7" w:rsidR="0030590C" w:rsidRPr="004832F9" w:rsidRDefault="0030590C" w:rsidP="0030590C">
      <w:pPr>
        <w:pStyle w:val="Listenabsatz"/>
        <w:numPr>
          <w:ilvl w:val="0"/>
          <w:numId w:val="4"/>
        </w:numPr>
      </w:pPr>
      <w:r w:rsidRPr="004832F9">
        <w:t>Gille</w:t>
      </w:r>
      <w:r w:rsidRPr="0030590C">
        <w:t xml:space="preserve"> </w:t>
      </w:r>
      <w:r>
        <w:t xml:space="preserve">F, </w:t>
      </w:r>
      <w:r w:rsidRPr="004832F9">
        <w:t>Brall</w:t>
      </w:r>
      <w:r>
        <w:t xml:space="preserve"> C. (2021) Limits </w:t>
      </w:r>
      <w:r w:rsidRPr="004832F9">
        <w:t>of</w:t>
      </w:r>
      <w:r>
        <w:t xml:space="preserve"> </w:t>
      </w:r>
      <w:r w:rsidRPr="004832F9">
        <w:t>data</w:t>
      </w:r>
      <w:r>
        <w:t xml:space="preserve"> </w:t>
      </w:r>
      <w:r w:rsidRPr="004832F9">
        <w:t>anonymity</w:t>
      </w:r>
      <w:r>
        <w:t xml:space="preserve">: lack </w:t>
      </w:r>
      <w:r w:rsidRPr="004832F9">
        <w:t>of</w:t>
      </w:r>
      <w:r>
        <w:t xml:space="preserve"> </w:t>
      </w:r>
      <w:r w:rsidRPr="004832F9">
        <w:t>public</w:t>
      </w:r>
      <w:r>
        <w:t xml:space="preserve"> </w:t>
      </w:r>
      <w:r w:rsidRPr="004832F9">
        <w:t>awareness</w:t>
      </w:r>
      <w:r>
        <w:t xml:space="preserve"> </w:t>
      </w:r>
      <w:r w:rsidRPr="004832F9">
        <w:t>risks</w:t>
      </w:r>
      <w:r>
        <w:t xml:space="preserve"> </w:t>
      </w:r>
      <w:r w:rsidRPr="004832F9">
        <w:t>trust</w:t>
      </w:r>
      <w:r>
        <w:t xml:space="preserve"> in </w:t>
      </w:r>
      <w:r w:rsidRPr="004832F9">
        <w:t>health</w:t>
      </w:r>
      <w:r>
        <w:t xml:space="preserve"> </w:t>
      </w:r>
      <w:r w:rsidRPr="004832F9">
        <w:t>system</w:t>
      </w:r>
      <w:r>
        <w:t xml:space="preserve"> </w:t>
      </w:r>
      <w:r w:rsidRPr="004832F9">
        <w:t>activities</w:t>
      </w:r>
      <w:r>
        <w:t xml:space="preserve">. </w:t>
      </w:r>
      <w:r w:rsidRPr="004832F9">
        <w:t xml:space="preserve">Life Sciences, Society and Policy: </w:t>
      </w:r>
      <w:hyperlink r:id="rId119" w:history="1">
        <w:r w:rsidRPr="004832F9">
          <w:rPr>
            <w:rStyle w:val="Hyperlink"/>
          </w:rPr>
          <w:t>https://doi.org/10.1186/s40504-021-00115-9</w:t>
        </w:r>
      </w:hyperlink>
    </w:p>
    <w:p w14:paraId="6D7CB402" w14:textId="77777777" w:rsidR="00AE4EA7" w:rsidRDefault="00000000">
      <w:pPr>
        <w:pStyle w:val="Listenabsatz"/>
        <w:numPr>
          <w:ilvl w:val="0"/>
          <w:numId w:val="4"/>
        </w:numPr>
      </w:pPr>
      <w:r>
        <w:t xml:space="preserve">Hammer V, Knopp M. (2015) Datenschutzinstrumente Anonymisierung, Pseudonyme und Verschlüsselung. </w:t>
      </w:r>
      <w:r w:rsidRPr="004832F9">
        <w:t>DuD</w:t>
      </w:r>
      <w:r>
        <w:t>: 503509</w:t>
      </w:r>
    </w:p>
    <w:p w14:paraId="795B96C9" w14:textId="0EA2BBE8" w:rsidR="00D37709" w:rsidRDefault="00D37709" w:rsidP="00D37709">
      <w:pPr>
        <w:pStyle w:val="Listenabsatz"/>
        <w:numPr>
          <w:ilvl w:val="0"/>
          <w:numId w:val="4"/>
        </w:numPr>
      </w:pPr>
      <w:r w:rsidRPr="00D37709">
        <w:t xml:space="preserve">Hansson et al. (2016) The risk of re-identification versus the need to identify individuals in rare disease research. Eur J Hum Genet 24(11): 1553–1558. Online, zitiert am 2023-10-14; verfügbar unter </w:t>
      </w:r>
      <w:hyperlink r:id="rId120" w:history="1">
        <w:r w:rsidRPr="00B96755">
          <w:rPr>
            <w:rStyle w:val="Hyperlink"/>
          </w:rPr>
          <w:t>https://www.ncbi.nlm.nih.gov/pmc/articles/PMC5110051/</w:t>
        </w:r>
      </w:hyperlink>
    </w:p>
    <w:p w14:paraId="6412A4CA" w14:textId="4478B9C9" w:rsidR="00AE4EA7" w:rsidRDefault="00000000">
      <w:pPr>
        <w:pStyle w:val="Listenabsatz"/>
        <w:numPr>
          <w:ilvl w:val="0"/>
          <w:numId w:val="4"/>
        </w:numPr>
      </w:pPr>
      <w:r w:rsidRPr="004832F9">
        <w:t>Härting</w:t>
      </w:r>
      <w:r>
        <w:t xml:space="preserve"> N. (2013) Anonymität und </w:t>
      </w:r>
      <w:r w:rsidRPr="004832F9">
        <w:t>Pseudonymität</w:t>
      </w:r>
      <w:r>
        <w:t xml:space="preserve"> im Datenschutzrecht. </w:t>
      </w:r>
      <w:r w:rsidRPr="004832F9">
        <w:t>NJW</w:t>
      </w:r>
      <w:r>
        <w:t>: 2065-2071</w:t>
      </w:r>
    </w:p>
    <w:p w14:paraId="48F2A250" w14:textId="2E0B5078" w:rsidR="0030590C" w:rsidRDefault="00000000" w:rsidP="0030590C">
      <w:pPr>
        <w:pStyle w:val="Listenabsatz"/>
        <w:numPr>
          <w:ilvl w:val="0"/>
          <w:numId w:val="4"/>
        </w:numPr>
      </w:pPr>
      <w:r w:rsidRPr="004832F9">
        <w:t>Hauswaldt</w:t>
      </w:r>
      <w:r>
        <w:t xml:space="preserve"> et al. (2021) </w:t>
      </w:r>
      <w:r w:rsidRPr="004832F9">
        <w:t>Das</w:t>
      </w:r>
      <w:r>
        <w:t xml:space="preserve"> Risiko von Re-Identifizierung bei der Auswertung </w:t>
      </w:r>
      <w:r w:rsidRPr="004832F9">
        <w:t>medizinischerRoutinedaten</w:t>
      </w:r>
      <w:r>
        <w:t xml:space="preserve"> – </w:t>
      </w:r>
      <w:r w:rsidRPr="004832F9">
        <w:t>Kritische</w:t>
      </w:r>
      <w:r>
        <w:t xml:space="preserve"> Bewertung und Lösungsansätze. </w:t>
      </w:r>
      <w:r w:rsidRPr="004832F9">
        <w:t>ZEFQ</w:t>
      </w:r>
      <w:r>
        <w:t xml:space="preserve"> (149): 22-31 </w:t>
      </w:r>
      <w:hyperlink r:id="rId121" w:tgtFrame="Persistent link using digital object identifier">
        <w:r w:rsidRPr="0030590C">
          <w:rPr>
            <w:rStyle w:val="anchor-text"/>
            <w:color w:val="0000FF"/>
            <w:u w:val="single"/>
          </w:rPr>
          <w:t>https://doi.org/10.1016/</w:t>
        </w:r>
        <w:r w:rsidRPr="004832F9">
          <w:rPr>
            <w:rStyle w:val="anchor-text"/>
            <w:color w:val="0000FF"/>
            <w:u w:val="single"/>
          </w:rPr>
          <w:t>j.zefq.2020.01.002</w:t>
        </w:r>
      </w:hyperlink>
    </w:p>
    <w:p w14:paraId="14270B54" w14:textId="3787E007" w:rsidR="00AE4EA7" w:rsidRPr="004832F9" w:rsidRDefault="00000000">
      <w:pPr>
        <w:pStyle w:val="Listenabsatz"/>
        <w:numPr>
          <w:ilvl w:val="0"/>
          <w:numId w:val="4"/>
        </w:numPr>
        <w:rPr>
          <w:rStyle w:val="Internetverknpfung"/>
          <w:color w:val="auto"/>
          <w:u w:val="none"/>
        </w:rPr>
      </w:pPr>
      <w:r w:rsidRPr="004832F9">
        <w:t xml:space="preserve">He et al. (2015) CRFs based de-identification of medical records. J Biomed Inform: S39-S46, </w:t>
      </w:r>
      <w:hyperlink r:id="rId122">
        <w:r w:rsidRPr="004832F9">
          <w:rPr>
            <w:rStyle w:val="Internetverknpfung"/>
          </w:rPr>
          <w:t>https://www.ncbi.nlm.nih.gov/pmc/articles/PMC4988860/pdf/nihms807198.pdf</w:t>
        </w:r>
      </w:hyperlink>
    </w:p>
    <w:p w14:paraId="3211B8DA" w14:textId="06220B66" w:rsidR="0030590C" w:rsidRDefault="0030590C" w:rsidP="0030590C">
      <w:pPr>
        <w:pStyle w:val="Listenabsatz"/>
        <w:numPr>
          <w:ilvl w:val="0"/>
          <w:numId w:val="4"/>
        </w:numPr>
      </w:pPr>
      <w:r w:rsidRPr="0030590C">
        <w:t>He</w:t>
      </w:r>
      <w:r>
        <w:t xml:space="preserve"> Z. (2023) </w:t>
      </w:r>
      <w:r w:rsidRPr="004832F9">
        <w:t>From</w:t>
      </w:r>
      <w:r>
        <w:t xml:space="preserve"> </w:t>
      </w:r>
      <w:r w:rsidRPr="004832F9">
        <w:t>Privacy</w:t>
      </w:r>
      <w:r w:rsidRPr="004832F9">
        <w:rPr>
          <w:rFonts w:ascii="Cambria Math" w:hAnsi="Cambria Math" w:cs="Cambria Math"/>
        </w:rPr>
        <w:t>‑</w:t>
      </w:r>
      <w:r w:rsidRPr="004832F9">
        <w:t>Enhancing</w:t>
      </w:r>
      <w:r>
        <w:t xml:space="preserve"> </w:t>
      </w:r>
      <w:r w:rsidRPr="004832F9">
        <w:t>to</w:t>
      </w:r>
      <w:r>
        <w:t xml:space="preserve"> </w:t>
      </w:r>
      <w:r w:rsidRPr="004832F9">
        <w:t>Health</w:t>
      </w:r>
      <w:r>
        <w:t xml:space="preserve"> Data Utilisation: </w:t>
      </w:r>
      <w:r w:rsidRPr="004832F9">
        <w:t>The</w:t>
      </w:r>
      <w:r>
        <w:t xml:space="preserve"> Traces </w:t>
      </w:r>
      <w:r w:rsidRPr="004832F9">
        <w:t>of</w:t>
      </w:r>
      <w:r>
        <w:t xml:space="preserve"> </w:t>
      </w:r>
      <w:r w:rsidRPr="004832F9">
        <w:t>Anonymisation</w:t>
      </w:r>
      <w:r>
        <w:t xml:space="preserve"> </w:t>
      </w:r>
      <w:r w:rsidRPr="004832F9">
        <w:t>and</w:t>
      </w:r>
      <w:r>
        <w:t xml:space="preserve"> </w:t>
      </w:r>
      <w:r w:rsidRPr="004832F9">
        <w:t>Pseudonymisation</w:t>
      </w:r>
      <w:r>
        <w:t xml:space="preserve"> in EU Data </w:t>
      </w:r>
      <w:r w:rsidRPr="004832F9">
        <w:t>Protection</w:t>
      </w:r>
      <w:r>
        <w:t xml:space="preserve"> Law. Digital Society: </w:t>
      </w:r>
      <w:hyperlink r:id="rId123" w:history="1">
        <w:r w:rsidRPr="009A62DA">
          <w:rPr>
            <w:rStyle w:val="Hyperlink"/>
          </w:rPr>
          <w:t>https://doi.org/10.1007/</w:t>
        </w:r>
        <w:r w:rsidRPr="004832F9">
          <w:rPr>
            <w:rStyle w:val="Hyperlink"/>
          </w:rPr>
          <w:t>s44206</w:t>
        </w:r>
        <w:r w:rsidRPr="009A62DA">
          <w:rPr>
            <w:rStyle w:val="Hyperlink"/>
          </w:rPr>
          <w:t>-023-00043-5</w:t>
        </w:r>
      </w:hyperlink>
    </w:p>
    <w:p w14:paraId="44F65BF5" w14:textId="18BF73E8" w:rsidR="00A76A77" w:rsidRDefault="00A76A77">
      <w:pPr>
        <w:pStyle w:val="Listenabsatz"/>
        <w:numPr>
          <w:ilvl w:val="0"/>
          <w:numId w:val="4"/>
        </w:numPr>
      </w:pPr>
      <w:r>
        <w:t xml:space="preserve">Höhne H, </w:t>
      </w:r>
      <w:r w:rsidRPr="004832F9">
        <w:t>Strum</w:t>
      </w:r>
      <w:r>
        <w:t xml:space="preserve"> R, </w:t>
      </w:r>
      <w:r w:rsidRPr="004832F9">
        <w:t>Vorgrimler</w:t>
      </w:r>
      <w:r>
        <w:t xml:space="preserve"> D. (</w:t>
      </w:r>
      <w:r w:rsidRPr="00A76A77">
        <w:t>2003</w:t>
      </w:r>
      <w:r>
        <w:t>)</w:t>
      </w:r>
      <w:r w:rsidRPr="00A76A77">
        <w:t xml:space="preserve"> Konzept zur Beurteilung der Schutzwirkung von faktischer Anonymisierung</w:t>
      </w:r>
      <w:r>
        <w:t xml:space="preserve">. </w:t>
      </w:r>
      <w:r w:rsidRPr="00A76A77">
        <w:t>Wirtschaft und Statistik</w:t>
      </w:r>
      <w:r>
        <w:t xml:space="preserve"> (4): 287-292</w:t>
      </w:r>
    </w:p>
    <w:p w14:paraId="38EA494B" w14:textId="19CC12B5" w:rsidR="00AE4EA7" w:rsidRDefault="00000000">
      <w:pPr>
        <w:pStyle w:val="Listenabsatz"/>
        <w:numPr>
          <w:ilvl w:val="0"/>
          <w:numId w:val="4"/>
        </w:numPr>
      </w:pPr>
      <w:r>
        <w:t xml:space="preserve">Höhne H. (2008) Anonymisierungsverfahren für Paneldaten. Wirt </w:t>
      </w:r>
      <w:r w:rsidRPr="004832F9">
        <w:t>Sozialstat Archiv</w:t>
      </w:r>
      <w:r>
        <w:t>: 259–275</w:t>
      </w:r>
    </w:p>
    <w:p w14:paraId="0F0A896E" w14:textId="77777777" w:rsidR="00AE4EA7" w:rsidRDefault="00000000">
      <w:pPr>
        <w:pStyle w:val="Listenabsatz"/>
        <w:numPr>
          <w:ilvl w:val="0"/>
          <w:numId w:val="4"/>
        </w:numPr>
      </w:pPr>
      <w:r>
        <w:t xml:space="preserve">Hornby R, </w:t>
      </w:r>
      <w:r w:rsidRPr="004832F9">
        <w:t>Hu</w:t>
      </w:r>
      <w:r>
        <w:t xml:space="preserve"> RJ. (2021) </w:t>
      </w:r>
      <w:r w:rsidRPr="004832F9">
        <w:t>Identification</w:t>
      </w:r>
      <w:r>
        <w:t xml:space="preserve"> </w:t>
      </w:r>
      <w:r w:rsidRPr="004832F9">
        <w:t>Risks</w:t>
      </w:r>
      <w:r>
        <w:t xml:space="preserve"> Evaluation </w:t>
      </w:r>
      <w:r w:rsidRPr="004832F9">
        <w:t>of</w:t>
      </w:r>
      <w:r>
        <w:t xml:space="preserve"> </w:t>
      </w:r>
      <w:r w:rsidRPr="004832F9">
        <w:t>Partially</w:t>
      </w:r>
      <w:r>
        <w:t xml:space="preserve"> </w:t>
      </w:r>
      <w:r w:rsidRPr="004832F9">
        <w:t>Synthetic</w:t>
      </w:r>
      <w:r>
        <w:t xml:space="preserve"> Data </w:t>
      </w:r>
      <w:r w:rsidRPr="004832F9">
        <w:t>with</w:t>
      </w:r>
      <w:r>
        <w:t xml:space="preserve"> </w:t>
      </w:r>
      <w:r w:rsidRPr="004832F9">
        <w:t>the</w:t>
      </w:r>
      <w:r>
        <w:t xml:space="preserve"> </w:t>
      </w:r>
      <w:r w:rsidRPr="004832F9">
        <w:t>IdentificationRiskCalculation</w:t>
      </w:r>
      <w:r>
        <w:t xml:space="preserve"> R Package. Transactions On </w:t>
      </w:r>
      <w:r w:rsidRPr="004832F9">
        <w:t>data</w:t>
      </w:r>
      <w:r>
        <w:t xml:space="preserve"> </w:t>
      </w:r>
      <w:r w:rsidRPr="004832F9">
        <w:t>Privacy</w:t>
      </w:r>
      <w:r>
        <w:t xml:space="preserve"> (14): 37-52</w:t>
      </w:r>
    </w:p>
    <w:p w14:paraId="224709DE" w14:textId="77777777" w:rsidR="00AE4EA7" w:rsidRDefault="00000000">
      <w:pPr>
        <w:pStyle w:val="Listenabsatz"/>
        <w:numPr>
          <w:ilvl w:val="0"/>
          <w:numId w:val="4"/>
        </w:numPr>
      </w:pPr>
      <w:r>
        <w:t xml:space="preserve">Hornung G, Wagner B. (2020) Anonymisierung als datenschutzrelevante Verarbeitung? Rechtliche Anforderungen und Grenzen für die Anonymisierung personenbezogener Daten. </w:t>
      </w:r>
      <w:r w:rsidRPr="004832F9">
        <w:t>ZD</w:t>
      </w:r>
      <w:r>
        <w:t>: 223-228</w:t>
      </w:r>
    </w:p>
    <w:p w14:paraId="630AB2AB" w14:textId="412BFD7F" w:rsidR="00383094" w:rsidRDefault="00383094" w:rsidP="00383094">
      <w:pPr>
        <w:pStyle w:val="Listenabsatz"/>
        <w:numPr>
          <w:ilvl w:val="0"/>
          <w:numId w:val="4"/>
        </w:numPr>
      </w:pPr>
      <w:r w:rsidRPr="00383094">
        <w:t>Huang</w:t>
      </w:r>
      <w:r>
        <w:t xml:space="preserve"> et al. (2022) </w:t>
      </w:r>
      <w:r w:rsidRPr="004832F9">
        <w:t>Differential</w:t>
      </w:r>
      <w:r>
        <w:t xml:space="preserve"> </w:t>
      </w:r>
      <w:r w:rsidRPr="004832F9">
        <w:t>privacy</w:t>
      </w:r>
      <w:r>
        <w:t xml:space="preserve">: Review </w:t>
      </w:r>
      <w:r w:rsidRPr="004832F9">
        <w:t>of</w:t>
      </w:r>
      <w:r>
        <w:t xml:space="preserve"> </w:t>
      </w:r>
      <w:r w:rsidRPr="004832F9">
        <w:t>improving</w:t>
      </w:r>
      <w:r>
        <w:t xml:space="preserve"> </w:t>
      </w:r>
      <w:r w:rsidRPr="004832F9">
        <w:t>utility</w:t>
      </w:r>
      <w:r>
        <w:t xml:space="preserve"> </w:t>
      </w:r>
      <w:r w:rsidRPr="004832F9">
        <w:t>through</w:t>
      </w:r>
      <w:r>
        <w:t xml:space="preserve"> </w:t>
      </w:r>
      <w:r w:rsidRPr="004832F9">
        <w:t>cryptography-based</w:t>
      </w:r>
      <w:r>
        <w:t xml:space="preserve"> </w:t>
      </w:r>
      <w:r w:rsidRPr="004832F9">
        <w:t>technologies</w:t>
      </w:r>
      <w:r>
        <w:t xml:space="preserve">. </w:t>
      </w:r>
      <w:r w:rsidRPr="004832F9">
        <w:t xml:space="preserve">Concurrency Computat Pract Exper. </w:t>
      </w:r>
      <w:r w:rsidRPr="00383094">
        <w:t>2023;35</w:t>
      </w:r>
      <w:r w:rsidRPr="004832F9">
        <w:t>:e7565</w:t>
      </w:r>
      <w:r w:rsidRPr="00383094">
        <w:t>.</w:t>
      </w:r>
      <w:r>
        <w:t xml:space="preserve"> </w:t>
      </w:r>
      <w:hyperlink r:id="rId124" w:history="1">
        <w:r>
          <w:rPr>
            <w:rStyle w:val="Hyperlink"/>
          </w:rPr>
          <w:t xml:space="preserve">https://doi.org/10.1002/ </w:t>
        </w:r>
        <w:r w:rsidRPr="004832F9">
          <w:rPr>
            <w:rStyle w:val="Hyperlink"/>
          </w:rPr>
          <w:t>cpe.7565</w:t>
        </w:r>
      </w:hyperlink>
    </w:p>
    <w:p w14:paraId="1A525960" w14:textId="77777777" w:rsidR="00AE4EA7" w:rsidRDefault="00000000">
      <w:pPr>
        <w:pStyle w:val="Listenabsatz"/>
        <w:numPr>
          <w:ilvl w:val="0"/>
          <w:numId w:val="4"/>
        </w:numPr>
      </w:pPr>
      <w:r w:rsidRPr="004832F9">
        <w:t xml:space="preserve">Hu J, Savitsky TD (2023) Bayesian Data Synthesis and Disclosure Risk Quantification: An Application to the Consumer Expenditure Surveys. </w:t>
      </w:r>
      <w:r>
        <w:t xml:space="preserve">Transactions On </w:t>
      </w:r>
      <w:r w:rsidRPr="004832F9">
        <w:t>data</w:t>
      </w:r>
      <w:r>
        <w:t xml:space="preserve"> </w:t>
      </w:r>
      <w:r w:rsidRPr="004832F9">
        <w:t>Privacy</w:t>
      </w:r>
      <w:r>
        <w:t xml:space="preserve"> (16): 83-121</w:t>
      </w:r>
    </w:p>
    <w:p w14:paraId="053BC5B9" w14:textId="1820FA46" w:rsidR="00383094" w:rsidRDefault="00383094" w:rsidP="00383094">
      <w:pPr>
        <w:pStyle w:val="Listenabsatz"/>
        <w:numPr>
          <w:ilvl w:val="0"/>
          <w:numId w:val="4"/>
        </w:numPr>
      </w:pPr>
      <w:r w:rsidRPr="004832F9">
        <w:t xml:space="preserve">Jadhav PS, Borkar GM (2023) Quasi-identifier recognition with echo chamber optimization-based anonymization for privacy preservation of cloud storage. Concurrency Computat Pract Exper. </w:t>
      </w:r>
      <w:r w:rsidRPr="00383094">
        <w:t>2023</w:t>
      </w:r>
      <w:r w:rsidRPr="004832F9">
        <w:t>;e7906</w:t>
      </w:r>
      <w:r w:rsidRPr="00383094">
        <w:t>.</w:t>
      </w:r>
      <w:r>
        <w:t xml:space="preserve"> </w:t>
      </w:r>
      <w:hyperlink r:id="rId125" w:history="1">
        <w:r w:rsidRPr="00DF3CEB">
          <w:rPr>
            <w:rStyle w:val="Hyperlink"/>
          </w:rPr>
          <w:t>https://doi</w:t>
        </w:r>
      </w:hyperlink>
      <w:r w:rsidRPr="00383094">
        <w:t>.org/10.1002/</w:t>
      </w:r>
      <w:r w:rsidRPr="004832F9">
        <w:t>cpe.7906</w:t>
      </w:r>
    </w:p>
    <w:p w14:paraId="643B758A" w14:textId="34BC49BF" w:rsidR="00AE4EA7" w:rsidRPr="004832F9" w:rsidRDefault="00000000">
      <w:pPr>
        <w:pStyle w:val="Listenabsatz"/>
        <w:numPr>
          <w:ilvl w:val="0"/>
          <w:numId w:val="4"/>
        </w:numPr>
        <w:rPr>
          <w:rStyle w:val="Internetverknpfung"/>
          <w:color w:val="auto"/>
          <w:u w:val="none"/>
        </w:rPr>
      </w:pPr>
      <w:r w:rsidRPr="004832F9">
        <w:t>Jiang</w:t>
      </w:r>
      <w:r>
        <w:t xml:space="preserve"> et al. (2017) </w:t>
      </w:r>
      <w:r w:rsidRPr="004832F9">
        <w:t>De-identification</w:t>
      </w:r>
      <w:r>
        <w:t xml:space="preserve"> </w:t>
      </w:r>
      <w:r w:rsidRPr="004832F9">
        <w:t>of</w:t>
      </w:r>
      <w:r>
        <w:t xml:space="preserve"> </w:t>
      </w:r>
      <w:r w:rsidRPr="004832F9">
        <w:t>medical</w:t>
      </w:r>
      <w:r>
        <w:t xml:space="preserve"> </w:t>
      </w:r>
      <w:r w:rsidRPr="004832F9">
        <w:t>records</w:t>
      </w:r>
      <w:r>
        <w:t xml:space="preserve"> </w:t>
      </w:r>
      <w:r w:rsidRPr="004832F9">
        <w:t>using</w:t>
      </w:r>
      <w:r>
        <w:t xml:space="preserve"> </w:t>
      </w:r>
      <w:r w:rsidRPr="004832F9">
        <w:t>conditional</w:t>
      </w:r>
      <w:r>
        <w:t xml:space="preserve"> random </w:t>
      </w:r>
      <w:r w:rsidRPr="004832F9">
        <w:t>fields</w:t>
      </w:r>
      <w:r>
        <w:t xml:space="preserve"> </w:t>
      </w:r>
      <w:r w:rsidRPr="004832F9">
        <w:t>and</w:t>
      </w:r>
      <w:r>
        <w:t xml:space="preserve"> long </w:t>
      </w:r>
      <w:r w:rsidRPr="004832F9">
        <w:t>short-term</w:t>
      </w:r>
      <w:r>
        <w:t xml:space="preserve"> </w:t>
      </w:r>
      <w:r w:rsidRPr="004832F9">
        <w:t>memory</w:t>
      </w:r>
      <w:r>
        <w:t xml:space="preserve"> </w:t>
      </w:r>
      <w:r w:rsidRPr="004832F9">
        <w:t>networks</w:t>
      </w:r>
      <w:r>
        <w:t xml:space="preserve">. </w:t>
      </w:r>
      <w:r w:rsidRPr="004832F9">
        <w:t xml:space="preserve">J Biomed Inform: S43-S53, </w:t>
      </w:r>
      <w:hyperlink r:id="rId126">
        <w:r w:rsidRPr="004832F9">
          <w:rPr>
            <w:rStyle w:val="Internetverknpfung"/>
          </w:rPr>
          <w:t>https://www.sciencedirect.com/science/article/pii/S1532046417302228</w:t>
        </w:r>
      </w:hyperlink>
    </w:p>
    <w:p w14:paraId="58191BC7" w14:textId="77777777" w:rsidR="00AE4EA7" w:rsidRDefault="00000000">
      <w:pPr>
        <w:pStyle w:val="Listenabsatz"/>
        <w:numPr>
          <w:ilvl w:val="0"/>
          <w:numId w:val="4"/>
        </w:numPr>
      </w:pPr>
      <w:r>
        <w:t xml:space="preserve">Johannes PC, </w:t>
      </w:r>
      <w:r w:rsidRPr="004832F9">
        <w:t>Geminn</w:t>
      </w:r>
      <w:r>
        <w:t xml:space="preserve"> CL (2023) Anonymisierung von Patientendaten durch Fremdlabore für Dritte. </w:t>
      </w:r>
      <w:r w:rsidRPr="004832F9">
        <w:t>MedR</w:t>
      </w:r>
      <w:r>
        <w:t xml:space="preserve"> (41): 368–372</w:t>
      </w:r>
    </w:p>
    <w:p w14:paraId="564B89AB" w14:textId="77777777" w:rsidR="00AE4EA7" w:rsidRDefault="00000000">
      <w:pPr>
        <w:pStyle w:val="Listenabsatz"/>
        <w:numPr>
          <w:ilvl w:val="0"/>
          <w:numId w:val="4"/>
        </w:numPr>
      </w:pPr>
      <w:r>
        <w:t xml:space="preserve">Karg M. (2015) Anonymität, Pseudonyme und Personenbezug </w:t>
      </w:r>
      <w:r w:rsidRPr="004832F9">
        <w:t>revisited</w:t>
      </w:r>
      <w:r>
        <w:t xml:space="preserve">. </w:t>
      </w:r>
      <w:r w:rsidRPr="004832F9">
        <w:t>DuD</w:t>
      </w:r>
      <w:r>
        <w:t>: 520-526</w:t>
      </w:r>
    </w:p>
    <w:p w14:paraId="40C86199" w14:textId="00DF93DE" w:rsidR="0030590C" w:rsidRDefault="0030590C" w:rsidP="0030590C">
      <w:pPr>
        <w:pStyle w:val="Listenabsatz"/>
        <w:numPr>
          <w:ilvl w:val="0"/>
          <w:numId w:val="4"/>
        </w:numPr>
      </w:pPr>
      <w:r w:rsidRPr="004832F9">
        <w:t>Keerie</w:t>
      </w:r>
      <w:r>
        <w:t xml:space="preserve"> et al. (2018) Data </w:t>
      </w:r>
      <w:r w:rsidRPr="004832F9">
        <w:t>sharing</w:t>
      </w:r>
      <w:r>
        <w:t xml:space="preserve"> in </w:t>
      </w:r>
      <w:r w:rsidRPr="004832F9">
        <w:t>clinical</w:t>
      </w:r>
      <w:r>
        <w:t xml:space="preserve"> </w:t>
      </w:r>
      <w:r w:rsidRPr="004832F9">
        <w:t>trials</w:t>
      </w:r>
      <w:r>
        <w:t xml:space="preserve"> – </w:t>
      </w:r>
      <w:r w:rsidRPr="004832F9">
        <w:t>practical</w:t>
      </w:r>
      <w:r>
        <w:t xml:space="preserve"> </w:t>
      </w:r>
      <w:r w:rsidRPr="004832F9">
        <w:t>guidance</w:t>
      </w:r>
      <w:r>
        <w:t xml:space="preserve"> on </w:t>
      </w:r>
      <w:r w:rsidRPr="004832F9">
        <w:t>anonymising</w:t>
      </w:r>
      <w:r>
        <w:t xml:space="preserve"> </w:t>
      </w:r>
      <w:r w:rsidRPr="004832F9">
        <w:t>trial</w:t>
      </w:r>
      <w:r>
        <w:t xml:space="preserve"> </w:t>
      </w:r>
      <w:r w:rsidRPr="004832F9">
        <w:t>datasets</w:t>
      </w:r>
      <w:r>
        <w:t xml:space="preserve">. Trials: </w:t>
      </w:r>
      <w:hyperlink r:id="rId127" w:history="1">
        <w:r w:rsidRPr="009A62DA">
          <w:rPr>
            <w:rStyle w:val="Hyperlink"/>
          </w:rPr>
          <w:t>https://DOI.org/10.1186/</w:t>
        </w:r>
        <w:r w:rsidRPr="004832F9">
          <w:rPr>
            <w:rStyle w:val="Hyperlink"/>
          </w:rPr>
          <w:t>s13063</w:t>
        </w:r>
        <w:r w:rsidRPr="009A62DA">
          <w:rPr>
            <w:rStyle w:val="Hyperlink"/>
          </w:rPr>
          <w:t>-017-2382-9</w:t>
        </w:r>
      </w:hyperlink>
    </w:p>
    <w:p w14:paraId="2AED3FF0" w14:textId="3AF3914C" w:rsidR="00AE4EA7" w:rsidRPr="004832F9" w:rsidRDefault="00000000">
      <w:pPr>
        <w:pStyle w:val="Listenabsatz"/>
        <w:numPr>
          <w:ilvl w:val="0"/>
          <w:numId w:val="4"/>
        </w:numPr>
      </w:pPr>
      <w:r>
        <w:t xml:space="preserve">Kim S, Lee H, Chung </w:t>
      </w:r>
      <w:r w:rsidRPr="004832F9">
        <w:t>YD</w:t>
      </w:r>
      <w:r>
        <w:t xml:space="preserve"> (2016) </w:t>
      </w:r>
      <w:r w:rsidRPr="004832F9">
        <w:t>Privacy-preserving</w:t>
      </w:r>
      <w:r>
        <w:t xml:space="preserve"> Data </w:t>
      </w:r>
      <w:r w:rsidRPr="004832F9">
        <w:t>Cube</w:t>
      </w:r>
      <w:r>
        <w:t xml:space="preserve"> </w:t>
      </w:r>
      <w:r w:rsidRPr="004832F9">
        <w:t>for</w:t>
      </w:r>
      <w:r>
        <w:t xml:space="preserve"> </w:t>
      </w:r>
      <w:r w:rsidRPr="004832F9">
        <w:t>Electronic</w:t>
      </w:r>
      <w:r>
        <w:t xml:space="preserve"> </w:t>
      </w:r>
      <w:r w:rsidRPr="004832F9">
        <w:t>Medical</w:t>
      </w:r>
      <w:r>
        <w:t xml:space="preserve"> </w:t>
      </w:r>
      <w:r w:rsidRPr="004832F9">
        <w:t>Records</w:t>
      </w:r>
      <w:r>
        <w:t xml:space="preserve">: An </w:t>
      </w:r>
      <w:r w:rsidRPr="004832F9">
        <w:t>Experimental</w:t>
      </w:r>
      <w:r>
        <w:t xml:space="preserve"> Evaluation. </w:t>
      </w:r>
      <w:r w:rsidRPr="004832F9">
        <w:t xml:space="preserve">International Journal of Medical Informatics, </w:t>
      </w:r>
      <w:hyperlink r:id="rId128">
        <w:r w:rsidRPr="004832F9">
          <w:rPr>
            <w:rStyle w:val="Internetverknpfung"/>
          </w:rPr>
          <w:t>http://dx.doi.org/10.1016/j.ijmedinf.2016.09.008</w:t>
        </w:r>
      </w:hyperlink>
    </w:p>
    <w:p w14:paraId="6ABA935B" w14:textId="77777777" w:rsidR="00AE4EA7" w:rsidRDefault="00000000">
      <w:pPr>
        <w:pStyle w:val="Listenabsatz"/>
        <w:numPr>
          <w:ilvl w:val="0"/>
          <w:numId w:val="4"/>
        </w:numPr>
      </w:pPr>
      <w:r>
        <w:t xml:space="preserve">Knopp M. (2015) Pseudonym – Grauzone zwischen Anonymisierung und Personenbezug. </w:t>
      </w:r>
      <w:r w:rsidRPr="004832F9">
        <w:t>DuD</w:t>
      </w:r>
      <w:r>
        <w:t>: 527-530</w:t>
      </w:r>
    </w:p>
    <w:p w14:paraId="12B3FA9B" w14:textId="77777777" w:rsidR="00AE4EA7" w:rsidRDefault="00000000">
      <w:pPr>
        <w:pStyle w:val="Listenabsatz"/>
        <w:numPr>
          <w:ilvl w:val="0"/>
          <w:numId w:val="4"/>
        </w:numPr>
      </w:pPr>
      <w:r w:rsidRPr="004832F9">
        <w:t>Kushida, et al. (2012) trategies for De-identification and Anonymization of Electronic Health Record Data for Use in Multicenter Research Studies. Med</w:t>
      </w:r>
      <w:r>
        <w:t xml:space="preserve"> Care: </w:t>
      </w:r>
      <w:r w:rsidRPr="004832F9">
        <w:t>S82–S101</w:t>
      </w:r>
    </w:p>
    <w:p w14:paraId="23895273" w14:textId="5545AAEE" w:rsidR="004F79DB" w:rsidRDefault="004F79DB" w:rsidP="004F79DB">
      <w:pPr>
        <w:pStyle w:val="Listenabsatz"/>
        <w:numPr>
          <w:ilvl w:val="0"/>
          <w:numId w:val="4"/>
        </w:numPr>
      </w:pPr>
      <w:r w:rsidRPr="004F79DB">
        <w:t>Liu</w:t>
      </w:r>
      <w:r>
        <w:t xml:space="preserve"> et al. (2022) </w:t>
      </w:r>
      <w:r w:rsidRPr="004832F9">
        <w:t>Quantum‐resistant</w:t>
      </w:r>
      <w:r>
        <w:t xml:space="preserve"> </w:t>
      </w:r>
      <w:r w:rsidRPr="004832F9">
        <w:t>anonymous</w:t>
      </w:r>
      <w:r>
        <w:t xml:space="preserve"> </w:t>
      </w:r>
      <w:r w:rsidRPr="004832F9">
        <w:t>identity‐based</w:t>
      </w:r>
      <w:r>
        <w:t xml:space="preserve"> </w:t>
      </w:r>
      <w:r w:rsidRPr="004832F9">
        <w:t>encryption</w:t>
      </w:r>
      <w:r>
        <w:t xml:space="preserve"> </w:t>
      </w:r>
      <w:r w:rsidRPr="004832F9">
        <w:t>with</w:t>
      </w:r>
      <w:r>
        <w:t xml:space="preserve"> </w:t>
      </w:r>
      <w:r w:rsidRPr="004832F9">
        <w:t>trable</w:t>
      </w:r>
      <w:r>
        <w:t xml:space="preserve"> </w:t>
      </w:r>
      <w:r w:rsidRPr="004832F9">
        <w:t>identities</w:t>
      </w:r>
      <w:r>
        <w:t xml:space="preserve">. </w:t>
      </w:r>
      <w:r w:rsidRPr="004832F9">
        <w:t xml:space="preserve">IET Inf. Secur. </w:t>
      </w:r>
      <w:r>
        <w:t>(</w:t>
      </w:r>
      <w:r w:rsidRPr="004F79DB">
        <w:t>16</w:t>
      </w:r>
      <w:r>
        <w:t>)</w:t>
      </w:r>
      <w:r w:rsidRPr="004F79DB">
        <w:t>:</w:t>
      </w:r>
      <w:r>
        <w:t xml:space="preserve"> </w:t>
      </w:r>
      <w:r w:rsidRPr="004F79DB">
        <w:t>111–126.</w:t>
      </w:r>
      <w:r>
        <w:t xml:space="preserve"> </w:t>
      </w:r>
      <w:hyperlink r:id="rId129" w:history="1">
        <w:r w:rsidRPr="00DF3CEB">
          <w:rPr>
            <w:rStyle w:val="Hyperlink"/>
          </w:rPr>
          <w:t>https://doi.org/10.1049/</w:t>
        </w:r>
        <w:r w:rsidRPr="004832F9">
          <w:rPr>
            <w:rStyle w:val="Hyperlink"/>
          </w:rPr>
          <w:t>ise2.12049</w:t>
        </w:r>
      </w:hyperlink>
    </w:p>
    <w:p w14:paraId="1DA1B90B" w14:textId="77777777" w:rsidR="00AE4EA7" w:rsidRPr="004832F9" w:rsidRDefault="00000000">
      <w:pPr>
        <w:pStyle w:val="Listenabsatz"/>
        <w:numPr>
          <w:ilvl w:val="0"/>
          <w:numId w:val="4"/>
        </w:numPr>
      </w:pPr>
      <w:r w:rsidRPr="004832F9">
        <w:t>Loukides et al. (2014) Disassociation for electronic health record privacy. Journal of Biomedical Informatics: 46-61</w:t>
      </w:r>
    </w:p>
    <w:p w14:paraId="60449F54" w14:textId="77777777" w:rsidR="00AE4EA7" w:rsidRPr="004832F9" w:rsidRDefault="00000000">
      <w:pPr>
        <w:pStyle w:val="Listenabsatz"/>
        <w:numPr>
          <w:ilvl w:val="0"/>
          <w:numId w:val="4"/>
        </w:numPr>
      </w:pPr>
      <w:r w:rsidRPr="004832F9">
        <w:t>Lu Y, Sinnott RO, Verspoor K. (2017) A Semantic- ased K- nonymity Scheme for Health Record Linkage. Integrating and Connecting Care: 84-90</w:t>
      </w:r>
    </w:p>
    <w:p w14:paraId="43A14C88" w14:textId="77777777" w:rsidR="00AE4EA7" w:rsidRPr="004832F9" w:rsidRDefault="00000000">
      <w:pPr>
        <w:pStyle w:val="Listenabsatz"/>
        <w:numPr>
          <w:ilvl w:val="0"/>
          <w:numId w:val="4"/>
        </w:numPr>
      </w:pPr>
      <w:r w:rsidRPr="004832F9">
        <w:t>Malin B, Sweeney L. (2004) How (not) to protect genomic data privacy in a distributed network: using trail re-identiﬁcation to evaluate and design anonymity protection systems. Journal of Biomedical Informatics: 179-192</w:t>
      </w:r>
    </w:p>
    <w:p w14:paraId="1E01D048" w14:textId="77777777" w:rsidR="00AE4EA7" w:rsidRPr="004832F9" w:rsidRDefault="00000000">
      <w:pPr>
        <w:pStyle w:val="Listenabsatz"/>
        <w:numPr>
          <w:ilvl w:val="0"/>
          <w:numId w:val="4"/>
        </w:numPr>
      </w:pPr>
      <w:r>
        <w:t xml:space="preserve">Malin B. (2010) </w:t>
      </w:r>
      <w:r w:rsidRPr="004832F9">
        <w:t>Secure</w:t>
      </w:r>
      <w:r>
        <w:t xml:space="preserve"> </w:t>
      </w:r>
      <w:r w:rsidRPr="004832F9">
        <w:t>construction</w:t>
      </w:r>
      <w:r>
        <w:t xml:space="preserve"> </w:t>
      </w:r>
      <w:r w:rsidRPr="004832F9">
        <w:t>of</w:t>
      </w:r>
      <w:r>
        <w:t xml:space="preserve"> </w:t>
      </w:r>
      <w:r w:rsidRPr="004832F9">
        <w:t>k-unlinkable</w:t>
      </w:r>
      <w:r>
        <w:t xml:space="preserve"> </w:t>
      </w:r>
      <w:r w:rsidRPr="004832F9">
        <w:t>patient</w:t>
      </w:r>
      <w:r>
        <w:t xml:space="preserve"> </w:t>
      </w:r>
      <w:r w:rsidRPr="004832F9">
        <w:t>records</w:t>
      </w:r>
      <w:r>
        <w:t xml:space="preserve"> </w:t>
      </w:r>
      <w:r w:rsidRPr="004832F9">
        <w:t>from</w:t>
      </w:r>
      <w:r>
        <w:t xml:space="preserve"> </w:t>
      </w:r>
      <w:r w:rsidRPr="004832F9">
        <w:t>distributed</w:t>
      </w:r>
      <w:r>
        <w:t xml:space="preserve"> </w:t>
      </w:r>
      <w:r w:rsidRPr="004832F9">
        <w:t>providers</w:t>
      </w:r>
      <w:r>
        <w:t xml:space="preserve">. </w:t>
      </w:r>
      <w:r w:rsidRPr="004832F9">
        <w:t>Artiﬁcial Intelligence in Medicine: 29–41</w:t>
      </w:r>
    </w:p>
    <w:p w14:paraId="46A00996" w14:textId="77777777" w:rsidR="00AE4EA7" w:rsidRDefault="00000000">
      <w:pPr>
        <w:pStyle w:val="Listenabsatz"/>
        <w:numPr>
          <w:ilvl w:val="0"/>
          <w:numId w:val="4"/>
        </w:numPr>
      </w:pPr>
      <w:r>
        <w:t xml:space="preserve">Malin et al. (2011) </w:t>
      </w:r>
      <w:r w:rsidRPr="004832F9">
        <w:t>Identifiability</w:t>
      </w:r>
      <w:r>
        <w:t xml:space="preserve"> in </w:t>
      </w:r>
      <w:r w:rsidRPr="004832F9">
        <w:t>biobanks</w:t>
      </w:r>
      <w:r>
        <w:t xml:space="preserve">: </w:t>
      </w:r>
      <w:r w:rsidRPr="004832F9">
        <w:t>models</w:t>
      </w:r>
      <w:r>
        <w:t xml:space="preserve">, </w:t>
      </w:r>
      <w:r w:rsidRPr="004832F9">
        <w:t>measures</w:t>
      </w:r>
      <w:r>
        <w:t xml:space="preserve">, </w:t>
      </w:r>
      <w:r w:rsidRPr="004832F9">
        <w:t>and</w:t>
      </w:r>
      <w:r>
        <w:t xml:space="preserve"> </w:t>
      </w:r>
      <w:r w:rsidRPr="004832F9">
        <w:t>mitigation</w:t>
      </w:r>
      <w:r>
        <w:t xml:space="preserve"> </w:t>
      </w:r>
      <w:r w:rsidRPr="004832F9">
        <w:t>strategies</w:t>
      </w:r>
      <w:r>
        <w:t xml:space="preserve">. </w:t>
      </w:r>
      <w:r w:rsidRPr="004832F9">
        <w:t>Hum</w:t>
      </w:r>
      <w:r>
        <w:t xml:space="preserve"> Genet: 383–392</w:t>
      </w:r>
    </w:p>
    <w:p w14:paraId="38EF98AD" w14:textId="6AE322D8" w:rsidR="0030590C" w:rsidRDefault="0030590C" w:rsidP="0030590C">
      <w:pPr>
        <w:pStyle w:val="Listenabsatz"/>
        <w:numPr>
          <w:ilvl w:val="0"/>
          <w:numId w:val="4"/>
        </w:numPr>
      </w:pPr>
      <w:r w:rsidRPr="0030590C">
        <w:t>Mao</w:t>
      </w:r>
      <w:r>
        <w:t xml:space="preserve"> et al. (2019) </w:t>
      </w:r>
      <w:r w:rsidRPr="004832F9">
        <w:t>Understanding</w:t>
      </w:r>
      <w:r>
        <w:t xml:space="preserve"> </w:t>
      </w:r>
      <w:r w:rsidRPr="004832F9">
        <w:t>structure-based</w:t>
      </w:r>
      <w:r>
        <w:t xml:space="preserve"> </w:t>
      </w:r>
      <w:r w:rsidRPr="004832F9">
        <w:t>social network</w:t>
      </w:r>
      <w:r>
        <w:t xml:space="preserve"> </w:t>
      </w:r>
      <w:r w:rsidRPr="004832F9">
        <w:t>de-anonymization</w:t>
      </w:r>
      <w:r>
        <w:t xml:space="preserve"> </w:t>
      </w:r>
      <w:r w:rsidRPr="004832F9">
        <w:t>techniques</w:t>
      </w:r>
      <w:r>
        <w:t xml:space="preserve"> via </w:t>
      </w:r>
      <w:r w:rsidRPr="004832F9">
        <w:t>empirical</w:t>
      </w:r>
      <w:r>
        <w:t xml:space="preserve"> </w:t>
      </w:r>
      <w:r w:rsidRPr="004832F9">
        <w:t>analysis</w:t>
      </w:r>
      <w:r>
        <w:t xml:space="preserve">. Journal on </w:t>
      </w:r>
      <w:r w:rsidRPr="004832F9">
        <w:t>Wireless</w:t>
      </w:r>
      <w:r>
        <w:t xml:space="preserve"> </w:t>
      </w:r>
      <w:r w:rsidRPr="004832F9">
        <w:t>Communications</w:t>
      </w:r>
      <w:r>
        <w:t xml:space="preserve"> </w:t>
      </w:r>
      <w:r w:rsidRPr="004832F9">
        <w:t>and</w:t>
      </w:r>
      <w:r>
        <w:t xml:space="preserve"> </w:t>
      </w:r>
      <w:r w:rsidRPr="004832F9">
        <w:t xml:space="preserve">Networking </w:t>
      </w:r>
      <w:r>
        <w:t xml:space="preserve"> </w:t>
      </w:r>
      <w:hyperlink r:id="rId130" w:history="1">
        <w:r w:rsidRPr="009A62DA">
          <w:rPr>
            <w:rStyle w:val="Hyperlink"/>
          </w:rPr>
          <w:t>https://doi.org/10.1186/</w:t>
        </w:r>
        <w:r w:rsidRPr="004832F9">
          <w:rPr>
            <w:rStyle w:val="Hyperlink"/>
          </w:rPr>
          <w:t>s13638</w:t>
        </w:r>
        <w:r w:rsidRPr="009A62DA">
          <w:rPr>
            <w:rStyle w:val="Hyperlink"/>
          </w:rPr>
          <w:t>-018-1291-2</w:t>
        </w:r>
      </w:hyperlink>
    </w:p>
    <w:p w14:paraId="049C9883" w14:textId="77777777" w:rsidR="00AE4EA7" w:rsidRDefault="00000000">
      <w:pPr>
        <w:pStyle w:val="Listenabsatz"/>
        <w:numPr>
          <w:ilvl w:val="0"/>
          <w:numId w:val="4"/>
        </w:numPr>
      </w:pPr>
      <w:r w:rsidRPr="004832F9">
        <w:t>Marnau</w:t>
      </w:r>
      <w:r>
        <w:t xml:space="preserve"> N. (2016) Anonymisierung, Pseudonymisierung und Transparenz für Big Data - </w:t>
      </w:r>
      <w:r w:rsidRPr="004832F9">
        <w:t>Technische</w:t>
      </w:r>
      <w:r>
        <w:t xml:space="preserve"> Herausforderungen und Regelungen in der Datenschutz-Grundverordnung. </w:t>
      </w:r>
      <w:r w:rsidRPr="004832F9">
        <w:t>DuD</w:t>
      </w:r>
      <w:r>
        <w:t>: 428-433</w:t>
      </w:r>
    </w:p>
    <w:p w14:paraId="069384FA" w14:textId="77777777" w:rsidR="00AE4EA7" w:rsidRDefault="00000000">
      <w:pPr>
        <w:pStyle w:val="Listenabsatz"/>
        <w:numPr>
          <w:ilvl w:val="0"/>
          <w:numId w:val="4"/>
        </w:numPr>
      </w:pPr>
      <w:r w:rsidRPr="004832F9">
        <w:t>Marnau</w:t>
      </w:r>
      <w:r>
        <w:t xml:space="preserve"> N, </w:t>
      </w:r>
      <w:r w:rsidRPr="004832F9">
        <w:t>Berrang</w:t>
      </w:r>
      <w:r>
        <w:t xml:space="preserve"> P, Humbert M. (2018) Anonymisierungsverfahren für genetische Daten. </w:t>
      </w:r>
      <w:r w:rsidRPr="004832F9">
        <w:t>DuD</w:t>
      </w:r>
      <w:r>
        <w:t>: 83-88</w:t>
      </w:r>
    </w:p>
    <w:p w14:paraId="0C4AF040" w14:textId="7FA331B5" w:rsidR="00116C6D" w:rsidRDefault="00116C6D" w:rsidP="006F0339">
      <w:pPr>
        <w:pStyle w:val="Listenabsatz"/>
        <w:numPr>
          <w:ilvl w:val="0"/>
          <w:numId w:val="4"/>
        </w:numPr>
      </w:pPr>
      <w:r w:rsidRPr="004832F9">
        <w:t xml:space="preserve">Mauger C, Mahec GL, Dequen G. (2023) Optimizing Privacy and Data Utility: Metrics and Strategies. </w:t>
      </w:r>
      <w:r w:rsidRPr="00116C6D">
        <w:t xml:space="preserve">Transactions on Data </w:t>
      </w:r>
      <w:r w:rsidRPr="004832F9">
        <w:t>Privacy</w:t>
      </w:r>
      <w:r>
        <w:t>: 153-189</w:t>
      </w:r>
    </w:p>
    <w:p w14:paraId="172A1A3C" w14:textId="2FAC7FC0" w:rsidR="0030590C" w:rsidRDefault="0030590C" w:rsidP="0030590C">
      <w:pPr>
        <w:pStyle w:val="Listenabsatz"/>
        <w:numPr>
          <w:ilvl w:val="0"/>
          <w:numId w:val="4"/>
        </w:numPr>
      </w:pPr>
      <w:r w:rsidRPr="004832F9">
        <w:t xml:space="preserve">Mauw et al. (2019) Conditional adjacency anonymity in social graphs under active attacks. </w:t>
      </w:r>
      <w:r w:rsidRPr="0030590C">
        <w:t xml:space="preserve">Knowledge </w:t>
      </w:r>
      <w:r w:rsidRPr="004832F9">
        <w:t>and</w:t>
      </w:r>
      <w:r w:rsidRPr="0030590C">
        <w:t xml:space="preserve"> Information Systems </w:t>
      </w:r>
      <w:r>
        <w:t>(</w:t>
      </w:r>
      <w:r w:rsidRPr="0030590C">
        <w:t>61</w:t>
      </w:r>
      <w:r>
        <w:t>)</w:t>
      </w:r>
      <w:r w:rsidRPr="0030590C">
        <w:t>:</w:t>
      </w:r>
      <w:r>
        <w:t xml:space="preserve"> </w:t>
      </w:r>
      <w:r w:rsidRPr="0030590C">
        <w:t>485</w:t>
      </w:r>
      <w:r>
        <w:t>-</w:t>
      </w:r>
      <w:r w:rsidRPr="0030590C">
        <w:t>511</w:t>
      </w:r>
      <w:r>
        <w:t xml:space="preserve">. </w:t>
      </w:r>
      <w:hyperlink r:id="rId131" w:history="1">
        <w:r w:rsidRPr="009A62DA">
          <w:rPr>
            <w:rStyle w:val="Hyperlink"/>
          </w:rPr>
          <w:t>https://doi.org/10.1007/</w:t>
        </w:r>
        <w:r w:rsidRPr="004832F9">
          <w:rPr>
            <w:rStyle w:val="Hyperlink"/>
          </w:rPr>
          <w:t>s10115</w:t>
        </w:r>
        <w:r w:rsidRPr="009A62DA">
          <w:rPr>
            <w:rStyle w:val="Hyperlink"/>
          </w:rPr>
          <w:t>-018-1283-x</w:t>
        </w:r>
      </w:hyperlink>
    </w:p>
    <w:p w14:paraId="646124D0" w14:textId="77777777" w:rsidR="00AE4EA7" w:rsidRDefault="00000000">
      <w:pPr>
        <w:pStyle w:val="Listenabsatz"/>
        <w:numPr>
          <w:ilvl w:val="0"/>
          <w:numId w:val="4"/>
        </w:numPr>
      </w:pPr>
      <w:r>
        <w:t xml:space="preserve">Meyer S. (2021) </w:t>
      </w:r>
      <w:r w:rsidRPr="004832F9">
        <w:t>Landesrechtliche</w:t>
      </w:r>
      <w:r>
        <w:t xml:space="preserve"> Legaldefinitionen der „Anonymisierung“ im Anwendungsbereich der DS-GVO. </w:t>
      </w:r>
      <w:r w:rsidRPr="004832F9">
        <w:t>ZD</w:t>
      </w:r>
      <w:r>
        <w:t>: 669-674</w:t>
      </w:r>
    </w:p>
    <w:p w14:paraId="7DCE3007" w14:textId="77777777" w:rsidR="00AE4EA7" w:rsidRDefault="00000000">
      <w:pPr>
        <w:pStyle w:val="Listenabsatz"/>
        <w:numPr>
          <w:ilvl w:val="0"/>
          <w:numId w:val="4"/>
        </w:numPr>
      </w:pPr>
      <w:r w:rsidRPr="004832F9">
        <w:t xml:space="preserve">Murakami T, Takahashi K. (2021) Toward Evaluating Re-identification Risks in the Local Privacy Model. </w:t>
      </w:r>
      <w:r>
        <w:t xml:space="preserve">Transactions On </w:t>
      </w:r>
      <w:r w:rsidRPr="004832F9">
        <w:t>data</w:t>
      </w:r>
      <w:r>
        <w:t xml:space="preserve"> </w:t>
      </w:r>
      <w:r w:rsidRPr="004832F9">
        <w:t>Privacy</w:t>
      </w:r>
      <w:r>
        <w:t xml:space="preserve"> (14): 79-116</w:t>
      </w:r>
    </w:p>
    <w:p w14:paraId="6A156F08" w14:textId="30680885" w:rsidR="00AE4EA7" w:rsidRPr="004832F9" w:rsidRDefault="00000000">
      <w:pPr>
        <w:pStyle w:val="Listenabsatz"/>
        <w:numPr>
          <w:ilvl w:val="0"/>
          <w:numId w:val="4"/>
        </w:numPr>
      </w:pPr>
      <w:r w:rsidRPr="004832F9">
        <w:t xml:space="preserve">Neamatullah et al. (2008) Automated de-identification of free-text medical records. BMC Med Inform Decis Mak, </w:t>
      </w:r>
      <w:hyperlink r:id="rId132">
        <w:r w:rsidRPr="004832F9">
          <w:rPr>
            <w:rStyle w:val="Internetverknpfung"/>
          </w:rPr>
          <w:t>https://www.ncbi.nlm.nih.gov/pmc/articles/PMC2526997/pdf/1472-6947-8-32.pdf</w:t>
        </w:r>
      </w:hyperlink>
    </w:p>
    <w:p w14:paraId="535174B9" w14:textId="77777777" w:rsidR="00AE4EA7" w:rsidRDefault="00000000">
      <w:pPr>
        <w:pStyle w:val="Listenabsatz"/>
        <w:numPr>
          <w:ilvl w:val="0"/>
          <w:numId w:val="4"/>
        </w:numPr>
      </w:pPr>
      <w:r>
        <w:t>Neubauer et al. (2010) Pseudonymisierung für die datenschutzkonforme Speicherung medizinischer Daten. Elektrotechnik &amp; Informationstechnik: 135–142</w:t>
      </w:r>
    </w:p>
    <w:p w14:paraId="27A4F313" w14:textId="194AB6D6" w:rsidR="0030590C" w:rsidRPr="00EA60AE" w:rsidRDefault="0030590C" w:rsidP="0030590C">
      <w:pPr>
        <w:pStyle w:val="Listenabsatz"/>
        <w:numPr>
          <w:ilvl w:val="0"/>
          <w:numId w:val="4"/>
        </w:numPr>
        <w:rPr>
          <w:rStyle w:val="Hyperlink"/>
          <w:color w:val="auto"/>
          <w:u w:val="none"/>
        </w:rPr>
      </w:pPr>
      <w:r w:rsidRPr="004832F9">
        <w:t>Ni</w:t>
      </w:r>
      <w:r>
        <w:t xml:space="preserve"> et al. (2019) </w:t>
      </w:r>
      <w:r w:rsidRPr="004832F9">
        <w:t>An</w:t>
      </w:r>
      <w:r>
        <w:t xml:space="preserve"> </w:t>
      </w:r>
      <w:r w:rsidRPr="004832F9">
        <w:t>anonymous</w:t>
      </w:r>
      <w:r>
        <w:t xml:space="preserve"> </w:t>
      </w:r>
      <w:r w:rsidRPr="004832F9">
        <w:t>entropy-based</w:t>
      </w:r>
      <w:r>
        <w:t xml:space="preserve"> </w:t>
      </w:r>
      <w:r w:rsidRPr="004832F9">
        <w:t>location</w:t>
      </w:r>
      <w:r>
        <w:t xml:space="preserve"> </w:t>
      </w:r>
      <w:r w:rsidRPr="004832F9">
        <w:t>privacy</w:t>
      </w:r>
      <w:r>
        <w:t xml:space="preserve"> </w:t>
      </w:r>
      <w:r w:rsidRPr="004832F9">
        <w:t>protection</w:t>
      </w:r>
      <w:r>
        <w:t xml:space="preserve"> </w:t>
      </w:r>
      <w:r w:rsidRPr="004832F9">
        <w:t>scheme</w:t>
      </w:r>
      <w:r>
        <w:t xml:space="preserve"> in mobile </w:t>
      </w:r>
      <w:r w:rsidRPr="004832F9">
        <w:t>social networks</w:t>
      </w:r>
      <w:r>
        <w:t xml:space="preserve">. Journal on </w:t>
      </w:r>
      <w:r w:rsidRPr="004832F9">
        <w:t>Wireless</w:t>
      </w:r>
      <w:r>
        <w:t xml:space="preserve"> </w:t>
      </w:r>
      <w:r w:rsidRPr="004832F9">
        <w:t>Communications</w:t>
      </w:r>
      <w:r>
        <w:t xml:space="preserve"> </w:t>
      </w:r>
      <w:r w:rsidRPr="004832F9">
        <w:t>and</w:t>
      </w:r>
      <w:r>
        <w:t xml:space="preserve"> Networking: </w:t>
      </w:r>
      <w:hyperlink r:id="rId133" w:history="1">
        <w:r w:rsidRPr="009A62DA">
          <w:rPr>
            <w:rStyle w:val="Hyperlink"/>
          </w:rPr>
          <w:t>https://doi.org/10.1186/</w:t>
        </w:r>
        <w:r w:rsidRPr="004832F9">
          <w:rPr>
            <w:rStyle w:val="Hyperlink"/>
          </w:rPr>
          <w:t>s13638</w:t>
        </w:r>
        <w:r w:rsidRPr="009A62DA">
          <w:rPr>
            <w:rStyle w:val="Hyperlink"/>
          </w:rPr>
          <w:t>-019-1406-4</w:t>
        </w:r>
      </w:hyperlink>
    </w:p>
    <w:p w14:paraId="069FDE9A" w14:textId="722418E5" w:rsidR="00EA60AE" w:rsidRDefault="00EA60AE" w:rsidP="00D71771">
      <w:pPr>
        <w:pStyle w:val="Listenabsatz"/>
        <w:numPr>
          <w:ilvl w:val="0"/>
          <w:numId w:val="4"/>
        </w:numPr>
      </w:pPr>
      <w:r w:rsidRPr="004832F9">
        <w:t>Pilán</w:t>
      </w:r>
      <w:r>
        <w:t xml:space="preserve"> et al. (2022) </w:t>
      </w:r>
      <w:r w:rsidRPr="004832F9">
        <w:t>The</w:t>
      </w:r>
      <w:r>
        <w:t xml:space="preserve"> Text </w:t>
      </w:r>
      <w:r w:rsidRPr="004832F9">
        <w:t>Anonymization</w:t>
      </w:r>
      <w:r>
        <w:t xml:space="preserve"> Benchmark (TAB): A </w:t>
      </w:r>
      <w:r w:rsidRPr="004832F9">
        <w:t>Dedicated</w:t>
      </w:r>
      <w:r>
        <w:t xml:space="preserve"> Corpus </w:t>
      </w:r>
      <w:r w:rsidRPr="004832F9">
        <w:t>and</w:t>
      </w:r>
      <w:r>
        <w:t xml:space="preserve"> Evaluation Framework </w:t>
      </w:r>
      <w:r w:rsidRPr="004832F9">
        <w:t>for</w:t>
      </w:r>
      <w:r>
        <w:t xml:space="preserve"> Text </w:t>
      </w:r>
      <w:r w:rsidRPr="004832F9">
        <w:t>Anonymization</w:t>
      </w:r>
      <w:r>
        <w:t xml:space="preserve">. </w:t>
      </w:r>
      <w:hyperlink r:id="rId134" w:history="1">
        <w:r w:rsidRPr="00EA57D8">
          <w:rPr>
            <w:rStyle w:val="Hyperlink"/>
          </w:rPr>
          <w:t>https://arxiv.org/abs/2202.00443</w:t>
        </w:r>
      </w:hyperlink>
    </w:p>
    <w:p w14:paraId="76F7CFD8" w14:textId="77777777" w:rsidR="00AE4EA7" w:rsidRPr="004832F9" w:rsidRDefault="00000000">
      <w:pPr>
        <w:pStyle w:val="Listenabsatz"/>
        <w:numPr>
          <w:ilvl w:val="0"/>
          <w:numId w:val="4"/>
        </w:numPr>
      </w:pPr>
      <w:r w:rsidRPr="004832F9">
        <w:t>Poulis et al. (2017) Anonymizing datasets with demographics and diagnosis codes in the presence of utility constraints. Journal of Biomedical Informatics: 76-96</w:t>
      </w:r>
    </w:p>
    <w:p w14:paraId="52D16E75" w14:textId="2BA3AD69" w:rsidR="006B7547" w:rsidRDefault="006B7547" w:rsidP="006B7547">
      <w:pPr>
        <w:pStyle w:val="Listenabsatz"/>
        <w:numPr>
          <w:ilvl w:val="0"/>
          <w:numId w:val="4"/>
        </w:numPr>
      </w:pPr>
      <w:r w:rsidRPr="004832F9">
        <w:t>Pramanik</w:t>
      </w:r>
      <w:r>
        <w:t xml:space="preserve"> et al. (2021) </w:t>
      </w:r>
      <w:r w:rsidRPr="004832F9">
        <w:t>Privacy</w:t>
      </w:r>
      <w:r>
        <w:t xml:space="preserve"> </w:t>
      </w:r>
      <w:r w:rsidRPr="004832F9">
        <w:t>preserving</w:t>
      </w:r>
      <w:r>
        <w:t xml:space="preserve"> </w:t>
      </w:r>
      <w:r w:rsidRPr="004832F9">
        <w:t>big data</w:t>
      </w:r>
      <w:r>
        <w:t xml:space="preserve"> </w:t>
      </w:r>
      <w:r w:rsidRPr="004832F9">
        <w:t>analytics</w:t>
      </w:r>
      <w:r>
        <w:t xml:space="preserve">: A </w:t>
      </w:r>
      <w:r w:rsidRPr="004832F9">
        <w:t>critical</w:t>
      </w:r>
      <w:r>
        <w:t xml:space="preserve"> </w:t>
      </w:r>
      <w:r w:rsidRPr="004832F9">
        <w:t>analysis</w:t>
      </w:r>
      <w:r>
        <w:t xml:space="preserve"> </w:t>
      </w:r>
      <w:r w:rsidRPr="004832F9">
        <w:t>of</w:t>
      </w:r>
      <w:r>
        <w:t xml:space="preserve"> </w:t>
      </w:r>
      <w:r w:rsidRPr="004832F9">
        <w:t>state-of-the-art.</w:t>
      </w:r>
      <w:r>
        <w:t xml:space="preserve"> </w:t>
      </w:r>
      <w:r w:rsidRPr="004832F9">
        <w:t>WIREs</w:t>
      </w:r>
      <w:r>
        <w:t xml:space="preserve">: </w:t>
      </w:r>
      <w:r w:rsidRPr="004832F9">
        <w:t>e1387-e1392</w:t>
      </w:r>
      <w:r>
        <w:t xml:space="preserve">. </w:t>
      </w:r>
      <w:hyperlink r:id="rId135" w:history="1">
        <w:r w:rsidRPr="00DF3CEB">
          <w:rPr>
            <w:rStyle w:val="Hyperlink"/>
          </w:rPr>
          <w:t>https://doi</w:t>
        </w:r>
      </w:hyperlink>
      <w:r w:rsidRPr="006B7547">
        <w:t>.org/10.1002/</w:t>
      </w:r>
      <w:r w:rsidRPr="004832F9">
        <w:t>widm.1387</w:t>
      </w:r>
    </w:p>
    <w:p w14:paraId="6BD82A4B" w14:textId="5DDDA303" w:rsidR="006B7547" w:rsidRDefault="006B7547" w:rsidP="006B7547">
      <w:pPr>
        <w:pStyle w:val="Listenabsatz"/>
        <w:numPr>
          <w:ilvl w:val="0"/>
          <w:numId w:val="4"/>
        </w:numPr>
      </w:pPr>
      <w:r>
        <w:t xml:space="preserve">Prasser et al. (2020) </w:t>
      </w:r>
      <w:r w:rsidRPr="004832F9">
        <w:t>Flexible</w:t>
      </w:r>
      <w:r>
        <w:t xml:space="preserve"> </w:t>
      </w:r>
      <w:r w:rsidRPr="004832F9">
        <w:t>data</w:t>
      </w:r>
      <w:r>
        <w:t xml:space="preserve"> </w:t>
      </w:r>
      <w:r w:rsidRPr="004832F9">
        <w:t>anonymization</w:t>
      </w:r>
      <w:r>
        <w:t xml:space="preserve"> </w:t>
      </w:r>
      <w:r w:rsidRPr="004832F9">
        <w:t>using</w:t>
      </w:r>
      <w:r>
        <w:t xml:space="preserve"> </w:t>
      </w:r>
      <w:r w:rsidRPr="004832F9">
        <w:t>ARX—Current</w:t>
      </w:r>
      <w:r>
        <w:t xml:space="preserve"> </w:t>
      </w:r>
      <w:r w:rsidRPr="004832F9">
        <w:t>status</w:t>
      </w:r>
      <w:r>
        <w:t xml:space="preserve"> </w:t>
      </w:r>
      <w:r w:rsidRPr="004832F9">
        <w:t>and</w:t>
      </w:r>
      <w:r>
        <w:t xml:space="preserve"> </w:t>
      </w:r>
      <w:r w:rsidRPr="004832F9">
        <w:t>challenges</w:t>
      </w:r>
      <w:r>
        <w:t xml:space="preserve"> </w:t>
      </w:r>
      <w:r w:rsidRPr="004832F9">
        <w:t>ahead</w:t>
      </w:r>
      <w:r>
        <w:t xml:space="preserve">. </w:t>
      </w:r>
      <w:r w:rsidRPr="004832F9">
        <w:t xml:space="preserve">Softw: Pract Exper. </w:t>
      </w:r>
      <w:r>
        <w:t>(</w:t>
      </w:r>
      <w:r w:rsidRPr="006B7547">
        <w:t>50</w:t>
      </w:r>
      <w:r>
        <w:t>)</w:t>
      </w:r>
      <w:r w:rsidRPr="006B7547">
        <w:t>:</w:t>
      </w:r>
      <w:r>
        <w:t xml:space="preserve"> </w:t>
      </w:r>
      <w:r w:rsidRPr="006B7547">
        <w:t>1277–1304.</w:t>
      </w:r>
      <w:r>
        <w:t xml:space="preserve"> </w:t>
      </w:r>
      <w:hyperlink r:id="rId136" w:history="1">
        <w:r w:rsidRPr="00DF3CEB">
          <w:rPr>
            <w:rStyle w:val="Hyperlink"/>
          </w:rPr>
          <w:t>https://doi.org/10.1002/</w:t>
        </w:r>
        <w:r w:rsidRPr="004832F9">
          <w:rPr>
            <w:rStyle w:val="Hyperlink"/>
          </w:rPr>
          <w:t>spe.2812</w:t>
        </w:r>
      </w:hyperlink>
    </w:p>
    <w:p w14:paraId="2B9A0B88" w14:textId="5DFEA136" w:rsidR="00383094" w:rsidRPr="004C1658" w:rsidRDefault="004F79DB" w:rsidP="00383094">
      <w:pPr>
        <w:pStyle w:val="Listenabsatz"/>
        <w:numPr>
          <w:ilvl w:val="0"/>
          <w:numId w:val="4"/>
        </w:numPr>
      </w:pPr>
      <w:r w:rsidRPr="004832F9">
        <w:t>Puri V, Kaur P, Sachdeva S. (</w:t>
      </w:r>
      <w:r w:rsidR="00383094" w:rsidRPr="004832F9">
        <w:t xml:space="preserve">2022) (k,m, t)-anonymity: Enhanced privacy for transactional data. Concurrency Computat Pract Exper. </w:t>
      </w:r>
      <w:r w:rsidR="00383094">
        <w:t>(</w:t>
      </w:r>
      <w:r w:rsidR="00383094" w:rsidRPr="00383094">
        <w:t>34</w:t>
      </w:r>
      <w:r w:rsidR="00383094">
        <w:t>)</w:t>
      </w:r>
      <w:r w:rsidR="00383094" w:rsidRPr="00383094">
        <w:t>:</w:t>
      </w:r>
      <w:r w:rsidR="00383094">
        <w:t xml:space="preserve"> </w:t>
      </w:r>
      <w:r w:rsidR="00383094" w:rsidRPr="004832F9">
        <w:t>e7020</w:t>
      </w:r>
      <w:r w:rsidR="00383094">
        <w:t xml:space="preserve">. </w:t>
      </w:r>
      <w:hyperlink r:id="rId137" w:history="1">
        <w:r w:rsidR="00383094" w:rsidRPr="00DF3CEB">
          <w:rPr>
            <w:rStyle w:val="Hyperlink"/>
          </w:rPr>
          <w:t>https://doi</w:t>
        </w:r>
      </w:hyperlink>
      <w:r w:rsidR="00383094" w:rsidRPr="00383094">
        <w:t>.org/10.1002/</w:t>
      </w:r>
      <w:r w:rsidR="00383094" w:rsidRPr="004832F9">
        <w:t>cpe.7020</w:t>
      </w:r>
    </w:p>
    <w:p w14:paraId="1BED8E3A" w14:textId="77777777" w:rsidR="00AE4EA7" w:rsidRPr="004832F9" w:rsidRDefault="00000000">
      <w:pPr>
        <w:pStyle w:val="Listenabsatz"/>
        <w:numPr>
          <w:ilvl w:val="0"/>
          <w:numId w:val="4"/>
        </w:numPr>
      </w:pPr>
      <w:r w:rsidRPr="004832F9">
        <w:t>Raisaro et al. (2017) Addressing Beacon re-identification attacks: quantification and mitigation of privacy risks. JAMIA: 1-8, doi: 10.1093/jamia/ocw167</w:t>
      </w:r>
    </w:p>
    <w:p w14:paraId="3E09F5A5" w14:textId="794BAD83" w:rsidR="00D37709" w:rsidRDefault="00D37709" w:rsidP="00D37709">
      <w:pPr>
        <w:pStyle w:val="Listenabsatz"/>
        <w:numPr>
          <w:ilvl w:val="0"/>
          <w:numId w:val="4"/>
        </w:numPr>
      </w:pPr>
      <w:r w:rsidRPr="00D37709">
        <w:t xml:space="preserve">Rocher L, Hendrickx JM, de Montjoye Y. (2019) </w:t>
      </w:r>
      <w:r w:rsidRPr="00D37709">
        <w:rPr>
          <w:lang w:val="en-US"/>
        </w:rPr>
        <w:t>Estimating the success of re-identifications in incomplete datasets using generative models. Nat Commun</w:t>
      </w:r>
      <w:r w:rsidRPr="00D37709">
        <w:t xml:space="preserve"> 10: 3069. </w:t>
      </w:r>
      <w:hyperlink r:id="rId138" w:history="1">
        <w:r w:rsidRPr="00D37709">
          <w:rPr>
            <w:rStyle w:val="Hyperlink"/>
          </w:rPr>
          <w:t>https://doi.org/10.1038/s41467-019-10933-</w:t>
        </w:r>
        <w:r w:rsidRPr="00B96755">
          <w:rPr>
            <w:rStyle w:val="Hyperlink"/>
          </w:rPr>
          <w:t>3</w:t>
        </w:r>
      </w:hyperlink>
    </w:p>
    <w:p w14:paraId="03760B2F" w14:textId="1AEB1A0C" w:rsidR="00AE4EA7" w:rsidRDefault="00000000">
      <w:pPr>
        <w:pStyle w:val="Listenabsatz"/>
        <w:numPr>
          <w:ilvl w:val="0"/>
          <w:numId w:val="4"/>
        </w:numPr>
      </w:pPr>
      <w:r w:rsidRPr="004832F9">
        <w:t>Rosemann</w:t>
      </w:r>
      <w:r>
        <w:t xml:space="preserve"> M, </w:t>
      </w:r>
      <w:r w:rsidRPr="004832F9">
        <w:t>Vorgrimler</w:t>
      </w:r>
      <w:r>
        <w:t xml:space="preserve"> D, Lenz R. (2004) </w:t>
      </w:r>
      <w:r w:rsidRPr="004832F9">
        <w:t>Erste</w:t>
      </w:r>
      <w:r>
        <w:t xml:space="preserve"> Ergebnisse faktischer Anonymisierung wirtschaftsstatistischer Einzeldaten. Allgemeines </w:t>
      </w:r>
      <w:r w:rsidRPr="004832F9">
        <w:t>Statistisches</w:t>
      </w:r>
      <w:r>
        <w:t xml:space="preserve"> Archiv: 73–99</w:t>
      </w:r>
    </w:p>
    <w:p w14:paraId="6297C1D2" w14:textId="77777777" w:rsidR="00AE4EA7" w:rsidRDefault="00000000">
      <w:pPr>
        <w:pStyle w:val="Listenabsatz"/>
        <w:numPr>
          <w:ilvl w:val="0"/>
          <w:numId w:val="4"/>
        </w:numPr>
      </w:pPr>
      <w:r w:rsidRPr="004832F9">
        <w:t>Roßnagel</w:t>
      </w:r>
      <w:r>
        <w:t xml:space="preserve"> A. (2018) Pseudonymisierung personenbezogener Daten. </w:t>
      </w:r>
      <w:r w:rsidRPr="004832F9">
        <w:t>ZD</w:t>
      </w:r>
      <w:r>
        <w:t>: 243-247</w:t>
      </w:r>
    </w:p>
    <w:p w14:paraId="72F37485" w14:textId="77777777" w:rsidR="00AE4EA7" w:rsidRDefault="00000000">
      <w:pPr>
        <w:pStyle w:val="Listenabsatz"/>
        <w:numPr>
          <w:ilvl w:val="0"/>
          <w:numId w:val="4"/>
        </w:numPr>
      </w:pPr>
      <w:r w:rsidRPr="004832F9">
        <w:t>Roßnagel</w:t>
      </w:r>
      <w:r>
        <w:t xml:space="preserve"> A. (2021) Datenlöschung und Anonymisierung. Verhältnis der beiden Datenschutzinstrumente nach DS-GVO. </w:t>
      </w:r>
      <w:r w:rsidRPr="004832F9">
        <w:t>ZD</w:t>
      </w:r>
      <w:r>
        <w:t>: 188-192</w:t>
      </w:r>
    </w:p>
    <w:p w14:paraId="05B9777C" w14:textId="7D34C24C" w:rsidR="006D5146" w:rsidRDefault="006D5146">
      <w:pPr>
        <w:pStyle w:val="Listenabsatz"/>
        <w:numPr>
          <w:ilvl w:val="0"/>
          <w:numId w:val="4"/>
        </w:numPr>
      </w:pPr>
      <w:r w:rsidRPr="006D5146">
        <w:t xml:space="preserve">Sei Y, </w:t>
      </w:r>
      <w:r w:rsidRPr="004832F9">
        <w:t>Okumura</w:t>
      </w:r>
      <w:r w:rsidRPr="006D5146">
        <w:t xml:space="preserve"> H, </w:t>
      </w:r>
      <w:r w:rsidRPr="004832F9">
        <w:t>Ohsuga</w:t>
      </w:r>
      <w:r w:rsidRPr="006D5146">
        <w:t xml:space="preserve"> A. (2022) </w:t>
      </w:r>
      <w:r w:rsidRPr="004832F9">
        <w:t>Re-Identification</w:t>
      </w:r>
      <w:r w:rsidRPr="006D5146">
        <w:t xml:space="preserve"> in </w:t>
      </w:r>
      <w:r w:rsidRPr="004832F9">
        <w:t>Differentially</w:t>
      </w:r>
      <w:r w:rsidRPr="006D5146">
        <w:t xml:space="preserve"> Private </w:t>
      </w:r>
      <w:r w:rsidRPr="004832F9">
        <w:t>Incomplete</w:t>
      </w:r>
      <w:r w:rsidRPr="006D5146">
        <w:t xml:space="preserve"> </w:t>
      </w:r>
      <w:r w:rsidRPr="004832F9">
        <w:t>Datasets</w:t>
      </w:r>
      <w:r w:rsidRPr="006D5146">
        <w:t xml:space="preserve">. IEEE Open Journal </w:t>
      </w:r>
      <w:r w:rsidRPr="004832F9">
        <w:t>of</w:t>
      </w:r>
      <w:r w:rsidRPr="006D5146">
        <w:t xml:space="preserve"> </w:t>
      </w:r>
      <w:r w:rsidRPr="004832F9">
        <w:t>the</w:t>
      </w:r>
      <w:r w:rsidRPr="006D5146">
        <w:t xml:space="preserve"> Computer Society (3): 62-42. </w:t>
      </w:r>
      <w:hyperlink r:id="rId139" w:history="1">
        <w:r w:rsidRPr="00331E80">
          <w:rPr>
            <w:rStyle w:val="Hyperlink"/>
          </w:rPr>
          <w:t>https://doi.org/10.1109/</w:t>
        </w:r>
        <w:r w:rsidRPr="004832F9">
          <w:rPr>
            <w:rStyle w:val="Hyperlink"/>
          </w:rPr>
          <w:t>OJCS.2022.3175999</w:t>
        </w:r>
      </w:hyperlink>
    </w:p>
    <w:p w14:paraId="11925535" w14:textId="12999824" w:rsidR="0030590C" w:rsidRDefault="0030590C" w:rsidP="0030590C">
      <w:pPr>
        <w:pStyle w:val="Listenabsatz"/>
        <w:numPr>
          <w:ilvl w:val="0"/>
          <w:numId w:val="4"/>
        </w:numPr>
      </w:pPr>
      <w:r w:rsidRPr="004832F9">
        <w:t>Shao</w:t>
      </w:r>
      <w:r>
        <w:t xml:space="preserve"> et al. (2019) </w:t>
      </w:r>
      <w:r w:rsidRPr="0030590C">
        <w:t xml:space="preserve">Fast </w:t>
      </w:r>
      <w:r w:rsidRPr="004832F9">
        <w:t>De</w:t>
      </w:r>
      <w:r w:rsidRPr="004832F9">
        <w:rPr>
          <w:rFonts w:ascii="Cambria Math" w:hAnsi="Cambria Math" w:cs="Cambria Math"/>
        </w:rPr>
        <w:t>‑</w:t>
      </w:r>
      <w:r w:rsidRPr="004832F9">
        <w:t>anonymization</w:t>
      </w:r>
      <w:r w:rsidRPr="0030590C">
        <w:t xml:space="preserve"> </w:t>
      </w:r>
      <w:r w:rsidRPr="004832F9">
        <w:t>of</w:t>
      </w:r>
      <w:r w:rsidRPr="0030590C">
        <w:t xml:space="preserve"> Social Networks </w:t>
      </w:r>
      <w:r w:rsidRPr="004832F9">
        <w:t>with</w:t>
      </w:r>
      <w:r w:rsidRPr="0030590C">
        <w:t xml:space="preserve"> </w:t>
      </w:r>
      <w:r w:rsidRPr="004832F9">
        <w:t>Structural</w:t>
      </w:r>
      <w:r w:rsidRPr="0030590C">
        <w:t xml:space="preserve"> Information</w:t>
      </w:r>
      <w:r>
        <w:t xml:space="preserve">. Data </w:t>
      </w:r>
      <w:r w:rsidRPr="004832F9">
        <w:t>Science</w:t>
      </w:r>
      <w:r>
        <w:t xml:space="preserve"> </w:t>
      </w:r>
      <w:r w:rsidRPr="004832F9">
        <w:t>and</w:t>
      </w:r>
      <w:r>
        <w:t xml:space="preserve"> Engineering (4): 76-92. </w:t>
      </w:r>
      <w:hyperlink r:id="rId140" w:history="1">
        <w:r w:rsidRPr="009A62DA">
          <w:rPr>
            <w:rStyle w:val="Hyperlink"/>
          </w:rPr>
          <w:t>https://doi.org/10.1007/</w:t>
        </w:r>
        <w:r w:rsidRPr="004832F9">
          <w:rPr>
            <w:rStyle w:val="Hyperlink"/>
          </w:rPr>
          <w:t>s41019</w:t>
        </w:r>
        <w:r w:rsidRPr="009A62DA">
          <w:rPr>
            <w:rStyle w:val="Hyperlink"/>
          </w:rPr>
          <w:t>-019-0086-8</w:t>
        </w:r>
      </w:hyperlink>
    </w:p>
    <w:p w14:paraId="00CA0D5A" w14:textId="77777777" w:rsidR="00AE4EA7" w:rsidRDefault="00000000">
      <w:pPr>
        <w:pStyle w:val="Listenabsatz"/>
        <w:numPr>
          <w:ilvl w:val="0"/>
          <w:numId w:val="4"/>
        </w:numPr>
      </w:pPr>
      <w:r w:rsidRPr="004832F9">
        <w:t>Shringarpure</w:t>
      </w:r>
      <w:r>
        <w:t xml:space="preserve"> S, Bustamante C. (2015) </w:t>
      </w:r>
      <w:r w:rsidRPr="004832F9">
        <w:t>Privacy</w:t>
      </w:r>
      <w:r>
        <w:t xml:space="preserve"> </w:t>
      </w:r>
      <w:r w:rsidRPr="004832F9">
        <w:t>Risks</w:t>
      </w:r>
      <w:r>
        <w:t xml:space="preserve"> </w:t>
      </w:r>
      <w:r w:rsidRPr="004832F9">
        <w:t>from</w:t>
      </w:r>
      <w:r>
        <w:t xml:space="preserve"> </w:t>
      </w:r>
      <w:r w:rsidRPr="004832F9">
        <w:t>Genomic</w:t>
      </w:r>
      <w:r>
        <w:t xml:space="preserve"> Data-Sharing </w:t>
      </w:r>
      <w:r w:rsidRPr="004832F9">
        <w:t>Beacons</w:t>
      </w:r>
      <w:r>
        <w:t xml:space="preserve">. </w:t>
      </w:r>
      <w:r w:rsidRPr="004832F9">
        <w:t>The</w:t>
      </w:r>
      <w:r>
        <w:t xml:space="preserve"> American Journal </w:t>
      </w:r>
      <w:r w:rsidRPr="004832F9">
        <w:t>of</w:t>
      </w:r>
      <w:r>
        <w:t xml:space="preserve"> </w:t>
      </w:r>
      <w:r w:rsidRPr="004832F9">
        <w:t>Human</w:t>
      </w:r>
      <w:r>
        <w:t xml:space="preserve"> </w:t>
      </w:r>
      <w:r w:rsidRPr="004832F9">
        <w:t>Genetics</w:t>
      </w:r>
      <w:r>
        <w:t>: 631–646</w:t>
      </w:r>
    </w:p>
    <w:p w14:paraId="63D4DE0E" w14:textId="09B316A3" w:rsidR="00116C6D" w:rsidRDefault="00116C6D" w:rsidP="003A4FCE">
      <w:pPr>
        <w:pStyle w:val="Listenabsatz"/>
        <w:numPr>
          <w:ilvl w:val="0"/>
          <w:numId w:val="4"/>
        </w:numPr>
      </w:pPr>
      <w:r w:rsidRPr="004832F9">
        <w:t>Slijep</w:t>
      </w:r>
      <w:r w:rsidRPr="004832F9">
        <w:rPr>
          <w:rFonts w:cstheme="minorHAnsi"/>
        </w:rPr>
        <w:t>ĉ</w:t>
      </w:r>
      <w:r w:rsidRPr="004832F9">
        <w:t>evi</w:t>
      </w:r>
      <w:r w:rsidRPr="004832F9">
        <w:rPr>
          <w:rFonts w:cstheme="minorHAnsi"/>
        </w:rPr>
        <w:t>ĉ</w:t>
      </w:r>
      <w:r w:rsidRPr="004832F9">
        <w:t xml:space="preserve"> et al. (2021) k-Anonymity in practice: How generalisation and suppression affect machine learning classifiers. </w:t>
      </w:r>
      <w:r w:rsidRPr="00116C6D">
        <w:t>Computers &amp; Security</w:t>
      </w:r>
      <w:r>
        <w:t xml:space="preserve">: </w:t>
      </w:r>
      <w:r w:rsidRPr="00116C6D">
        <w:t>102488</w:t>
      </w:r>
      <w:r>
        <w:t xml:space="preserve">. </w:t>
      </w:r>
      <w:hyperlink r:id="rId141" w:history="1">
        <w:r w:rsidRPr="00F123A9">
          <w:rPr>
            <w:rStyle w:val="Hyperlink"/>
          </w:rPr>
          <w:t>https://www.sciencedirect.com/science/article/pii/S0167404821003126</w:t>
        </w:r>
      </w:hyperlink>
    </w:p>
    <w:p w14:paraId="626EF30F" w14:textId="04B661DC" w:rsidR="00AE4EA7" w:rsidRDefault="00000000">
      <w:pPr>
        <w:pStyle w:val="Listenabsatz"/>
        <w:numPr>
          <w:ilvl w:val="0"/>
          <w:numId w:val="4"/>
        </w:numPr>
      </w:pPr>
      <w:r>
        <w:t xml:space="preserve">Steinebach M, Vogel I. (2022) IT </w:t>
      </w:r>
      <w:r w:rsidRPr="004832F9">
        <w:t>and</w:t>
      </w:r>
      <w:r>
        <w:t xml:space="preserve"> </w:t>
      </w:r>
      <w:r w:rsidRPr="004832F9">
        <w:t>more</w:t>
      </w:r>
      <w:r>
        <w:t xml:space="preserve">: Anonymisierung unstrukturierter Daten. </w:t>
      </w:r>
      <w:r w:rsidRPr="004832F9">
        <w:t>WPg</w:t>
      </w:r>
      <w:r>
        <w:t>: 1230-1232</w:t>
      </w:r>
    </w:p>
    <w:p w14:paraId="556F7D96" w14:textId="77777777" w:rsidR="00AE4EA7" w:rsidRDefault="00000000">
      <w:pPr>
        <w:pStyle w:val="Listenabsatz"/>
        <w:numPr>
          <w:ilvl w:val="0"/>
          <w:numId w:val="4"/>
        </w:numPr>
      </w:pPr>
      <w:r>
        <w:t xml:space="preserve">Stürmer V. (2020) Löschen durch Anonymisieren? Mögliche Erfüllung der Löschpflicht nach Art. 17 DS-GVO. </w:t>
      </w:r>
      <w:r w:rsidRPr="004832F9">
        <w:t>ZD</w:t>
      </w:r>
      <w:r>
        <w:t>: 626-631</w:t>
      </w:r>
    </w:p>
    <w:p w14:paraId="68E454E2" w14:textId="118D9BF6" w:rsidR="00EA60AE" w:rsidRDefault="00EA60AE" w:rsidP="00C60B51">
      <w:pPr>
        <w:pStyle w:val="Listenabsatz"/>
        <w:numPr>
          <w:ilvl w:val="0"/>
          <w:numId w:val="4"/>
        </w:numPr>
      </w:pPr>
      <w:r w:rsidRPr="00EA60AE">
        <w:t>Stummer</w:t>
      </w:r>
      <w:r>
        <w:t xml:space="preserve"> S. (2023) Identifizierbarkeit und Anonymität im Internet. Metriken zur Verifikation des Anonymitätsgrads im Rahmen der Internetnutzung. </w:t>
      </w:r>
      <w:r w:rsidRPr="004832F9">
        <w:t>ZfDR</w:t>
      </w:r>
      <w:r>
        <w:t>: 263-280</w:t>
      </w:r>
    </w:p>
    <w:p w14:paraId="1D5C4101" w14:textId="1E469086" w:rsidR="00D97F03" w:rsidRDefault="00D97F03" w:rsidP="00D97F03">
      <w:pPr>
        <w:pStyle w:val="Listenabsatz"/>
        <w:numPr>
          <w:ilvl w:val="0"/>
          <w:numId w:val="4"/>
        </w:numPr>
      </w:pPr>
      <w:r w:rsidRPr="004832F9">
        <w:t>Thüsing</w:t>
      </w:r>
      <w:r>
        <w:t xml:space="preserve"> G, </w:t>
      </w:r>
      <w:r w:rsidRPr="004832F9">
        <w:t>Rombey</w:t>
      </w:r>
      <w:r>
        <w:t xml:space="preserve"> S. (2021) Anonymisierung an sich ist keine rechtfertigungsbedürftige Datenverarbeitung. </w:t>
      </w:r>
      <w:r w:rsidRPr="004832F9">
        <w:t>ZD</w:t>
      </w:r>
      <w:r>
        <w:t>: 548-553</w:t>
      </w:r>
    </w:p>
    <w:p w14:paraId="55877748" w14:textId="3C3ADB93" w:rsidR="0030590C" w:rsidRDefault="0030590C" w:rsidP="0030590C">
      <w:pPr>
        <w:pStyle w:val="Listenabsatz"/>
        <w:numPr>
          <w:ilvl w:val="0"/>
          <w:numId w:val="4"/>
        </w:numPr>
      </w:pPr>
      <w:r w:rsidRPr="004832F9">
        <w:t xml:space="preserve">Torra V, Navarro-Arribas G. (2023) Attribute disclosure risk for k-anonymity: the case of numerical data. </w:t>
      </w:r>
      <w:r>
        <w:t xml:space="preserve">International Journal </w:t>
      </w:r>
      <w:r w:rsidRPr="004832F9">
        <w:t>of</w:t>
      </w:r>
      <w:r>
        <w:t xml:space="preserve"> Information Security (22): 2015-2024. </w:t>
      </w:r>
      <w:hyperlink r:id="rId142" w:history="1">
        <w:r w:rsidRPr="009A62DA">
          <w:rPr>
            <w:rStyle w:val="Hyperlink"/>
          </w:rPr>
          <w:t>https://doi.org/10.1007/</w:t>
        </w:r>
        <w:r w:rsidRPr="004832F9">
          <w:rPr>
            <w:rStyle w:val="Hyperlink"/>
          </w:rPr>
          <w:t>s10207</w:t>
        </w:r>
        <w:r w:rsidRPr="009A62DA">
          <w:rPr>
            <w:rStyle w:val="Hyperlink"/>
          </w:rPr>
          <w:t>-023-00730-x</w:t>
        </w:r>
      </w:hyperlink>
    </w:p>
    <w:p w14:paraId="06595A0E" w14:textId="43AE72FE" w:rsidR="0030590C" w:rsidRDefault="0030590C" w:rsidP="0030590C">
      <w:pPr>
        <w:pStyle w:val="Listenabsatz"/>
        <w:numPr>
          <w:ilvl w:val="0"/>
          <w:numId w:val="4"/>
        </w:numPr>
      </w:pPr>
      <w:r w:rsidRPr="004832F9">
        <w:t>Tsou</w:t>
      </w:r>
      <w:r>
        <w:t xml:space="preserve"> et al. (2021) (k, </w:t>
      </w:r>
      <w:r w:rsidRPr="0030590C">
        <w:rPr>
          <w:rFonts w:cstheme="minorHAnsi"/>
        </w:rPr>
        <w:t>ε</w:t>
      </w:r>
      <w:r>
        <w:t xml:space="preserve">, </w:t>
      </w:r>
      <w:r w:rsidRPr="0030590C">
        <w:rPr>
          <w:rFonts w:cstheme="minorHAnsi"/>
        </w:rPr>
        <w:t>δ</w:t>
      </w:r>
      <w:r>
        <w:t>)-</w:t>
      </w:r>
      <w:r w:rsidRPr="004832F9">
        <w:t>Anonymization</w:t>
      </w:r>
      <w:r>
        <w:t xml:space="preserve">: </w:t>
      </w:r>
      <w:r w:rsidRPr="004832F9">
        <w:t>privacy-preserving</w:t>
      </w:r>
      <w:r>
        <w:t xml:space="preserve"> </w:t>
      </w:r>
      <w:r w:rsidRPr="004832F9">
        <w:t>data</w:t>
      </w:r>
      <w:r>
        <w:t xml:space="preserve"> </w:t>
      </w:r>
      <w:r w:rsidRPr="004832F9">
        <w:t>release</w:t>
      </w:r>
      <w:r>
        <w:t xml:space="preserve"> </w:t>
      </w:r>
      <w:r w:rsidRPr="004832F9">
        <w:t>based</w:t>
      </w:r>
      <w:r>
        <w:t xml:space="preserve"> on </w:t>
      </w:r>
      <w:r w:rsidRPr="004832F9">
        <w:t>k-anonymity</w:t>
      </w:r>
      <w:r>
        <w:t xml:space="preserve"> </w:t>
      </w:r>
      <w:r w:rsidRPr="004832F9">
        <w:t>and</w:t>
      </w:r>
      <w:r>
        <w:t xml:space="preserve"> </w:t>
      </w:r>
      <w:r w:rsidRPr="004832F9">
        <w:t>differential</w:t>
      </w:r>
      <w:r>
        <w:t xml:space="preserve"> </w:t>
      </w:r>
      <w:r w:rsidRPr="004832F9">
        <w:t>privacy</w:t>
      </w:r>
      <w:r>
        <w:t xml:space="preserve">. Service </w:t>
      </w:r>
      <w:r w:rsidRPr="004832F9">
        <w:t>Oriented</w:t>
      </w:r>
      <w:r>
        <w:t xml:space="preserve"> Computing </w:t>
      </w:r>
      <w:r w:rsidRPr="004832F9">
        <w:t>and</w:t>
      </w:r>
      <w:r>
        <w:t xml:space="preserve"> </w:t>
      </w:r>
      <w:r w:rsidRPr="004832F9">
        <w:t>Applications</w:t>
      </w:r>
      <w:r>
        <w:t xml:space="preserve"> (15): 175-185. </w:t>
      </w:r>
      <w:hyperlink r:id="rId143" w:history="1">
        <w:r w:rsidRPr="009A62DA">
          <w:rPr>
            <w:rStyle w:val="Hyperlink"/>
          </w:rPr>
          <w:t>https://doi.org/10.1007/</w:t>
        </w:r>
        <w:r w:rsidRPr="004832F9">
          <w:rPr>
            <w:rStyle w:val="Hyperlink"/>
          </w:rPr>
          <w:t>s11761</w:t>
        </w:r>
        <w:r w:rsidRPr="009A62DA">
          <w:rPr>
            <w:rStyle w:val="Hyperlink"/>
          </w:rPr>
          <w:t>-021-00324-2</w:t>
        </w:r>
      </w:hyperlink>
    </w:p>
    <w:p w14:paraId="3131C174" w14:textId="77777777" w:rsidR="00AE4EA7" w:rsidRDefault="00000000">
      <w:pPr>
        <w:pStyle w:val="Listenabsatz"/>
        <w:numPr>
          <w:ilvl w:val="0"/>
          <w:numId w:val="4"/>
        </w:numPr>
      </w:pPr>
      <w:r>
        <w:t xml:space="preserve">Wallace </w:t>
      </w:r>
      <w:r w:rsidRPr="004832F9">
        <w:t>SE</w:t>
      </w:r>
      <w:r>
        <w:t xml:space="preserve">. (2016) </w:t>
      </w:r>
      <w:r w:rsidRPr="004832F9">
        <w:t>What</w:t>
      </w:r>
      <w:r>
        <w:t xml:space="preserve"> Does </w:t>
      </w:r>
      <w:r w:rsidRPr="004832F9">
        <w:t>Anonymization</w:t>
      </w:r>
      <w:r>
        <w:t xml:space="preserve"> </w:t>
      </w:r>
      <w:r w:rsidRPr="004832F9">
        <w:t>Mean</w:t>
      </w:r>
      <w:r>
        <w:t xml:space="preserve">? </w:t>
      </w:r>
      <w:r w:rsidRPr="004832F9">
        <w:t>DataSHIELD and the Need for Consensus on Anonymization Terminology. Biopreservation</w:t>
      </w:r>
      <w:r>
        <w:t xml:space="preserve"> </w:t>
      </w:r>
      <w:r w:rsidRPr="004832F9">
        <w:t>and</w:t>
      </w:r>
      <w:r>
        <w:t xml:space="preserve"> Biobanking: 224-230</w:t>
      </w:r>
    </w:p>
    <w:p w14:paraId="3709B0FE" w14:textId="08A9DFFC" w:rsidR="0030590C" w:rsidRDefault="0030590C" w:rsidP="0030590C">
      <w:pPr>
        <w:pStyle w:val="Listenabsatz"/>
        <w:numPr>
          <w:ilvl w:val="0"/>
          <w:numId w:val="4"/>
        </w:numPr>
      </w:pPr>
      <w:r w:rsidRPr="004832F9">
        <w:t>Wang J, Kwan M (2020) Daily activity locations k</w:t>
      </w:r>
      <w:r w:rsidRPr="004832F9">
        <w:rPr>
          <w:rFonts w:ascii="Cambria Math" w:hAnsi="Cambria Math" w:cs="Cambria Math"/>
        </w:rPr>
        <w:t>‑</w:t>
      </w:r>
      <w:r w:rsidRPr="004832F9">
        <w:t xml:space="preserve">anonymity for the evaluation of disclosure risk of individual GPS datasets. </w:t>
      </w:r>
      <w:r w:rsidRPr="0030590C">
        <w:t xml:space="preserve">J </w:t>
      </w:r>
      <w:r w:rsidRPr="004832F9">
        <w:t>Health</w:t>
      </w:r>
      <w:r w:rsidRPr="0030590C">
        <w:t xml:space="preserve"> </w:t>
      </w:r>
      <w:r w:rsidRPr="004832F9">
        <w:t>Geogr</w:t>
      </w:r>
      <w:r>
        <w:t xml:space="preserve">: </w:t>
      </w:r>
      <w:hyperlink r:id="rId144" w:history="1">
        <w:r w:rsidRPr="009A62DA">
          <w:rPr>
            <w:rStyle w:val="Hyperlink"/>
          </w:rPr>
          <w:t>https://doi.org/10.1186/</w:t>
        </w:r>
        <w:r w:rsidRPr="004832F9">
          <w:rPr>
            <w:rStyle w:val="Hyperlink"/>
          </w:rPr>
          <w:t>s12942</w:t>
        </w:r>
        <w:r w:rsidRPr="009A62DA">
          <w:rPr>
            <w:rStyle w:val="Hyperlink"/>
          </w:rPr>
          <w:t>-020-00201-9</w:t>
        </w:r>
      </w:hyperlink>
    </w:p>
    <w:p w14:paraId="5CD75070" w14:textId="130CFE79" w:rsidR="00AE4EA7" w:rsidRDefault="00000000">
      <w:pPr>
        <w:pStyle w:val="Listenabsatz"/>
        <w:numPr>
          <w:ilvl w:val="0"/>
          <w:numId w:val="4"/>
        </w:numPr>
      </w:pPr>
      <w:r>
        <w:t xml:space="preserve">Wang et al. (2020) A </w:t>
      </w:r>
      <w:r w:rsidRPr="004832F9">
        <w:t>Comprehensive</w:t>
      </w:r>
      <w:r>
        <w:t xml:space="preserve"> </w:t>
      </w:r>
      <w:r w:rsidRPr="004832F9">
        <w:t>Overview</w:t>
      </w:r>
      <w:r>
        <w:t xml:space="preserve"> </w:t>
      </w:r>
      <w:r w:rsidRPr="004832F9">
        <w:t>of</w:t>
      </w:r>
      <w:r>
        <w:t xml:space="preserve"> Person </w:t>
      </w:r>
      <w:r w:rsidRPr="004832F9">
        <w:t>Re-Identification</w:t>
      </w:r>
      <w:r>
        <w:t xml:space="preserve"> </w:t>
      </w:r>
      <w:r w:rsidRPr="004832F9">
        <w:t>Approaches</w:t>
      </w:r>
      <w:r>
        <w:t xml:space="preserve">. IEEE 2021. </w:t>
      </w:r>
      <w:hyperlink r:id="rId145">
        <w:r>
          <w:rPr>
            <w:rStyle w:val="Internetverknpfung"/>
          </w:rPr>
          <w:t>https://ieeexplore.ieee.org/document/9023965</w:t>
        </w:r>
      </w:hyperlink>
    </w:p>
    <w:p w14:paraId="4B35B599" w14:textId="77777777" w:rsidR="00AE4EA7" w:rsidRDefault="00000000">
      <w:pPr>
        <w:pStyle w:val="Listenabsatz"/>
        <w:numPr>
          <w:ilvl w:val="0"/>
          <w:numId w:val="4"/>
        </w:numPr>
      </w:pPr>
      <w:r w:rsidRPr="004832F9">
        <w:t xml:space="preserve">Weitzenboeck etr al. (2022) The GDPR and unstructured data: is anonymization possible? </w:t>
      </w:r>
      <w:r>
        <w:t xml:space="preserve">International Data </w:t>
      </w:r>
      <w:r w:rsidRPr="004832F9">
        <w:t>Privacy</w:t>
      </w:r>
      <w:r>
        <w:t xml:space="preserve"> Law (12): 184-206</w:t>
      </w:r>
    </w:p>
    <w:p w14:paraId="66849169" w14:textId="77777777" w:rsidR="00AE4EA7" w:rsidRDefault="00000000">
      <w:pPr>
        <w:pStyle w:val="Listenabsatz"/>
        <w:numPr>
          <w:ilvl w:val="0"/>
          <w:numId w:val="4"/>
        </w:numPr>
      </w:pPr>
      <w:r w:rsidRPr="004832F9">
        <w:t>Wójtowicz</w:t>
      </w:r>
      <w:r>
        <w:t xml:space="preserve"> M, </w:t>
      </w:r>
      <w:r w:rsidRPr="004832F9">
        <w:t>Cebulla</w:t>
      </w:r>
      <w:r>
        <w:t xml:space="preserve"> M. (2017) Anonymisierung nach der DSGVO. </w:t>
      </w:r>
      <w:r w:rsidRPr="004832F9">
        <w:t>PinG</w:t>
      </w:r>
      <w:r>
        <w:t>: 186-192</w:t>
      </w:r>
    </w:p>
    <w:p w14:paraId="72C839BE" w14:textId="1AC19F4E" w:rsidR="00661DFB" w:rsidRDefault="00661DFB" w:rsidP="00661DFB">
      <w:pPr>
        <w:pStyle w:val="Listenabsatz"/>
        <w:numPr>
          <w:ilvl w:val="0"/>
          <w:numId w:val="4"/>
        </w:numPr>
      </w:pPr>
      <w:r w:rsidRPr="004832F9">
        <w:t xml:space="preserve">Xia X, Tao Y. (2006) Anatomy: simple and effective privacy preservation. </w:t>
      </w:r>
      <w:r w:rsidRPr="00661DFB">
        <w:t xml:space="preserve">Proceedings </w:t>
      </w:r>
      <w:r>
        <w:pgNum/>
      </w:r>
      <w:r>
        <w:t>ft he</w:t>
      </w:r>
      <w:r w:rsidRPr="00661DFB">
        <w:t xml:space="preserve"> 32nd international conference on Very large data bases: 139–150. </w:t>
      </w:r>
      <w:hyperlink r:id="rId146" w:history="1">
        <w:r>
          <w:rPr>
            <w:rStyle w:val="Hyperlink"/>
          </w:rPr>
          <w:t>https://dl.acm.org/doi/ 10.5555/1182635.1164141</w:t>
        </w:r>
      </w:hyperlink>
    </w:p>
    <w:p w14:paraId="06CB5964" w14:textId="77777777" w:rsidR="00AE4EA7" w:rsidRDefault="00000000">
      <w:pPr>
        <w:pStyle w:val="Listenabsatz"/>
        <w:numPr>
          <w:ilvl w:val="0"/>
          <w:numId w:val="4"/>
        </w:numPr>
      </w:pPr>
      <w:r>
        <w:t>Zou et al. (2021) Person re-identification based on metric learning: a survey. Multimedia Tools and Applications (80): 26855-26888</w:t>
      </w:r>
    </w:p>
    <w:p w14:paraId="3E2B8485" w14:textId="23D9DDE2" w:rsidR="00B8211C" w:rsidRDefault="00B8211C" w:rsidP="00B8211C">
      <w:pPr>
        <w:pStyle w:val="Listenabsatz"/>
        <w:numPr>
          <w:ilvl w:val="0"/>
          <w:numId w:val="4"/>
        </w:numPr>
      </w:pPr>
      <w:r w:rsidRPr="00B8211C">
        <w:t>Zouinina</w:t>
      </w:r>
      <w:r>
        <w:t xml:space="preserve"> et al. (2020) Data Anonymization through Collaborative Multi-view Microaggregation. </w:t>
      </w:r>
      <w:r w:rsidRPr="00B8211C">
        <w:t>J. Intell. Syst.</w:t>
      </w:r>
      <w:r>
        <w:t xml:space="preserve"> (</w:t>
      </w:r>
      <w:r w:rsidRPr="00B8211C">
        <w:t>30</w:t>
      </w:r>
      <w:r>
        <w:t>)</w:t>
      </w:r>
      <w:r w:rsidRPr="00B8211C">
        <w:t>:</w:t>
      </w:r>
      <w:r>
        <w:t xml:space="preserve"> </w:t>
      </w:r>
      <w:r w:rsidRPr="00B8211C">
        <w:t>327</w:t>
      </w:r>
      <w:r>
        <w:t>-</w:t>
      </w:r>
      <w:r w:rsidRPr="00B8211C">
        <w:t>45</w:t>
      </w:r>
      <w:r>
        <w:t xml:space="preserve">. </w:t>
      </w:r>
      <w:r w:rsidRPr="00B8211C">
        <w:t>https://doi.org/10.1515/jisys-2020-0026</w:t>
      </w:r>
    </w:p>
    <w:p w14:paraId="4231088D" w14:textId="77777777" w:rsidR="00AE4EA7" w:rsidRDefault="00AE4EA7"/>
    <w:sectPr w:rsidR="00AE4EA7">
      <w:headerReference w:type="default" r:id="rId147"/>
      <w:footerReference w:type="default" r:id="rId148"/>
      <w:pgSz w:w="11906" w:h="16838"/>
      <w:pgMar w:top="1417" w:right="1417" w:bottom="1134" w:left="1417" w:header="708" w:footer="708"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CBEDC" w14:textId="77777777" w:rsidR="00665230" w:rsidRDefault="00665230">
      <w:pPr>
        <w:spacing w:after="0" w:line="240" w:lineRule="auto"/>
      </w:pPr>
      <w:r>
        <w:separator/>
      </w:r>
    </w:p>
  </w:endnote>
  <w:endnote w:type="continuationSeparator" w:id="0">
    <w:p w14:paraId="42CAD17C" w14:textId="77777777" w:rsidR="00665230" w:rsidRDefault="00665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Noto Sans Devanagari">
    <w:altName w:val="Nirmala UI"/>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B5CB" w14:textId="77777777" w:rsidR="004832F9" w:rsidRDefault="004832F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68ECD" w14:textId="77777777" w:rsidR="004832F9" w:rsidRDefault="004832F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6D6F3" w14:textId="77777777" w:rsidR="004832F9" w:rsidRDefault="004832F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212"/>
    </w:tblGrid>
    <w:tr w:rsidR="00CA188B" w:rsidRPr="00CA188B" w14:paraId="05961D82" w14:textId="77777777" w:rsidTr="00CA188B">
      <w:tc>
        <w:tcPr>
          <w:tcW w:w="9212" w:type="dxa"/>
        </w:tcPr>
        <w:p w14:paraId="5835088E" w14:textId="57ECDA98" w:rsidR="00CA188B" w:rsidRPr="00CA188B" w:rsidRDefault="00CA188B" w:rsidP="00CA188B">
          <w:pPr>
            <w:pStyle w:val="Fuzeile"/>
            <w:jc w:val="center"/>
            <w:rPr>
              <w:sz w:val="18"/>
              <w:szCs w:val="18"/>
            </w:rPr>
          </w:pPr>
          <w:r w:rsidRPr="00CA188B">
            <w:rPr>
              <w:sz w:val="18"/>
              <w:szCs w:val="18"/>
            </w:rPr>
            <w:fldChar w:fldCharType="begin"/>
          </w:r>
          <w:r w:rsidRPr="00CA188B">
            <w:rPr>
              <w:sz w:val="18"/>
              <w:szCs w:val="18"/>
            </w:rPr>
            <w:instrText>PAGE   \* MERGEFORMAT</w:instrText>
          </w:r>
          <w:r w:rsidRPr="00CA188B">
            <w:rPr>
              <w:sz w:val="18"/>
              <w:szCs w:val="18"/>
            </w:rPr>
            <w:fldChar w:fldCharType="separate"/>
          </w:r>
          <w:r w:rsidRPr="00CA188B">
            <w:rPr>
              <w:sz w:val="18"/>
              <w:szCs w:val="18"/>
            </w:rPr>
            <w:t>1</w:t>
          </w:r>
          <w:r w:rsidRPr="00CA188B">
            <w:rPr>
              <w:sz w:val="18"/>
              <w:szCs w:val="18"/>
            </w:rPr>
            <w:fldChar w:fldCharType="end"/>
          </w:r>
        </w:p>
      </w:tc>
    </w:tr>
  </w:tbl>
  <w:p w14:paraId="236B2DC7" w14:textId="77777777" w:rsidR="00CA188B" w:rsidRPr="00CA188B" w:rsidRDefault="00CA188B">
    <w:pPr>
      <w:pStyle w:val="Fuzeile"/>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212" w:type="dxa"/>
      <w:tblLayout w:type="fixed"/>
      <w:tblLook w:val="04A0" w:firstRow="1" w:lastRow="0" w:firstColumn="1" w:lastColumn="0" w:noHBand="0" w:noVBand="1"/>
    </w:tblPr>
    <w:tblGrid>
      <w:gridCol w:w="9212"/>
    </w:tblGrid>
    <w:tr w:rsidR="00AE4EA7" w14:paraId="42463F93" w14:textId="77777777">
      <w:tc>
        <w:tcPr>
          <w:tcW w:w="9212" w:type="dxa"/>
          <w:tcBorders>
            <w:left w:val="nil"/>
            <w:bottom w:val="nil"/>
            <w:right w:val="nil"/>
          </w:tcBorders>
        </w:tcPr>
        <w:p w14:paraId="5A0D10B1" w14:textId="599013F3" w:rsidR="00AE4EA7" w:rsidRDefault="00000000">
          <w:pPr>
            <w:pStyle w:val="Fuzeile"/>
            <w:widowControl w:val="0"/>
            <w:jc w:val="center"/>
            <w:rPr>
              <w:sz w:val="18"/>
              <w:szCs w:val="18"/>
            </w:rPr>
          </w:pPr>
          <w:sdt>
            <w:sdtPr>
              <w:rPr>
                <w:sz w:val="16"/>
                <w:szCs w:val="16"/>
              </w:rPr>
              <w:id w:val="-1426956131"/>
              <w:docPartObj>
                <w:docPartGallery w:val="Page Numbers (Top of Page)"/>
                <w:docPartUnique/>
              </w:docPartObj>
            </w:sdtPr>
            <w:sdtContent>
              <w:r w:rsidR="00CA188B">
                <w:rPr>
                  <w:sz w:val="16"/>
                  <w:szCs w:val="16"/>
                </w:rPr>
                <w:t xml:space="preserve">Seite </w:t>
              </w:r>
              <w:r w:rsidR="00CA188B">
                <w:rPr>
                  <w:b/>
                  <w:sz w:val="16"/>
                  <w:szCs w:val="16"/>
                </w:rPr>
                <w:fldChar w:fldCharType="begin"/>
              </w:r>
              <w:r w:rsidR="00CA188B">
                <w:rPr>
                  <w:b/>
                  <w:sz w:val="16"/>
                  <w:szCs w:val="16"/>
                </w:rPr>
                <w:instrText>PAGE  \* Arabic  \* MERGEFORMAT</w:instrText>
              </w:r>
              <w:r w:rsidR="00CA188B">
                <w:rPr>
                  <w:b/>
                  <w:sz w:val="16"/>
                  <w:szCs w:val="16"/>
                </w:rPr>
                <w:fldChar w:fldCharType="separate"/>
              </w:r>
              <w:r w:rsidR="00CA188B">
                <w:rPr>
                  <w:b/>
                  <w:sz w:val="16"/>
                  <w:szCs w:val="16"/>
                </w:rPr>
                <w:t>9</w:t>
              </w:r>
              <w:r w:rsidR="00CA188B">
                <w:rPr>
                  <w:b/>
                  <w:sz w:val="16"/>
                  <w:szCs w:val="16"/>
                </w:rPr>
                <w:fldChar w:fldCharType="end"/>
              </w:r>
              <w:r w:rsidR="00CA188B">
                <w:rPr>
                  <w:sz w:val="16"/>
                  <w:szCs w:val="16"/>
                </w:rPr>
                <w:t xml:space="preserve"> von</w:t>
              </w:r>
              <w:r w:rsidR="00CA188B">
                <w:rPr>
                  <w:sz w:val="18"/>
                  <w:szCs w:val="18"/>
                </w:rPr>
                <w:t xml:space="preserve"> </w:t>
              </w:r>
              <w:r w:rsidR="00CA188B">
                <w:rPr>
                  <w:sz w:val="18"/>
                  <w:szCs w:val="18"/>
                </w:rPr>
                <w:fldChar w:fldCharType="begin"/>
              </w:r>
              <w:r w:rsidR="00CA188B">
                <w:rPr>
                  <w:sz w:val="18"/>
                  <w:szCs w:val="18"/>
                </w:rPr>
                <w:instrText xml:space="preserve"> =</w:instrText>
              </w:r>
              <w:r w:rsidR="00CA188B">
                <w:rPr>
                  <w:b/>
                  <w:sz w:val="18"/>
                  <w:szCs w:val="18"/>
                </w:rPr>
                <w:fldChar w:fldCharType="begin"/>
              </w:r>
              <w:r w:rsidR="00CA188B">
                <w:rPr>
                  <w:b/>
                  <w:sz w:val="18"/>
                  <w:szCs w:val="18"/>
                </w:rPr>
                <w:instrText>NUMPAGES  \* Arabic  \* MERGEFORMAT</w:instrText>
              </w:r>
              <w:r w:rsidR="00CA188B">
                <w:rPr>
                  <w:b/>
                  <w:sz w:val="18"/>
                  <w:szCs w:val="18"/>
                </w:rPr>
                <w:fldChar w:fldCharType="separate"/>
              </w:r>
              <w:r w:rsidR="00C10BB0">
                <w:rPr>
                  <w:b/>
                  <w:noProof/>
                  <w:sz w:val="18"/>
                  <w:szCs w:val="18"/>
                </w:rPr>
                <w:instrText>109</w:instrText>
              </w:r>
              <w:r w:rsidR="00CA188B">
                <w:rPr>
                  <w:b/>
                  <w:sz w:val="18"/>
                  <w:szCs w:val="18"/>
                </w:rPr>
                <w:fldChar w:fldCharType="end"/>
              </w:r>
              <w:r w:rsidR="00CA188B">
                <w:rPr>
                  <w:sz w:val="18"/>
                  <w:szCs w:val="18"/>
                </w:rPr>
                <w:instrText>-</w:instrText>
              </w:r>
              <w:r w:rsidR="00637DFC">
                <w:rPr>
                  <w:sz w:val="18"/>
                  <w:szCs w:val="18"/>
                </w:rPr>
                <w:instrText>8</w:instrText>
              </w:r>
              <w:r w:rsidR="00CA188B">
                <w:rPr>
                  <w:sz w:val="18"/>
                  <w:szCs w:val="18"/>
                </w:rPr>
                <w:fldChar w:fldCharType="separate"/>
              </w:r>
              <w:r w:rsidR="00C10BB0">
                <w:rPr>
                  <w:noProof/>
                  <w:sz w:val="18"/>
                  <w:szCs w:val="18"/>
                </w:rPr>
                <w:t>101</w:t>
              </w:r>
              <w:r w:rsidR="00CA188B">
                <w:rPr>
                  <w:sz w:val="18"/>
                  <w:szCs w:val="18"/>
                </w:rPr>
                <w:fldChar w:fldCharType="end"/>
              </w:r>
            </w:sdtContent>
          </w:sdt>
        </w:p>
      </w:tc>
    </w:tr>
  </w:tbl>
  <w:p w14:paraId="1C01CC1D" w14:textId="77777777" w:rsidR="00AE4EA7" w:rsidRDefault="00AE4E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3624E" w14:textId="77777777" w:rsidR="00665230" w:rsidRDefault="00665230">
      <w:pPr>
        <w:rPr>
          <w:sz w:val="12"/>
        </w:rPr>
      </w:pPr>
      <w:r>
        <w:separator/>
      </w:r>
    </w:p>
  </w:footnote>
  <w:footnote w:type="continuationSeparator" w:id="0">
    <w:p w14:paraId="5CCAB5AA" w14:textId="77777777" w:rsidR="00665230" w:rsidRDefault="00665230">
      <w:pPr>
        <w:rPr>
          <w:sz w:val="12"/>
        </w:rPr>
      </w:pPr>
      <w:r>
        <w:continuationSeparator/>
      </w:r>
    </w:p>
  </w:footnote>
  <w:footnote w:id="1">
    <w:p w14:paraId="4C1325F4" w14:textId="22F75ABD" w:rsidR="00E87699" w:rsidRDefault="00E87699" w:rsidP="00E87699">
      <w:pPr>
        <w:pStyle w:val="Funotentext"/>
      </w:pPr>
      <w:r>
        <w:rPr>
          <w:rStyle w:val="Funotenzeichen"/>
        </w:rPr>
        <w:footnoteRef/>
      </w:r>
      <w:r>
        <w:t xml:space="preserve"> Vgl. hierzu </w:t>
      </w:r>
      <w:r w:rsidRPr="000D2395">
        <w:t>Schwartmann R</w:t>
      </w:r>
      <w:r>
        <w:t xml:space="preserve">, </w:t>
      </w:r>
      <w:r w:rsidRPr="000D2395">
        <w:t>Weiß, S</w:t>
      </w:r>
      <w:r>
        <w:t xml:space="preserve">. </w:t>
      </w:r>
      <w:r w:rsidRPr="000D2395">
        <w:t xml:space="preserve">(Hrsg.) Entwurf für einen Code of Conduct zum Einsatz DS-GVO konformer Pseudonymisierung. </w:t>
      </w:r>
      <w:r>
        <w:t xml:space="preserve">(Stand Oktober 2019. </w:t>
      </w:r>
      <w:r w:rsidRPr="000D2395">
        <w:t xml:space="preserve">Online, zitiert am 2024-01-25; verfügbar unter </w:t>
      </w:r>
      <w:hyperlink r:id="rId1" w:history="1">
        <w:r w:rsidRPr="0082301C">
          <w:rPr>
            <w:rStyle w:val="Hyperlink"/>
          </w:rPr>
          <w:t>https://www.de.digital/DIGITAL/Redaktion/DE/Digital-Gipfel/Download/2019/p9-code-of-conduct.pdf?blob=publicationFile&amp;v=1</w:t>
        </w:r>
      </w:hyperlink>
    </w:p>
  </w:footnote>
  <w:footnote w:id="2">
    <w:p w14:paraId="6E048121" w14:textId="786892F4" w:rsidR="007A1A5F" w:rsidRDefault="007A1A5F">
      <w:pPr>
        <w:pStyle w:val="Funotentext"/>
      </w:pPr>
      <w:r>
        <w:rPr>
          <w:rStyle w:val="Funotenzeichen"/>
        </w:rPr>
        <w:footnoteRef/>
      </w:r>
      <w:r>
        <w:t xml:space="preserve"> In den folgenden Tabellen wurde auf die Angabe der Jahreszahl aus </w:t>
      </w:r>
      <w:r w:rsidRPr="008444FB">
        <w:t>Platzgründen</w:t>
      </w:r>
      <w:r>
        <w:t xml:space="preserve"> </w:t>
      </w:r>
      <w:r w:rsidRPr="008444FB">
        <w:t>verzichtet</w:t>
      </w:r>
      <w:r w:rsidR="0072629C">
        <w:t>.</w:t>
      </w:r>
    </w:p>
  </w:footnote>
  <w:footnote w:id="3">
    <w:p w14:paraId="6CF75E0A" w14:textId="6A687E8E" w:rsidR="002846F8" w:rsidRDefault="002846F8">
      <w:pPr>
        <w:pStyle w:val="Funotentext"/>
      </w:pPr>
      <w:r>
        <w:rPr>
          <w:rStyle w:val="Funotenzeichen"/>
        </w:rPr>
        <w:footnoteRef/>
      </w:r>
      <w:r>
        <w:t xml:space="preserve"> </w:t>
      </w:r>
      <w:r w:rsidRPr="002846F8">
        <w:t xml:space="preserve">EuGH, </w:t>
      </w:r>
      <w:r w:rsidRPr="008444FB">
        <w:t>Urt</w:t>
      </w:r>
      <w:r>
        <w:t xml:space="preserve">. v.  </w:t>
      </w:r>
      <w:r w:rsidRPr="002846F8">
        <w:t>25.</w:t>
      </w:r>
      <w:r>
        <w:t xml:space="preserve"> Oktober </w:t>
      </w:r>
      <w:r w:rsidRPr="002846F8">
        <w:t>2011</w:t>
      </w:r>
      <w:r>
        <w:t>, Az.</w:t>
      </w:r>
      <w:r w:rsidRPr="002846F8">
        <w:t xml:space="preserve"> C-509/09, C-161/10</w:t>
      </w:r>
      <w:r>
        <w:t xml:space="preserve">, Rn. 38: „[…] </w:t>
      </w:r>
      <w:r w:rsidRPr="002846F8">
        <w:t>dass die Bestimmungen der Verordnung nach ständiger Rechtsprechung autonom und unter Berücksichtigung ihrer Systematik und ihrer Zielsetzungen auszulegen sind</w:t>
      </w:r>
      <w:r>
        <w:t>“. Online, zitiert am 202</w:t>
      </w:r>
      <w:r w:rsidR="006B2B45">
        <w:t>3</w:t>
      </w:r>
      <w:r>
        <w:t xml:space="preserve">-11-01; verfügbar unter </w:t>
      </w:r>
      <w:r w:rsidRPr="002846F8">
        <w:t>https://dejure.org/2011</w:t>
      </w:r>
      <w:r w:rsidRPr="004832F9">
        <w:t>,48</w:t>
      </w:r>
      <w:r>
        <w:t xml:space="preserve"> bzw. Volltext des Urteils unter </w:t>
      </w:r>
      <w:hyperlink r:id="rId2" w:history="1">
        <w:r w:rsidRPr="004832F9">
          <w:rPr>
            <w:rStyle w:val="Hyperlink"/>
          </w:rPr>
          <w:t>https://eur-lex.europa.eu/legal-content/DE/TXT/?uri=CELEX%3A62009CJ0509</w:t>
        </w:r>
      </w:hyperlink>
    </w:p>
  </w:footnote>
  <w:footnote w:id="4">
    <w:p w14:paraId="0BB719D6" w14:textId="080FDADA" w:rsidR="002846F8" w:rsidRDefault="002846F8">
      <w:pPr>
        <w:pStyle w:val="Funotentext"/>
      </w:pPr>
      <w:r>
        <w:rPr>
          <w:rStyle w:val="Funotenzeichen"/>
        </w:rPr>
        <w:footnoteRef/>
      </w:r>
      <w:r>
        <w:t xml:space="preserve"> </w:t>
      </w:r>
      <w:r w:rsidRPr="002846F8">
        <w:t xml:space="preserve">EuGH, </w:t>
      </w:r>
      <w:r w:rsidRPr="008444FB">
        <w:t>Urt</w:t>
      </w:r>
      <w:r>
        <w:t xml:space="preserve">. v.  </w:t>
      </w:r>
      <w:r w:rsidRPr="002846F8">
        <w:t>25.</w:t>
      </w:r>
      <w:r>
        <w:t xml:space="preserve"> Oktober </w:t>
      </w:r>
      <w:r w:rsidRPr="002846F8">
        <w:t>2011</w:t>
      </w:r>
      <w:r>
        <w:t>, Az.</w:t>
      </w:r>
      <w:r w:rsidRPr="002846F8">
        <w:t xml:space="preserve"> C-509/09, C-161/10</w:t>
      </w:r>
      <w:r>
        <w:t>, Rn. 54. Online, zitiert am 202</w:t>
      </w:r>
      <w:r w:rsidR="006B2B45">
        <w:t>3</w:t>
      </w:r>
      <w:r>
        <w:t xml:space="preserve">-11-01; verfügbar unter </w:t>
      </w:r>
      <w:r w:rsidRPr="002846F8">
        <w:t>https://dejure.org/2011</w:t>
      </w:r>
      <w:r w:rsidRPr="004832F9">
        <w:t>,48</w:t>
      </w:r>
      <w:r>
        <w:t xml:space="preserve"> bzw. Volltext des Urteils unter </w:t>
      </w:r>
      <w:hyperlink r:id="rId3" w:history="1">
        <w:r w:rsidRPr="004832F9">
          <w:rPr>
            <w:rStyle w:val="Hyperlink"/>
          </w:rPr>
          <w:t>https://eur-lex.europa.eu/legal-content/DE/TXT/?uri=CELEX%3A62009CJ0509</w:t>
        </w:r>
      </w:hyperlink>
    </w:p>
  </w:footnote>
  <w:footnote w:id="5">
    <w:p w14:paraId="5519D637" w14:textId="60160E08" w:rsidR="002846F8" w:rsidRDefault="002846F8">
      <w:pPr>
        <w:pStyle w:val="Funotentext"/>
      </w:pPr>
      <w:r>
        <w:rPr>
          <w:rStyle w:val="Funotenzeichen"/>
        </w:rPr>
        <w:footnoteRef/>
      </w:r>
      <w:r>
        <w:t xml:space="preserve"> </w:t>
      </w:r>
      <w:r w:rsidRPr="002846F8">
        <w:t>Charta der Grundrechte der Europäischen Union</w:t>
      </w:r>
      <w:r>
        <w:t>. Online, zitiert am 202</w:t>
      </w:r>
      <w:r w:rsidR="006B2B45">
        <w:t>3</w:t>
      </w:r>
      <w:r>
        <w:t xml:space="preserve">-11-01; verfügbar unter </w:t>
      </w:r>
      <w:hyperlink r:id="rId4" w:history="1">
        <w:r w:rsidRPr="004832F9">
          <w:rPr>
            <w:rStyle w:val="Hyperlink"/>
          </w:rPr>
          <w:t>https://eur-lex.europa.eu/legal-content/DE/TXT/?uri=CELEX:12012P/TXT</w:t>
        </w:r>
      </w:hyperlink>
    </w:p>
  </w:footnote>
  <w:footnote w:id="6">
    <w:p w14:paraId="43E90756" w14:textId="57106079" w:rsidR="002846F8" w:rsidRDefault="002846F8">
      <w:pPr>
        <w:pStyle w:val="Funotentext"/>
      </w:pPr>
      <w:r>
        <w:rPr>
          <w:rStyle w:val="Funotenzeichen"/>
        </w:rPr>
        <w:footnoteRef/>
      </w:r>
      <w:r>
        <w:t xml:space="preserve"> Siehe auch „</w:t>
      </w:r>
      <w:r w:rsidRPr="002846F8">
        <w:t>Gemeinsamer Leitfaden des Europäischen Parlaments, des Rates und der Kommission für Personen, die an der Abfassung von Rechtstexten der Europäischen Union mitwirken</w:t>
      </w:r>
      <w:r>
        <w:t>“, Abschnitt 10.5: „</w:t>
      </w:r>
      <w:r w:rsidRPr="002846F8">
        <w:t>Die Erwägungsgründe müssen in möglichst knapper Form die Gründe für die wesentlichen Vorschriften des verfügenden Teils des Rechtsakts angeben.</w:t>
      </w:r>
      <w:r>
        <w:t>“ Online, zitiert am 202</w:t>
      </w:r>
      <w:r w:rsidR="006B2B45">
        <w:t>3</w:t>
      </w:r>
      <w:r>
        <w:t xml:space="preserve">-11-01; verfügbar unter </w:t>
      </w:r>
      <w:hyperlink r:id="rId5" w:history="1">
        <w:r w:rsidRPr="004832F9">
          <w:rPr>
            <w:rStyle w:val="Hyperlink"/>
          </w:rPr>
          <w:t>https://op.europa.eu/de/publication-detail/-/publication/3879747d-7a3c-411b-a3a0-55c14e2ba732/language-de</w:t>
        </w:r>
      </w:hyperlink>
    </w:p>
  </w:footnote>
  <w:footnote w:id="7">
    <w:p w14:paraId="635B3863" w14:textId="7669CEA1" w:rsidR="002846F8" w:rsidRDefault="002846F8">
      <w:pPr>
        <w:pStyle w:val="Funotentext"/>
      </w:pPr>
      <w:r>
        <w:rPr>
          <w:rStyle w:val="Funotenzeichen"/>
        </w:rPr>
        <w:footnoteRef/>
      </w:r>
      <w:r>
        <w:t xml:space="preserve"> EuGH, </w:t>
      </w:r>
      <w:r w:rsidRPr="008444FB">
        <w:t>Urt</w:t>
      </w:r>
      <w:r>
        <w:t>. </w:t>
      </w:r>
      <w:r w:rsidRPr="008444FB">
        <w:t>v.</w:t>
      </w:r>
      <w:r>
        <w:t> </w:t>
      </w:r>
      <w:r w:rsidRPr="002846F8">
        <w:t>19.</w:t>
      </w:r>
      <w:r>
        <w:t xml:space="preserve"> Juni </w:t>
      </w:r>
      <w:r w:rsidRPr="002846F8">
        <w:t>2014</w:t>
      </w:r>
      <w:r>
        <w:t>, Az.</w:t>
      </w:r>
      <w:r w:rsidRPr="002846F8">
        <w:t xml:space="preserve"> C-345/13</w:t>
      </w:r>
      <w:r>
        <w:t xml:space="preserve">, Rn. 31. </w:t>
      </w:r>
      <w:r w:rsidRPr="004832F9">
        <w:t>Online,</w:t>
      </w:r>
      <w:r>
        <w:t xml:space="preserve"> zitiert am 202</w:t>
      </w:r>
      <w:r w:rsidR="006B2B45">
        <w:t>3</w:t>
      </w:r>
      <w:r>
        <w:t xml:space="preserve">-11-01; verfügbar unter </w:t>
      </w:r>
      <w:r w:rsidRPr="002846F8">
        <w:t>https://dejure.org/2014</w:t>
      </w:r>
      <w:r w:rsidRPr="004832F9">
        <w:t>,13697</w:t>
      </w:r>
      <w:r>
        <w:t xml:space="preserve"> bzw. Volltext des Urteils unter </w:t>
      </w:r>
      <w:hyperlink r:id="rId6" w:history="1">
        <w:r>
          <w:rPr>
            <w:rStyle w:val="Hyperlink"/>
          </w:rPr>
          <w:t>https://eur-lex.europa.eu/legal-content/de/ TXT/?</w:t>
        </w:r>
        <w:r w:rsidRPr="004832F9">
          <w:rPr>
            <w:rStyle w:val="Hyperlink"/>
          </w:rPr>
          <w:t>uri</w:t>
        </w:r>
        <w:r>
          <w:rPr>
            <w:rStyle w:val="Hyperlink"/>
          </w:rPr>
          <w:t>=</w:t>
        </w:r>
        <w:r w:rsidRPr="004832F9">
          <w:rPr>
            <w:rStyle w:val="Hyperlink"/>
          </w:rPr>
          <w:t>CELEX:62013CJ0345</w:t>
        </w:r>
      </w:hyperlink>
    </w:p>
  </w:footnote>
  <w:footnote w:id="8">
    <w:p w14:paraId="26727ABF" w14:textId="372E095F" w:rsidR="00101F9A" w:rsidRDefault="00101F9A">
      <w:pPr>
        <w:pStyle w:val="Funotentext"/>
      </w:pPr>
      <w:r>
        <w:rPr>
          <w:rStyle w:val="Funotenzeichen"/>
        </w:rPr>
        <w:footnoteRef/>
      </w:r>
      <w:r>
        <w:t xml:space="preserve"> Bzgl. indirekter Identifizierbarkeit siehe auch:</w:t>
      </w:r>
    </w:p>
    <w:p w14:paraId="4D38D37C" w14:textId="395CB985" w:rsidR="00101F9A" w:rsidRDefault="00101F9A">
      <w:pPr>
        <w:pStyle w:val="Funotentext"/>
        <w:numPr>
          <w:ilvl w:val="0"/>
          <w:numId w:val="34"/>
        </w:numPr>
        <w:rPr>
          <w:rStyle w:val="copytoclipboard"/>
        </w:rPr>
      </w:pPr>
      <w:r>
        <w:t xml:space="preserve">EuGH, </w:t>
      </w:r>
      <w:r w:rsidRPr="008444FB">
        <w:t>Urt</w:t>
      </w:r>
      <w:r>
        <w:t>. v. </w:t>
      </w:r>
      <w:r w:rsidRPr="008444FB">
        <w:t>19.</w:t>
      </w:r>
      <w:r w:rsidR="008444FB" w:rsidRPr="008444FB">
        <w:t xml:space="preserve"> </w:t>
      </w:r>
      <w:r w:rsidRPr="008444FB">
        <w:t>Oktober</w:t>
      </w:r>
      <w:r>
        <w:t xml:space="preserve"> 2016, Az. </w:t>
      </w:r>
      <w:r w:rsidRPr="00101F9A">
        <w:t>C-582/14</w:t>
      </w:r>
      <w:r>
        <w:t xml:space="preserve">, Rn. 41: „[…] </w:t>
      </w:r>
      <w:r w:rsidRPr="00101F9A">
        <w:t>dass es für die Einstufung einer Information als personenbezogenes Datum nicht erforderlich ist, dass die Information für sich genommen die Identifizierung der betreffenden Person ermöglicht.</w:t>
      </w:r>
      <w:r>
        <w:t xml:space="preserve">“ </w:t>
      </w:r>
      <w:r w:rsidRPr="004832F9">
        <w:t>Online,</w:t>
      </w:r>
      <w:r>
        <w:t xml:space="preserve"> zitiert am 202</w:t>
      </w:r>
      <w:r w:rsidR="006B2B45">
        <w:t>3</w:t>
      </w:r>
      <w:r>
        <w:t xml:space="preserve">-11-01; verfügbar unter </w:t>
      </w:r>
      <w:hyperlink r:id="rId7" w:history="1">
        <w:r w:rsidRPr="00BA3575">
          <w:rPr>
            <w:rStyle w:val="Hyperlink"/>
          </w:rPr>
          <w:t>https://dejure.org/2016</w:t>
        </w:r>
        <w:r w:rsidRPr="004832F9">
          <w:rPr>
            <w:rStyle w:val="Hyperlink"/>
          </w:rPr>
          <w:t>,33959</w:t>
        </w:r>
      </w:hyperlink>
      <w:r>
        <w:rPr>
          <w:rStyle w:val="copytoclipboard"/>
        </w:rPr>
        <w:t xml:space="preserve"> bzw. Urteil unter </w:t>
      </w:r>
      <w:hyperlink r:id="rId8" w:history="1">
        <w:r>
          <w:rPr>
            <w:rStyle w:val="Hyperlink"/>
          </w:rPr>
          <w:t xml:space="preserve">https://eur-lex.europa.eu/legal-content/DE/TXT/ </w:t>
        </w:r>
        <w:r w:rsidRPr="004832F9">
          <w:rPr>
            <w:rStyle w:val="Hyperlink"/>
          </w:rPr>
          <w:t>?uri</w:t>
        </w:r>
        <w:r>
          <w:rPr>
            <w:rStyle w:val="Hyperlink"/>
          </w:rPr>
          <w:t>=</w:t>
        </w:r>
        <w:r w:rsidRPr="004832F9">
          <w:rPr>
            <w:rStyle w:val="Hyperlink"/>
          </w:rPr>
          <w:t>CELEX</w:t>
        </w:r>
        <w:r>
          <w:rPr>
            <w:rStyle w:val="Hyperlink"/>
          </w:rPr>
          <w:t>%3</w:t>
        </w:r>
        <w:r w:rsidRPr="004832F9">
          <w:rPr>
            <w:rStyle w:val="Hyperlink"/>
          </w:rPr>
          <w:t>A62014CJ0582</w:t>
        </w:r>
      </w:hyperlink>
    </w:p>
    <w:p w14:paraId="09CD5153" w14:textId="43614059" w:rsidR="00101F9A" w:rsidRDefault="00101F9A">
      <w:pPr>
        <w:pStyle w:val="Funotentext"/>
        <w:numPr>
          <w:ilvl w:val="0"/>
          <w:numId w:val="34"/>
        </w:numPr>
      </w:pPr>
      <w:r>
        <w:rPr>
          <w:rStyle w:val="copytoclipboard"/>
        </w:rPr>
        <w:t xml:space="preserve">BGH, </w:t>
      </w:r>
      <w:r w:rsidRPr="008444FB">
        <w:rPr>
          <w:rStyle w:val="copytoclipboard"/>
        </w:rPr>
        <w:t>Urt</w:t>
      </w:r>
      <w:r>
        <w:rPr>
          <w:rStyle w:val="copytoclipboard"/>
        </w:rPr>
        <w:t>. </w:t>
      </w:r>
      <w:r w:rsidRPr="008444FB">
        <w:rPr>
          <w:rStyle w:val="copytoclipboard"/>
        </w:rPr>
        <w:t>v.</w:t>
      </w:r>
      <w:r>
        <w:rPr>
          <w:rStyle w:val="copytoclipboard"/>
        </w:rPr>
        <w:t> </w:t>
      </w:r>
      <w:r w:rsidRPr="00101F9A">
        <w:rPr>
          <w:rStyle w:val="copytoclipboard"/>
        </w:rPr>
        <w:t>16.</w:t>
      </w:r>
      <w:r>
        <w:rPr>
          <w:rStyle w:val="copytoclipboard"/>
        </w:rPr>
        <w:t xml:space="preserve"> Mai </w:t>
      </w:r>
      <w:r w:rsidRPr="00101F9A">
        <w:rPr>
          <w:rStyle w:val="copytoclipboard"/>
        </w:rPr>
        <w:t>2017</w:t>
      </w:r>
      <w:r>
        <w:rPr>
          <w:rStyle w:val="copytoclipboard"/>
        </w:rPr>
        <w:t xml:space="preserve">, Az. </w:t>
      </w:r>
      <w:r w:rsidRPr="00101F9A">
        <w:rPr>
          <w:rStyle w:val="copytoclipboard"/>
        </w:rPr>
        <w:t xml:space="preserve">VI </w:t>
      </w:r>
      <w:r w:rsidRPr="004832F9">
        <w:rPr>
          <w:rStyle w:val="copytoclipboard"/>
        </w:rPr>
        <w:t>ZR</w:t>
      </w:r>
      <w:r w:rsidRPr="00101F9A">
        <w:rPr>
          <w:rStyle w:val="copytoclipboard"/>
        </w:rPr>
        <w:t xml:space="preserve"> 135/13</w:t>
      </w:r>
      <w:r>
        <w:rPr>
          <w:rStyle w:val="copytoclipboard"/>
        </w:rPr>
        <w:t xml:space="preserve">, Rn. 28: „[…] </w:t>
      </w:r>
      <w:r w:rsidRPr="00101F9A">
        <w:rPr>
          <w:rStyle w:val="copytoclipboard"/>
        </w:rPr>
        <w:t>dass es für die Einstufung einer Information als personenbezogenes Datum nicht erforderlich sei, dass die Information für sich genommen die Identifizierung der betreffenden Person ermögliche.</w:t>
      </w:r>
      <w:r>
        <w:rPr>
          <w:rStyle w:val="copytoclipboard"/>
        </w:rPr>
        <w:t xml:space="preserve">“ </w:t>
      </w:r>
      <w:r>
        <w:t>Online, zitiert am 202</w:t>
      </w:r>
      <w:r w:rsidR="006B2B45">
        <w:t>3</w:t>
      </w:r>
      <w:r>
        <w:t xml:space="preserve">-11-01; verfügbar unter </w:t>
      </w:r>
      <w:hyperlink r:id="rId9" w:history="1">
        <w:r w:rsidRPr="00BA3575">
          <w:rPr>
            <w:rStyle w:val="Hyperlink"/>
          </w:rPr>
          <w:t>https://dejure.org/2017</w:t>
        </w:r>
        <w:r w:rsidRPr="004832F9">
          <w:rPr>
            <w:rStyle w:val="Hyperlink"/>
          </w:rPr>
          <w:t>,15139</w:t>
        </w:r>
      </w:hyperlink>
      <w:r>
        <w:rPr>
          <w:rStyle w:val="copytoclipboard"/>
        </w:rPr>
        <w:t xml:space="preserve"> bzw. Volltext Urteil unter </w:t>
      </w:r>
      <w:hyperlink r:id="rId10" w:history="1">
        <w:r w:rsidRPr="00BA3575">
          <w:rPr>
            <w:rStyle w:val="Hyperlink"/>
          </w:rPr>
          <w:t>https://openjur.de/u/2117724</w:t>
        </w:r>
        <w:r w:rsidRPr="004832F9">
          <w:rPr>
            <w:rStyle w:val="Hyperlink"/>
          </w:rPr>
          <w:t>.html</w:t>
        </w:r>
      </w:hyperlink>
    </w:p>
  </w:footnote>
  <w:footnote w:id="9">
    <w:p w14:paraId="44ED661A" w14:textId="77777777" w:rsidR="00AE4EA7" w:rsidRDefault="00000000">
      <w:pPr>
        <w:pStyle w:val="Funotentext"/>
      </w:pPr>
      <w:r>
        <w:rPr>
          <w:rStyle w:val="Funotenzeichen"/>
        </w:rPr>
        <w:footnoteRef/>
      </w:r>
      <w:r>
        <w:t xml:space="preserve"> Karg M. (2015) Anonymität, Pseudonyme und Personenbezug </w:t>
      </w:r>
      <w:r w:rsidRPr="004832F9">
        <w:t>revisited</w:t>
      </w:r>
      <w:r>
        <w:t xml:space="preserve">. </w:t>
      </w:r>
      <w:r w:rsidRPr="004832F9">
        <w:t>DuD</w:t>
      </w:r>
      <w:r>
        <w:t>: 520-526</w:t>
      </w:r>
    </w:p>
  </w:footnote>
  <w:footnote w:id="10">
    <w:p w14:paraId="72037CFB" w14:textId="371190C0" w:rsidR="00232822" w:rsidRDefault="00232822" w:rsidP="00232822">
      <w:pPr>
        <w:pStyle w:val="Funotentext"/>
      </w:pPr>
      <w:r>
        <w:rPr>
          <w:rStyle w:val="Funotenzeichen"/>
        </w:rPr>
        <w:footnoteRef/>
      </w:r>
      <w:r>
        <w:t xml:space="preserve"> EuGH, </w:t>
      </w:r>
      <w:r w:rsidRPr="008444FB">
        <w:t>Urt</w:t>
      </w:r>
      <w:r>
        <w:t>. v. </w:t>
      </w:r>
      <w:r w:rsidRPr="004832F9">
        <w:t>19.Oktober</w:t>
      </w:r>
      <w:r>
        <w:t xml:space="preserve"> 2016, Az. </w:t>
      </w:r>
      <w:r w:rsidRPr="00101F9A">
        <w:t>C-582/14</w:t>
      </w:r>
      <w:r>
        <w:t xml:space="preserve">, Rn. 43. </w:t>
      </w:r>
      <w:r w:rsidRPr="004832F9">
        <w:t>Online,</w:t>
      </w:r>
      <w:r>
        <w:t xml:space="preserve"> zitiert am 202</w:t>
      </w:r>
      <w:r w:rsidR="006B2B45">
        <w:t>3</w:t>
      </w:r>
      <w:r>
        <w:t xml:space="preserve">-11-01; verfügbar unter </w:t>
      </w:r>
      <w:hyperlink r:id="rId11" w:history="1">
        <w:r w:rsidRPr="00BA3575">
          <w:rPr>
            <w:rStyle w:val="Hyperlink"/>
          </w:rPr>
          <w:t>https://dejure.org/2016</w:t>
        </w:r>
        <w:r w:rsidRPr="004832F9">
          <w:rPr>
            <w:rStyle w:val="Hyperlink"/>
          </w:rPr>
          <w:t>,33959</w:t>
        </w:r>
      </w:hyperlink>
      <w:r>
        <w:rPr>
          <w:rStyle w:val="copytoclipboard"/>
        </w:rPr>
        <w:t xml:space="preserve"> bzw. Urteil unter </w:t>
      </w:r>
      <w:hyperlink r:id="rId12" w:history="1">
        <w:r>
          <w:rPr>
            <w:rStyle w:val="Hyperlink"/>
          </w:rPr>
          <w:t xml:space="preserve">https://eur-lex.europa.eu/legal-content/DE/TXT/ </w:t>
        </w:r>
        <w:r w:rsidRPr="004832F9">
          <w:rPr>
            <w:rStyle w:val="Hyperlink"/>
          </w:rPr>
          <w:t>?uri</w:t>
        </w:r>
        <w:r>
          <w:rPr>
            <w:rStyle w:val="Hyperlink"/>
          </w:rPr>
          <w:t>=</w:t>
        </w:r>
        <w:r w:rsidRPr="004832F9">
          <w:rPr>
            <w:rStyle w:val="Hyperlink"/>
          </w:rPr>
          <w:t>CELEX</w:t>
        </w:r>
        <w:r>
          <w:rPr>
            <w:rStyle w:val="Hyperlink"/>
          </w:rPr>
          <w:t>%3</w:t>
        </w:r>
        <w:r w:rsidRPr="004832F9">
          <w:rPr>
            <w:rStyle w:val="Hyperlink"/>
          </w:rPr>
          <w:t>A62014CJ0582</w:t>
        </w:r>
      </w:hyperlink>
    </w:p>
  </w:footnote>
  <w:footnote w:id="11">
    <w:p w14:paraId="495373D8" w14:textId="77278996" w:rsidR="00232822" w:rsidRDefault="00232822">
      <w:pPr>
        <w:pStyle w:val="Funotentext"/>
      </w:pPr>
      <w:r>
        <w:rPr>
          <w:rStyle w:val="Funotenzeichen"/>
        </w:rPr>
        <w:footnoteRef/>
      </w:r>
      <w:r>
        <w:t xml:space="preserve"> </w:t>
      </w:r>
      <w:r w:rsidRPr="00232822">
        <w:t xml:space="preserve">Schlussanträge des Generalanwalts M. Campos </w:t>
      </w:r>
      <w:r w:rsidRPr="004832F9">
        <w:t>Sánchez-Bordona</w:t>
      </w:r>
      <w:r w:rsidRPr="00232822">
        <w:t xml:space="preserve"> vom 12. Mai 2016</w:t>
      </w:r>
      <w:r>
        <w:t>, Rn. 64-68. Online, zitiert am 202</w:t>
      </w:r>
      <w:r w:rsidR="006B2B45">
        <w:t>3</w:t>
      </w:r>
      <w:r>
        <w:t xml:space="preserve">-11-01; verfügbar unter </w:t>
      </w:r>
      <w:hyperlink r:id="rId13" w:history="1">
        <w:r w:rsidRPr="004832F9">
          <w:rPr>
            <w:rStyle w:val="Hyperlink"/>
          </w:rPr>
          <w:t>https://eur-lex.europa.eu/legal-content/de/TXT/?uri=CELEX:62014CC0582</w:t>
        </w:r>
      </w:hyperlink>
    </w:p>
  </w:footnote>
  <w:footnote w:id="12">
    <w:p w14:paraId="0B866AC9" w14:textId="384FCE8B" w:rsidR="002846F8" w:rsidRDefault="002846F8">
      <w:pPr>
        <w:pStyle w:val="Funotentext"/>
      </w:pPr>
      <w:r>
        <w:rPr>
          <w:rStyle w:val="Funotenzeichen"/>
        </w:rPr>
        <w:footnoteRef/>
      </w:r>
      <w:r>
        <w:t xml:space="preserve"> EuGH, </w:t>
      </w:r>
      <w:r w:rsidRPr="008444FB">
        <w:t>Urt</w:t>
      </w:r>
      <w:r>
        <w:t>. </w:t>
      </w:r>
      <w:r w:rsidRPr="008444FB">
        <w:t>v.</w:t>
      </w:r>
      <w:r>
        <w:t> </w:t>
      </w:r>
      <w:r w:rsidR="00463704">
        <w:t>2022-08-0</w:t>
      </w:r>
      <w:r w:rsidRPr="002846F8">
        <w:t>1</w:t>
      </w:r>
      <w:r>
        <w:t>, Az. </w:t>
      </w:r>
      <w:r w:rsidRPr="002846F8">
        <w:t>C-92/09, C-93/09</w:t>
      </w:r>
      <w:r>
        <w:t>, Rn. 119, 120, 125. Online, zitiert am 202</w:t>
      </w:r>
      <w:r w:rsidR="006B2B45">
        <w:t>3</w:t>
      </w:r>
      <w:r>
        <w:t xml:space="preserve">-11-01; verfügbar unter </w:t>
      </w:r>
      <w:hyperlink r:id="rId14" w:history="1">
        <w:r w:rsidR="00463704" w:rsidRPr="00F35CC1">
          <w:rPr>
            <w:rStyle w:val="Hyperlink"/>
          </w:rPr>
          <w:t>https://dejure.org/2010</w:t>
        </w:r>
        <w:r w:rsidR="00463704" w:rsidRPr="004832F9">
          <w:rPr>
            <w:rStyle w:val="Hyperlink"/>
          </w:rPr>
          <w:t>,236</w:t>
        </w:r>
      </w:hyperlink>
      <w:r w:rsidR="00463704">
        <w:t xml:space="preserve"> </w:t>
      </w:r>
      <w:r>
        <w:t xml:space="preserve">bzw. Volltext abrufbar unter </w:t>
      </w:r>
      <w:hyperlink r:id="rId15" w:history="1">
        <w:r w:rsidR="00463704" w:rsidRPr="004832F9">
          <w:rPr>
            <w:rStyle w:val="Hyperlink"/>
          </w:rPr>
          <w:t>https://eur-lex.europa.eu/legal-content/DE/TXT/?qid=1698904362512&amp;uri=CELEX%3A62020CJ0184</w:t>
        </w:r>
      </w:hyperlink>
    </w:p>
  </w:footnote>
  <w:footnote w:id="13">
    <w:p w14:paraId="440004F3" w14:textId="52B91BC3" w:rsidR="00463704" w:rsidRDefault="00463704">
      <w:pPr>
        <w:pStyle w:val="Funotentext"/>
      </w:pPr>
      <w:r>
        <w:rPr>
          <w:rStyle w:val="Funotenzeichen"/>
        </w:rPr>
        <w:footnoteRef/>
      </w:r>
      <w:r>
        <w:t xml:space="preserve"> </w:t>
      </w:r>
      <w:r w:rsidRPr="004832F9">
        <w:t>EuGh</w:t>
      </w:r>
      <w:r>
        <w:t>, Urt. v. 20263-07-04, Az. </w:t>
      </w:r>
      <w:r w:rsidRPr="00463704">
        <w:t>C</w:t>
      </w:r>
      <w:r w:rsidRPr="00463704">
        <w:rPr>
          <w:rFonts w:ascii="Cambria Math" w:hAnsi="Cambria Math" w:cs="Cambria Math"/>
        </w:rPr>
        <w:t>‑</w:t>
      </w:r>
      <w:r w:rsidRPr="00463704">
        <w:t>252/21</w:t>
      </w:r>
      <w:r>
        <w:t xml:space="preserve">, Rn. 89 sowie Leitsatz 2. Online, zitiert am 2023-12-29; verfügbar unter </w:t>
      </w:r>
      <w:hyperlink r:id="rId16" w:history="1">
        <w:r w:rsidRPr="004832F9">
          <w:rPr>
            <w:rStyle w:val="Hyperlink"/>
          </w:rPr>
          <w:t>https://eur-lex.europa.eu/legal-content/de/TXT/?uri=CELEX:62021CJ0252</w:t>
        </w:r>
      </w:hyperlink>
    </w:p>
  </w:footnote>
  <w:footnote w:id="14">
    <w:p w14:paraId="6272CD22" w14:textId="6F9CE8C5" w:rsidR="00AE4EA7" w:rsidRDefault="00000000">
      <w:pPr>
        <w:pStyle w:val="Funotentext"/>
      </w:pPr>
      <w:r>
        <w:rPr>
          <w:rStyle w:val="Funotenzeichen"/>
        </w:rPr>
        <w:footnoteRef/>
      </w:r>
      <w:r>
        <w:t xml:space="preserve"> Artikel-29-Datenschutzgruppe. WP 136 „Stellungnahme 4/2007 zum Begriff 'personenbezogene Daten'“, S. 16: […] ein Name zur Identifizierung einer Person jedoch keineswegs immer notwendig ist“. Online, zitiert am </w:t>
      </w:r>
      <w:r w:rsidR="006B2B45">
        <w:t>2023-10</w:t>
      </w:r>
      <w:r>
        <w:t xml:space="preserve">-14; verfügbar unter </w:t>
      </w:r>
      <w:hyperlink r:id="rId17">
        <w:r>
          <w:rPr>
            <w:rStyle w:val="Internetverknpfung"/>
          </w:rPr>
          <w:t xml:space="preserve">http://ec.europa.eu/justice/article-29/documentation/opinion-recommen </w:t>
        </w:r>
        <w:r w:rsidRPr="004832F9">
          <w:rPr>
            <w:rStyle w:val="Internetverknpfung"/>
          </w:rPr>
          <w:t>dation</w:t>
        </w:r>
        <w:r>
          <w:rPr>
            <w:rStyle w:val="Internetverknpfung"/>
          </w:rPr>
          <w:t>/</w:t>
        </w:r>
        <w:r w:rsidRPr="004832F9">
          <w:rPr>
            <w:rStyle w:val="Internetverknpfung"/>
          </w:rPr>
          <w:t>files</w:t>
        </w:r>
        <w:r>
          <w:rPr>
            <w:rStyle w:val="Internetverknpfung"/>
          </w:rPr>
          <w:t>/2007/</w:t>
        </w:r>
        <w:r w:rsidRPr="004832F9">
          <w:rPr>
            <w:rStyle w:val="Internetverknpfung"/>
          </w:rPr>
          <w:t>wp136_en.pdf</w:t>
        </w:r>
      </w:hyperlink>
    </w:p>
  </w:footnote>
  <w:footnote w:id="15">
    <w:p w14:paraId="69347B73" w14:textId="2F34ED13" w:rsidR="00AE4EA7" w:rsidRDefault="00000000">
      <w:pPr>
        <w:pStyle w:val="Funotentext"/>
      </w:pPr>
      <w:r>
        <w:rPr>
          <w:rStyle w:val="Funotenzeichen"/>
        </w:rPr>
        <w:footnoteRef/>
      </w:r>
      <w:r>
        <w:t xml:space="preserve"> Richtlinie (EU) 2019/1024 des Europäischen Parlaments und des Rates vom 20. Juni 2019 über offene Daten und die Weiterverwendung von Informationen des öffentlichen Sektors. Online, zitiert am </w:t>
      </w:r>
      <w:r w:rsidR="006B2B45">
        <w:t>2023-10</w:t>
      </w:r>
      <w:r>
        <w:t xml:space="preserve">-14; verfügbar unter </w:t>
      </w:r>
      <w:hyperlink r:id="rId18">
        <w:r>
          <w:rPr>
            <w:rStyle w:val="Internetverknpfung"/>
          </w:rPr>
          <w:t>https://eur-lex.europa.eu/legal-content/DE/TXT/?uri=CELEX%3A32019L1024&amp;qid= 1697259421370</w:t>
        </w:r>
      </w:hyperlink>
    </w:p>
  </w:footnote>
  <w:footnote w:id="16">
    <w:p w14:paraId="02A2A548" w14:textId="77777777" w:rsidR="00C43725" w:rsidRDefault="00C43725" w:rsidP="00C43725">
      <w:pPr>
        <w:pStyle w:val="Funotentext"/>
      </w:pPr>
      <w:r>
        <w:rPr>
          <w:rStyle w:val="Funotenzeichen"/>
        </w:rPr>
        <w:footnoteRef/>
      </w:r>
      <w:r>
        <w:t xml:space="preserve"> ISO/IEC 29100:2011: „Information </w:t>
      </w:r>
      <w:r w:rsidRPr="004832F9">
        <w:t>technology</w:t>
      </w:r>
      <w:r>
        <w:t xml:space="preserve"> - Security </w:t>
      </w:r>
      <w:r w:rsidRPr="004832F9">
        <w:t>techniques</w:t>
      </w:r>
      <w:r>
        <w:t xml:space="preserve"> - </w:t>
      </w:r>
      <w:r w:rsidRPr="004832F9">
        <w:t>Privacy</w:t>
      </w:r>
      <w:r>
        <w:t xml:space="preserve"> </w:t>
      </w:r>
      <w:r w:rsidRPr="004832F9">
        <w:t>framework</w:t>
      </w:r>
      <w:r>
        <w:t xml:space="preserve">. Online, zitiert am 2023-11-22; verfügbar unter </w:t>
      </w:r>
      <w:hyperlink r:id="rId19" w:history="1">
        <w:r w:rsidRPr="00E72755">
          <w:rPr>
            <w:rStyle w:val="Hyperlink"/>
          </w:rPr>
          <w:t>https://www.iso.org/standard/45123.html</w:t>
        </w:r>
      </w:hyperlink>
      <w:r>
        <w:t xml:space="preserve"> bzw. </w:t>
      </w:r>
      <w:r w:rsidRPr="004832F9">
        <w:t>download</w:t>
      </w:r>
      <w:r>
        <w:t xml:space="preserve"> </w:t>
      </w:r>
      <w:r w:rsidRPr="004832F9">
        <w:t>pdf-Datei</w:t>
      </w:r>
      <w:r>
        <w:t xml:space="preserve"> kostenlos unter </w:t>
      </w:r>
      <w:hyperlink r:id="rId20" w:history="1">
        <w:r w:rsidRPr="004832F9">
          <w:rPr>
            <w:rStyle w:val="Hyperlink"/>
          </w:rPr>
          <w:t>https://standards.iso.org/ittf/PubliclyAvailableStandards/index.html</w:t>
        </w:r>
      </w:hyperlink>
      <w:r>
        <w:t xml:space="preserve"> </w:t>
      </w:r>
    </w:p>
    <w:p w14:paraId="34AB5E73" w14:textId="77777777" w:rsidR="00C43725" w:rsidRDefault="00C43725" w:rsidP="00C43725">
      <w:pPr>
        <w:pStyle w:val="Funotentext"/>
      </w:pPr>
      <w:r>
        <w:t xml:space="preserve">Deutsche Übersetzung der Norm von 2011 wurde 2020 vom </w:t>
      </w:r>
      <w:r w:rsidRPr="004832F9">
        <w:t>Beuth-Verlag</w:t>
      </w:r>
      <w:r>
        <w:t xml:space="preserve"> veröffentlicht: </w:t>
      </w:r>
      <w:hyperlink r:id="rId21" w:history="1">
        <w:r w:rsidRPr="004832F9">
          <w:rPr>
            <w:rStyle w:val="Hyperlink"/>
          </w:rPr>
          <w:t>https://www.beuth.de/de/norm/din-en-iso-iec-29100/325198919</w:t>
        </w:r>
      </w:hyperlink>
    </w:p>
  </w:footnote>
  <w:footnote w:id="17">
    <w:p w14:paraId="2B3237EF" w14:textId="62E1ADE1" w:rsidR="00E027A5" w:rsidRDefault="00E027A5" w:rsidP="00E027A5">
      <w:pPr>
        <w:pStyle w:val="Funotentext"/>
      </w:pPr>
      <w:r>
        <w:rPr>
          <w:rStyle w:val="Funotenzeichen"/>
        </w:rPr>
        <w:footnoteRef/>
      </w:r>
      <w:r>
        <w:t xml:space="preserve"> Deutscher Bundestag, </w:t>
      </w:r>
      <w:r w:rsidRPr="004832F9">
        <w:t>Wissenschaftliche</w:t>
      </w:r>
      <w:r>
        <w:t xml:space="preserve"> Dienste: Kurzinformation – Umsetzung von EU-Richtlinien und Verfassungsrecht. Online, zitiert am 202</w:t>
      </w:r>
      <w:r w:rsidR="006B2B45">
        <w:t>3</w:t>
      </w:r>
      <w:r>
        <w:t xml:space="preserve">-10-31; verfügbar unter </w:t>
      </w:r>
      <w:hyperlink r:id="rId22" w:history="1">
        <w:r>
          <w:rPr>
            <w:rStyle w:val="Hyperlink"/>
          </w:rPr>
          <w:t xml:space="preserve">https://www.bundestag.de/resource/ </w:t>
        </w:r>
        <w:r w:rsidRPr="004832F9">
          <w:rPr>
            <w:rStyle w:val="Hyperlink"/>
          </w:rPr>
          <w:t>blob</w:t>
        </w:r>
        <w:r>
          <w:rPr>
            <w:rStyle w:val="Hyperlink"/>
          </w:rPr>
          <w:t>/899872/33</w:t>
        </w:r>
        <w:r w:rsidRPr="004832F9">
          <w:rPr>
            <w:rStyle w:val="Hyperlink"/>
          </w:rPr>
          <w:t>b2422d86eab34c741b67207ab1bda3</w:t>
        </w:r>
        <w:r>
          <w:rPr>
            <w:rStyle w:val="Hyperlink"/>
          </w:rPr>
          <w:t>/</w:t>
        </w:r>
        <w:r w:rsidRPr="004832F9">
          <w:rPr>
            <w:rStyle w:val="Hyperlink"/>
          </w:rPr>
          <w:t>WD-3-045-22-pdf-data.pdf</w:t>
        </w:r>
      </w:hyperlink>
    </w:p>
  </w:footnote>
  <w:footnote w:id="18">
    <w:p w14:paraId="1D70CC69" w14:textId="77777777" w:rsidR="00AE4EA7" w:rsidRDefault="00000000">
      <w:pPr>
        <w:pStyle w:val="Funotentext"/>
      </w:pPr>
      <w:r>
        <w:rPr>
          <w:rStyle w:val="Funotenzeichen"/>
        </w:rPr>
        <w:footnoteRef/>
      </w:r>
      <w:r>
        <w:t xml:space="preserve"> Siehe</w:t>
      </w:r>
    </w:p>
    <w:p w14:paraId="0B5EA5A0" w14:textId="627725DD" w:rsidR="00AE4EA7" w:rsidRDefault="00000000">
      <w:pPr>
        <w:pStyle w:val="Funotentext"/>
        <w:numPr>
          <w:ilvl w:val="0"/>
          <w:numId w:val="26"/>
        </w:numPr>
        <w:rPr>
          <w:rStyle w:val="Internetverknpfung"/>
          <w:color w:val="auto"/>
          <w:u w:val="none"/>
        </w:rPr>
      </w:pPr>
      <w:r>
        <w:t xml:space="preserve">EuGH, </w:t>
      </w:r>
      <w:r w:rsidRPr="004C1658">
        <w:t>Urt</w:t>
      </w:r>
      <w:r>
        <w:t>. v. 2019-10-01, Az.</w:t>
      </w:r>
      <w:r w:rsidR="007B24B9">
        <w:t xml:space="preserve"> </w:t>
      </w:r>
      <w:r>
        <w:t xml:space="preserve">C-673/17. </w:t>
      </w:r>
      <w:r w:rsidRPr="004832F9">
        <w:t>Online,</w:t>
      </w:r>
      <w:r>
        <w:t xml:space="preserve"> zitiert am </w:t>
      </w:r>
      <w:r w:rsidR="006B2B45">
        <w:t>2023-10</w:t>
      </w:r>
      <w:r>
        <w:t xml:space="preserve">-14; verfügbar unter </w:t>
      </w:r>
      <w:hyperlink r:id="rId23">
        <w:r>
          <w:rPr>
            <w:rStyle w:val="Internetverknpfung"/>
          </w:rPr>
          <w:t>https://dejure.org/2019</w:t>
        </w:r>
        <w:r w:rsidRPr="004832F9">
          <w:rPr>
            <w:rStyle w:val="Internetverknpfung"/>
          </w:rPr>
          <w:t>,31907</w:t>
        </w:r>
      </w:hyperlink>
      <w:r>
        <w:t xml:space="preserve"> bzw. Volltext Urteil beim EuGH unter </w:t>
      </w:r>
      <w:hyperlink r:id="rId24">
        <w:r>
          <w:rPr>
            <w:rStyle w:val="Internetverknpfung"/>
          </w:rPr>
          <w:t xml:space="preserve">https://curia.europa.eu/ </w:t>
        </w:r>
        <w:r w:rsidRPr="004832F9">
          <w:rPr>
            <w:rStyle w:val="Internetverknpfung"/>
          </w:rPr>
          <w:t>juris</w:t>
        </w:r>
        <w:r>
          <w:rPr>
            <w:rStyle w:val="Internetverknpfung"/>
          </w:rPr>
          <w:t>/</w:t>
        </w:r>
        <w:r w:rsidRPr="004832F9">
          <w:rPr>
            <w:rStyle w:val="Internetverknpfung"/>
          </w:rPr>
          <w:t>document</w:t>
        </w:r>
        <w:r>
          <w:rPr>
            <w:rStyle w:val="Internetverknpfung"/>
          </w:rPr>
          <w:t>/</w:t>
        </w:r>
        <w:r w:rsidRPr="004832F9">
          <w:rPr>
            <w:rStyle w:val="Internetverknpfung"/>
          </w:rPr>
          <w:t>document.jsf?text</w:t>
        </w:r>
        <w:r>
          <w:rPr>
            <w:rStyle w:val="Internetverknpfung"/>
          </w:rPr>
          <w:t>=&amp;</w:t>
        </w:r>
        <w:r w:rsidRPr="004832F9">
          <w:rPr>
            <w:rStyle w:val="Internetverknpfung"/>
          </w:rPr>
          <w:t>docid</w:t>
        </w:r>
        <w:r>
          <w:rPr>
            <w:rStyle w:val="Internetverknpfung"/>
          </w:rPr>
          <w:t>=218462&amp;</w:t>
        </w:r>
        <w:r w:rsidRPr="004832F9">
          <w:rPr>
            <w:rStyle w:val="Internetverknpfung"/>
          </w:rPr>
          <w:t>pageIndex</w:t>
        </w:r>
        <w:r>
          <w:rPr>
            <w:rStyle w:val="Internetverknpfung"/>
          </w:rPr>
          <w:t>=0&amp;</w:t>
        </w:r>
        <w:r w:rsidRPr="004832F9">
          <w:rPr>
            <w:rStyle w:val="Internetverknpfung"/>
          </w:rPr>
          <w:t>doclang</w:t>
        </w:r>
        <w:r>
          <w:rPr>
            <w:rStyle w:val="Internetverknpfung"/>
          </w:rPr>
          <w:t>=DE&amp;mode=</w:t>
        </w:r>
        <w:r w:rsidRPr="004832F9">
          <w:rPr>
            <w:rStyle w:val="Internetverknpfung"/>
          </w:rPr>
          <w:t>req</w:t>
        </w:r>
        <w:r>
          <w:rPr>
            <w:rStyle w:val="Internetverknpfung"/>
          </w:rPr>
          <w:t>&amp;dir=&amp;</w:t>
        </w:r>
        <w:r w:rsidRPr="004832F9">
          <w:rPr>
            <w:rStyle w:val="Internetverknpfung"/>
          </w:rPr>
          <w:t>occ</w:t>
        </w:r>
        <w:r>
          <w:rPr>
            <w:rStyle w:val="Internetverknpfung"/>
          </w:rPr>
          <w:t>=</w:t>
        </w:r>
        <w:r w:rsidRPr="004832F9">
          <w:rPr>
            <w:rStyle w:val="Internetverknpfung"/>
          </w:rPr>
          <w:t>first</w:t>
        </w:r>
        <w:r>
          <w:rPr>
            <w:rStyle w:val="Internetverknpfung"/>
          </w:rPr>
          <w:t>&amp;</w:t>
        </w:r>
        <w:r w:rsidRPr="004832F9">
          <w:rPr>
            <w:rStyle w:val="Internetverknpfung"/>
          </w:rPr>
          <w:t>part</w:t>
        </w:r>
        <w:r>
          <w:rPr>
            <w:rStyle w:val="Internetverknpfung"/>
          </w:rPr>
          <w:t>=</w:t>
        </w:r>
        <w:r w:rsidRPr="004832F9">
          <w:rPr>
            <w:rStyle w:val="Internetverknpfung"/>
          </w:rPr>
          <w:t>1</w:t>
        </w:r>
      </w:hyperlink>
    </w:p>
    <w:p w14:paraId="4904978F" w14:textId="33D725D9" w:rsidR="00AE4EA7" w:rsidRDefault="00000000">
      <w:pPr>
        <w:pStyle w:val="Funotentext"/>
        <w:numPr>
          <w:ilvl w:val="0"/>
          <w:numId w:val="26"/>
        </w:numPr>
      </w:pPr>
      <w:r>
        <w:t xml:space="preserve">Darauf aufbauend: BGH, </w:t>
      </w:r>
      <w:r w:rsidRPr="004C1658">
        <w:t>Urt</w:t>
      </w:r>
      <w:r>
        <w:t>. v. 2020-05-28, Az.</w:t>
      </w:r>
      <w:r w:rsidR="007B24B9">
        <w:t xml:space="preserve"> </w:t>
      </w:r>
      <w:r>
        <w:t xml:space="preserve">I </w:t>
      </w:r>
      <w:r w:rsidRPr="004832F9">
        <w:t>ZR</w:t>
      </w:r>
      <w:r>
        <w:t xml:space="preserve"> 7/16. </w:t>
      </w:r>
      <w:r w:rsidR="00D97F03">
        <w:t xml:space="preserve">Siehe insbesondere Abschnitt „b“ des Urteilsspruches. </w:t>
      </w:r>
      <w:r w:rsidRPr="004832F9">
        <w:t>Online,</w:t>
      </w:r>
      <w:r>
        <w:t xml:space="preserve"> zitiert am </w:t>
      </w:r>
      <w:r w:rsidR="006B2B45">
        <w:t>2023-10</w:t>
      </w:r>
      <w:r>
        <w:t xml:space="preserve">-14; verfügbar unter </w:t>
      </w:r>
      <w:hyperlink r:id="rId25">
        <w:r>
          <w:rPr>
            <w:rStyle w:val="Internetverknpfung"/>
          </w:rPr>
          <w:t>https://dejure.org/2020</w:t>
        </w:r>
        <w:r w:rsidRPr="004832F9">
          <w:rPr>
            <w:rStyle w:val="Internetverknpfung"/>
          </w:rPr>
          <w:t>,12443</w:t>
        </w:r>
      </w:hyperlink>
      <w:r>
        <w:t xml:space="preserve"> </w:t>
      </w:r>
      <w:r w:rsidRPr="004832F9">
        <w:t xml:space="preserve">bzw. Volltext unter </w:t>
      </w:r>
      <w:hyperlink r:id="rId26">
        <w:r w:rsidR="00D97F03" w:rsidRPr="004832F9">
          <w:rPr>
            <w:rStyle w:val="Internetverknpfung"/>
          </w:rPr>
          <w:t>https://juris.bundesgerichtshof.de/cgi-bin/rechtsprechung/document.py?Gericht=</w:t>
        </w:r>
        <w:r w:rsidR="00D97F03">
          <w:rPr>
            <w:rStyle w:val="Internetverknpfung"/>
          </w:rPr>
          <w:t xml:space="preserve"> </w:t>
        </w:r>
        <w:r w:rsidR="00D97F03" w:rsidRPr="004832F9">
          <w:rPr>
            <w:rStyle w:val="Internetverknpfung"/>
          </w:rPr>
          <w:t>bgh</w:t>
        </w:r>
        <w:r w:rsidR="00D97F03">
          <w:rPr>
            <w:rStyle w:val="Internetverknpfung"/>
          </w:rPr>
          <w:t>&amp;Art=en&amp;</w:t>
        </w:r>
        <w:r w:rsidR="00D97F03" w:rsidRPr="004832F9">
          <w:rPr>
            <w:rStyle w:val="Internetverknpfung"/>
          </w:rPr>
          <w:t>nr</w:t>
        </w:r>
        <w:r w:rsidR="00D97F03">
          <w:rPr>
            <w:rStyle w:val="Internetverknpfung"/>
          </w:rPr>
          <w:t>=107623&amp;pos=0&amp;</w:t>
        </w:r>
        <w:r w:rsidR="00D97F03" w:rsidRPr="004832F9">
          <w:rPr>
            <w:rStyle w:val="Internetverknpfung"/>
          </w:rPr>
          <w:t>anz</w:t>
        </w:r>
        <w:r w:rsidR="00D97F03">
          <w:rPr>
            <w:rStyle w:val="Internetverknpfung"/>
          </w:rPr>
          <w:t>=</w:t>
        </w:r>
        <w:r w:rsidR="00D97F03" w:rsidRPr="004832F9">
          <w:rPr>
            <w:rStyle w:val="Internetverknpfung"/>
          </w:rPr>
          <w:t>1</w:t>
        </w:r>
      </w:hyperlink>
    </w:p>
  </w:footnote>
  <w:footnote w:id="19">
    <w:p w14:paraId="503717C6" w14:textId="5097C861" w:rsidR="00AE4EA7" w:rsidRDefault="00000000">
      <w:pPr>
        <w:pStyle w:val="Funotentext"/>
      </w:pPr>
      <w:r>
        <w:rPr>
          <w:rStyle w:val="Funotenzeichen"/>
        </w:rPr>
        <w:footnoteRef/>
      </w:r>
      <w:r>
        <w:t xml:space="preserve"> Gesetz zum Schutz personenbezogener Daten im Land Brandenburg (Brandenburgisches Datenschutzgesetz - </w:t>
      </w:r>
      <w:r w:rsidRPr="004832F9">
        <w:t>BbgDSG</w:t>
      </w:r>
      <w:r>
        <w:t xml:space="preserve">). Online, zitiert am </w:t>
      </w:r>
      <w:r w:rsidR="006B2B45">
        <w:t>2023-10</w:t>
      </w:r>
      <w:r>
        <w:t xml:space="preserve">-14; verfügbar unter </w:t>
      </w:r>
      <w:hyperlink r:id="rId27">
        <w:r w:rsidRPr="004832F9">
          <w:rPr>
            <w:rStyle w:val="Internetverknpfung"/>
          </w:rPr>
          <w:t>https://bravors.brandenburg.de/gesetze/bbgdsg</w:t>
        </w:r>
      </w:hyperlink>
    </w:p>
  </w:footnote>
  <w:footnote w:id="20">
    <w:p w14:paraId="6C97E410" w14:textId="11F4C1D0" w:rsidR="00AE4EA7" w:rsidRDefault="00000000">
      <w:pPr>
        <w:pStyle w:val="Funotentext"/>
      </w:pPr>
      <w:r>
        <w:rPr>
          <w:rStyle w:val="Funotenzeichen"/>
        </w:rPr>
        <w:footnoteRef/>
      </w:r>
      <w:r>
        <w:t xml:space="preserve"> Hamburgisches Datenschutzgesetz (</w:t>
      </w:r>
      <w:r w:rsidRPr="004832F9">
        <w:t>HmbDSG</w:t>
      </w:r>
      <w:r>
        <w:t xml:space="preserve">). Online, zitiert am </w:t>
      </w:r>
      <w:r w:rsidR="006B2B45">
        <w:t>2023-10</w:t>
      </w:r>
      <w:r>
        <w:t xml:space="preserve">-14; verfügbar unter </w:t>
      </w:r>
      <w:hyperlink r:id="rId28">
        <w:r w:rsidRPr="004832F9">
          <w:rPr>
            <w:rStyle w:val="Internetverknpfung"/>
          </w:rPr>
          <w:t>https://dsgvo-gesetz.de/hmbdsg/</w:t>
        </w:r>
      </w:hyperlink>
    </w:p>
  </w:footnote>
  <w:footnote w:id="21">
    <w:p w14:paraId="1A15318D" w14:textId="780DABED" w:rsidR="00AE4EA7" w:rsidRDefault="00000000">
      <w:pPr>
        <w:pStyle w:val="Funotentext"/>
      </w:pPr>
      <w:r>
        <w:rPr>
          <w:rStyle w:val="Funotenzeichen"/>
        </w:rPr>
        <w:footnoteRef/>
      </w:r>
      <w:r>
        <w:t xml:space="preserve"> Hessisches Datenschutz- und Informationsfreiheitsgesetz (</w:t>
      </w:r>
      <w:r w:rsidRPr="004832F9">
        <w:t>HDSIG</w:t>
      </w:r>
      <w:r>
        <w:t xml:space="preserve">). Online, zitiert am </w:t>
      </w:r>
      <w:r w:rsidR="006B2B45">
        <w:t>2023-10</w:t>
      </w:r>
      <w:r>
        <w:t xml:space="preserve">-14; verfügbar unter </w:t>
      </w:r>
      <w:hyperlink r:id="rId29">
        <w:r w:rsidRPr="004832F9">
          <w:rPr>
            <w:rStyle w:val="Internetverknpfung"/>
          </w:rPr>
          <w:t>https://dsgvo-gesetz.de/hdsig/</w:t>
        </w:r>
      </w:hyperlink>
    </w:p>
  </w:footnote>
  <w:footnote w:id="22">
    <w:p w14:paraId="3A1AABE4" w14:textId="75AE2B39" w:rsidR="00AE4EA7" w:rsidRDefault="00000000">
      <w:pPr>
        <w:pStyle w:val="Funotentext"/>
      </w:pPr>
      <w:r>
        <w:rPr>
          <w:rStyle w:val="Funotenzeichen"/>
        </w:rPr>
        <w:footnoteRef/>
      </w:r>
      <w:r>
        <w:t xml:space="preserve"> Datenschutzgesetz Nordrhein-Westfalen (DSG NRW). Online, zitiert am </w:t>
      </w:r>
      <w:r w:rsidR="006B2B45">
        <w:t>2023-10</w:t>
      </w:r>
      <w:r>
        <w:t xml:space="preserve">-14; verfügbar unter </w:t>
      </w:r>
      <w:hyperlink r:id="rId30">
        <w:r w:rsidRPr="004832F9">
          <w:rPr>
            <w:rStyle w:val="Internetverknpfung"/>
          </w:rPr>
          <w:t>https://recht.nrw.de/lmi/owa/br_text_anzeigen?v_id=3520071121100436275</w:t>
        </w:r>
      </w:hyperlink>
    </w:p>
  </w:footnote>
  <w:footnote w:id="23">
    <w:p w14:paraId="2C41101D" w14:textId="738C04B7" w:rsidR="00AE4EA7" w:rsidRDefault="00000000">
      <w:pPr>
        <w:pStyle w:val="Funotentext"/>
      </w:pPr>
      <w:r>
        <w:rPr>
          <w:rStyle w:val="Funotenzeichen"/>
        </w:rPr>
        <w:footnoteRef/>
      </w:r>
      <w:r>
        <w:t xml:space="preserve"> Schleswig-Holsteinisches Gesetz zum Schutz personenbezogener Daten (</w:t>
      </w:r>
      <w:r w:rsidRPr="004832F9">
        <w:t>LDSG</w:t>
      </w:r>
      <w:r>
        <w:t xml:space="preserve"> </w:t>
      </w:r>
      <w:r w:rsidRPr="004832F9">
        <w:t>SH</w:t>
      </w:r>
      <w:r>
        <w:t xml:space="preserve">). Online, zitiert am </w:t>
      </w:r>
      <w:r w:rsidR="006B2B45">
        <w:t>2023-10</w:t>
      </w:r>
      <w:r>
        <w:t xml:space="preserve">-14; verfügbar unter </w:t>
      </w:r>
      <w:hyperlink r:id="rId31">
        <w:r>
          <w:rPr>
            <w:rStyle w:val="Internetverknpfung"/>
          </w:rPr>
          <w:t>https://dsgvo-gesetz.de/ldsg-</w:t>
        </w:r>
        <w:r w:rsidRPr="004832F9">
          <w:rPr>
            <w:rStyle w:val="Internetverknpfung"/>
          </w:rPr>
          <w:t>sh/</w:t>
        </w:r>
      </w:hyperlink>
    </w:p>
  </w:footnote>
  <w:footnote w:id="24">
    <w:p w14:paraId="5713EA8C" w14:textId="68739CE9" w:rsidR="00AE4EA7" w:rsidRDefault="00000000">
      <w:pPr>
        <w:pStyle w:val="Funotentext"/>
      </w:pPr>
      <w:r>
        <w:rPr>
          <w:rStyle w:val="Funotenzeichen"/>
        </w:rPr>
        <w:footnoteRef/>
      </w:r>
      <w:r>
        <w:t xml:space="preserve"> Thüringer Datenschutzgesetz (</w:t>
      </w:r>
      <w:r w:rsidRPr="004832F9">
        <w:t>ThürDSG</w:t>
      </w:r>
      <w:r>
        <w:t xml:space="preserve">). Online, zitiert am </w:t>
      </w:r>
      <w:r w:rsidR="006B2B45">
        <w:t>2023-10</w:t>
      </w:r>
      <w:r>
        <w:t xml:space="preserve">-14; verfügbar unter </w:t>
      </w:r>
      <w:hyperlink r:id="rId32">
        <w:r w:rsidRPr="004832F9">
          <w:rPr>
            <w:rStyle w:val="Internetverknpfung"/>
          </w:rPr>
          <w:t>https://dsgvo-gesetz.de/thuerdsg/</w:t>
        </w:r>
      </w:hyperlink>
    </w:p>
  </w:footnote>
  <w:footnote w:id="25">
    <w:p w14:paraId="3219D7AC" w14:textId="378B1545" w:rsidR="00AE4EA7" w:rsidRDefault="00000000">
      <w:pPr>
        <w:pStyle w:val="Funotentext"/>
      </w:pPr>
      <w:r>
        <w:rPr>
          <w:rStyle w:val="Funotenzeichen"/>
        </w:rPr>
        <w:footnoteRef/>
      </w:r>
      <w:r>
        <w:t xml:space="preserve"> Vertrag über die Arbeitsweise der Europäischen Union. Art. 2 Abs. 2: „Übertragen die Verträge der Union für einen bestimmten Bereich eine mit den Mitgliedstaaten geteilte Zuständigkeit, so können die Union und die Mitgliedstaaten in diesem Bereich gesetzgeberisch tätig werden und verbindliche Rechtsakte erlassen. Die Mitgliedstaaten nehmen ihre Zuständigkeit wahr, sofern und soweit die Union ihre Zuständigkeit nicht ausgeübt hat. Die Mitgliedstaaten nehmen ihre Zuständigkeit erneut wahr, sofern und soweit die Union entschieden hat, ihre Zuständigkeit nicht mehr auszuüben.“ Online, zitiert am </w:t>
      </w:r>
      <w:r w:rsidR="006B2B45">
        <w:t>2023-10</w:t>
      </w:r>
      <w:r>
        <w:t xml:space="preserve">-14; verfügbar unter </w:t>
      </w:r>
      <w:hyperlink r:id="rId33">
        <w:r w:rsidRPr="004832F9">
          <w:rPr>
            <w:rStyle w:val="Internetverknpfung"/>
          </w:rPr>
          <w:t>https://eur-lex.europa.eu/legal-content/DE/TXT/?uri=CELEX:12012E/TXT</w:t>
        </w:r>
      </w:hyperlink>
    </w:p>
  </w:footnote>
  <w:footnote w:id="26">
    <w:p w14:paraId="2473C105" w14:textId="77777777" w:rsidR="00AE4EA7" w:rsidRDefault="00000000">
      <w:pPr>
        <w:pStyle w:val="Funotentext"/>
      </w:pPr>
      <w:r>
        <w:rPr>
          <w:rStyle w:val="Funotenzeichen"/>
        </w:rPr>
        <w:footnoteRef/>
      </w:r>
      <w:r>
        <w:t xml:space="preserve">Meyer S. (2021) </w:t>
      </w:r>
      <w:r w:rsidRPr="004832F9">
        <w:t>Landesrechtliche</w:t>
      </w:r>
      <w:r>
        <w:t xml:space="preserve"> Legaldefinitionen der „Anonymisierung“ im Anwendungsbereich der DS-GVO. </w:t>
      </w:r>
      <w:r w:rsidRPr="004832F9">
        <w:t>Kompetenzielle</w:t>
      </w:r>
      <w:r>
        <w:t xml:space="preserve"> und inhaltliche Vereinbarkeit mit dem Unionsrecht. </w:t>
      </w:r>
      <w:r w:rsidRPr="004832F9">
        <w:t>ZD</w:t>
      </w:r>
      <w:r>
        <w:t>: 669-674</w:t>
      </w:r>
    </w:p>
  </w:footnote>
  <w:footnote w:id="27">
    <w:p w14:paraId="07C0A700" w14:textId="492A42B7" w:rsidR="00AE4EA7" w:rsidRDefault="00000000">
      <w:pPr>
        <w:pStyle w:val="Funotentext"/>
      </w:pPr>
      <w:r>
        <w:rPr>
          <w:rStyle w:val="Funotenzeichen"/>
        </w:rPr>
        <w:footnoteRef/>
      </w:r>
      <w:r>
        <w:t xml:space="preserve"> Konsolidierte Fassung des Vertrags über die Arbeitsweise der Europäischen Union. Online, zitiert am </w:t>
      </w:r>
      <w:r w:rsidR="006B2B45">
        <w:t>2023-10</w:t>
      </w:r>
      <w:r>
        <w:t xml:space="preserve">-14; verfügbar unter </w:t>
      </w:r>
      <w:hyperlink r:id="rId34">
        <w:r w:rsidRPr="004832F9">
          <w:rPr>
            <w:rStyle w:val="Internetverknpfung"/>
          </w:rPr>
          <w:t>https://eur-lex.europa.eu/legal-content/DE/TXT/?uri=CELEX:12012E/TXT</w:t>
        </w:r>
      </w:hyperlink>
    </w:p>
  </w:footnote>
  <w:footnote w:id="28">
    <w:p w14:paraId="04D357BC" w14:textId="353F25E8" w:rsidR="00AE4EA7" w:rsidRDefault="00000000">
      <w:pPr>
        <w:pStyle w:val="Funotentext"/>
      </w:pPr>
      <w:r>
        <w:rPr>
          <w:rStyle w:val="Funotenzeichen"/>
        </w:rPr>
        <w:footnoteRef/>
      </w:r>
      <w:r>
        <w:t xml:space="preserve"> Bzgl. Umfang der vorrangigen Anwendung siehe auch EuGH, </w:t>
      </w:r>
      <w:r w:rsidRPr="004C1658">
        <w:t>Urt</w:t>
      </w:r>
      <w:r>
        <w:t xml:space="preserve">. V. 05.12.2017 Az. C-42/17. Online, zitiert am </w:t>
      </w:r>
      <w:r w:rsidR="006B2B45">
        <w:t>2023-10</w:t>
      </w:r>
      <w:r>
        <w:t xml:space="preserve">-14; verfügbar unter </w:t>
      </w:r>
      <w:hyperlink r:id="rId35">
        <w:r>
          <w:rPr>
            <w:rStyle w:val="Internetverknpfung"/>
          </w:rPr>
          <w:t>https://dejure.org/2017</w:t>
        </w:r>
        <w:r w:rsidRPr="004832F9">
          <w:rPr>
            <w:rStyle w:val="Internetverknpfung"/>
          </w:rPr>
          <w:t>,46354</w:t>
        </w:r>
      </w:hyperlink>
    </w:p>
  </w:footnote>
  <w:footnote w:id="29">
    <w:p w14:paraId="3AD98BA2" w14:textId="20EFABFD" w:rsidR="00AE4EA7" w:rsidRDefault="00000000">
      <w:pPr>
        <w:pStyle w:val="Funotentext"/>
      </w:pPr>
      <w:r>
        <w:rPr>
          <w:rStyle w:val="Funotenzeichen"/>
        </w:rPr>
        <w:footnoteRef/>
      </w:r>
      <w:r>
        <w:t xml:space="preserve"> Bundesverband der </w:t>
      </w:r>
      <w:r w:rsidRPr="004832F9">
        <w:t>Deutschen</w:t>
      </w:r>
      <w:r>
        <w:t xml:space="preserve"> Industrie </w:t>
      </w:r>
      <w:r w:rsidRPr="004832F9">
        <w:t>e.</w:t>
      </w:r>
      <w:r w:rsidR="004832F9" w:rsidRPr="004832F9">
        <w:t> </w:t>
      </w:r>
      <w:r w:rsidRPr="004832F9">
        <w:t>V.</w:t>
      </w:r>
      <w:r>
        <w:t xml:space="preserve"> (BDI) „Anonymisierung personenbezogener Daten“. Stand 2020-02-11. Online, zitiert am </w:t>
      </w:r>
      <w:r w:rsidR="006B2B45">
        <w:t>2023-10</w:t>
      </w:r>
      <w:r>
        <w:t xml:space="preserve">-14; verfügbar unter </w:t>
      </w:r>
      <w:hyperlink r:id="rId36">
        <w:r>
          <w:rPr>
            <w:rStyle w:val="Internetverknpfung"/>
          </w:rPr>
          <w:t>https://bdi.eu/publikation/news/anonymisierung-</w:t>
        </w:r>
        <w:r w:rsidRPr="004832F9">
          <w:rPr>
            <w:rStyle w:val="Internetverknpfung"/>
          </w:rPr>
          <w:t>personenbezogener-daten/</w:t>
        </w:r>
      </w:hyperlink>
    </w:p>
  </w:footnote>
  <w:footnote w:id="30">
    <w:p w14:paraId="46CE9281" w14:textId="28C70B01" w:rsidR="00AE4EA7" w:rsidRDefault="00000000">
      <w:pPr>
        <w:pStyle w:val="Funotentext"/>
      </w:pPr>
      <w:r>
        <w:rPr>
          <w:rStyle w:val="Funotenzeichen"/>
        </w:rPr>
        <w:footnoteRef/>
      </w:r>
      <w:r>
        <w:t xml:space="preserve"> Stiftung Datenschutz: Grundsatzregeln für die Anonymisierung personenbezogener Daten. Stand 2022-12. Online, zitiert am </w:t>
      </w:r>
      <w:r w:rsidR="006B2B45">
        <w:t>2023-10</w:t>
      </w:r>
      <w:r>
        <w:t xml:space="preserve">-14; verfügbar unter </w:t>
      </w:r>
      <w:hyperlink r:id="rId37">
        <w:r>
          <w:rPr>
            <w:rStyle w:val="Internetverknpfung"/>
          </w:rPr>
          <w:t>https://stiftungdatenschutz.org/fileadmin/Redaktion/ Dokumente/</w:t>
        </w:r>
        <w:r w:rsidRPr="004832F9">
          <w:rPr>
            <w:rStyle w:val="Internetverknpfung"/>
          </w:rPr>
          <w:t>Anonymisierung_personenbezogener_Daten</w:t>
        </w:r>
        <w:r>
          <w:rPr>
            <w:rStyle w:val="Internetverknpfung"/>
          </w:rPr>
          <w:t>/</w:t>
        </w:r>
        <w:r w:rsidRPr="004832F9">
          <w:rPr>
            <w:rStyle w:val="Internetverknpfung"/>
          </w:rPr>
          <w:t>SDS_Studie_Grundsatzregeln_Web_01.pdf</w:t>
        </w:r>
      </w:hyperlink>
    </w:p>
  </w:footnote>
  <w:footnote w:id="31">
    <w:p w14:paraId="7DD731BB" w14:textId="5A5F0390" w:rsidR="00AE4EA7" w:rsidRDefault="00000000">
      <w:pPr>
        <w:pStyle w:val="Funotentext"/>
      </w:pPr>
      <w:r>
        <w:rPr>
          <w:rStyle w:val="Funotenzeichen"/>
        </w:rPr>
        <w:footnoteRef/>
      </w:r>
      <w:r>
        <w:t xml:space="preserve"> Stiftung Datenschutz: Praxisleitfaden für die Anonymisierung personenbezogener Daten. Stand: 2022-12. Online, zitiert am </w:t>
      </w:r>
      <w:r w:rsidR="006B2B45">
        <w:t>2023-10</w:t>
      </w:r>
      <w:r>
        <w:t xml:space="preserve">-14; verfügbar unter </w:t>
      </w:r>
      <w:hyperlink r:id="rId38">
        <w:r>
          <w:rPr>
            <w:rStyle w:val="Internetverknpfung"/>
          </w:rPr>
          <w:t>https://stiftungdatenschutz.org/fileadmin/Redaktion/ Dokumente/</w:t>
        </w:r>
        <w:r w:rsidRPr="004832F9">
          <w:rPr>
            <w:rStyle w:val="Internetverknpfung"/>
          </w:rPr>
          <w:t>Anonymisierung_personenbezogener_Daten</w:t>
        </w:r>
        <w:r>
          <w:rPr>
            <w:rStyle w:val="Internetverknpfung"/>
          </w:rPr>
          <w:t>/</w:t>
        </w:r>
        <w:r w:rsidRPr="004832F9">
          <w:rPr>
            <w:rStyle w:val="Internetverknpfung"/>
          </w:rPr>
          <w:t>SDS_Studie_Praxisleitfaden-Anonymisieren-Web_01.pdf</w:t>
        </w:r>
      </w:hyperlink>
    </w:p>
  </w:footnote>
  <w:footnote w:id="32">
    <w:p w14:paraId="439BCF17" w14:textId="6AF15896" w:rsidR="00AE4EA7" w:rsidRDefault="00000000">
      <w:pPr>
        <w:pStyle w:val="Funotentext"/>
      </w:pPr>
      <w:r>
        <w:rPr>
          <w:rStyle w:val="Funotenzeichen"/>
        </w:rPr>
        <w:footnoteRef/>
      </w:r>
      <w:r>
        <w:t xml:space="preserve"> Bundesbeauftragte für den Datenschutz und die Informationsfreiheit (BfDI): Positionspapier zur Anonymisierung unter der DSGVO unter besonderer Berücksichtigung der TK-Branche. Stand: 2020-06-29. Online, zitiert am </w:t>
      </w:r>
      <w:r w:rsidR="006B2B45">
        <w:t>2023-10</w:t>
      </w:r>
      <w:r>
        <w:t xml:space="preserve">-14; verfügbar unter </w:t>
      </w:r>
      <w:hyperlink r:id="rId39">
        <w:r>
          <w:rPr>
            <w:rStyle w:val="Internetverknpfung"/>
          </w:rPr>
          <w:t>https://www.bfdi.bund.de/DE/Fachthemen/Inhalte/Telefon-Internet/Positionen/Positionspapier-Anonymisierung-DSGVO-TKG.html</w:t>
        </w:r>
      </w:hyperlink>
      <w:r>
        <w:t xml:space="preserve"> bzw. </w:t>
      </w:r>
      <w:r w:rsidRPr="004832F9">
        <w:t>pdf-</w:t>
      </w:r>
      <w:r w:rsidR="0072629C" w:rsidRPr="004832F9">
        <w:t>D</w:t>
      </w:r>
      <w:r w:rsidRPr="004832F9">
        <w:t>atei</w:t>
      </w:r>
      <w:r>
        <w:t xml:space="preserve"> unter </w:t>
      </w:r>
      <w:hyperlink r:id="rId40">
        <w:r w:rsidRPr="004832F9">
          <w:rPr>
            <w:rStyle w:val="Internetverknpfung"/>
          </w:rPr>
          <w:t>https://www.bfdi.bund.de/SharedDocs/Downloads/DE/Konsultationsverfahren/1_Anonymisierung/Positionspapier-Anonymisierung.pdf?__blob=publicationFile&amp;v=6</w:t>
        </w:r>
      </w:hyperlink>
    </w:p>
  </w:footnote>
  <w:footnote w:id="33">
    <w:p w14:paraId="4B647E72" w14:textId="77777777" w:rsidR="00AE4EA7" w:rsidRDefault="00000000">
      <w:pPr>
        <w:pStyle w:val="Funotentext"/>
        <w:rPr>
          <w:lang w:val="en-US"/>
        </w:rPr>
      </w:pPr>
      <w:r>
        <w:rPr>
          <w:rStyle w:val="Funotenzeichen"/>
        </w:rPr>
        <w:footnoteRef/>
      </w:r>
      <w:r>
        <w:rPr>
          <w:lang w:val="en-US"/>
        </w:rPr>
        <w:t xml:space="preserve"> Voigt P, von dem Bussche A. The EU General Data Protection Regulation (GDPR) - A Practical Guide. Springer Verlag, 2017. ISBN 978-3-319-57958-0. PP 13-16, chapter „2.1.2.2 Anonymisation and Pseudonymisation“: „Anonymised data is either information that does not relate to an identi</w:t>
      </w:r>
      <w:r>
        <w:t>ﬁ</w:t>
      </w:r>
      <w:r>
        <w:rPr>
          <w:lang w:val="en-US"/>
        </w:rPr>
        <w:t>ed or identi</w:t>
      </w:r>
      <w:r>
        <w:t>ﬁ</w:t>
      </w:r>
      <w:r>
        <w:rPr>
          <w:lang w:val="en-US"/>
        </w:rPr>
        <w:t>able individual or personal data that was rendered anonymous in such a manner that the person is not or no longer identi</w:t>
      </w:r>
      <w:r>
        <w:t>ﬁ</w:t>
      </w:r>
      <w:r>
        <w:rPr>
          <w:lang w:val="en-US"/>
        </w:rPr>
        <w:t>able.“</w:t>
      </w:r>
    </w:p>
  </w:footnote>
  <w:footnote w:id="34">
    <w:p w14:paraId="6953B421" w14:textId="403976A4" w:rsidR="00AE4EA7" w:rsidRDefault="00000000">
      <w:pPr>
        <w:pStyle w:val="Funotentext"/>
      </w:pPr>
      <w:r>
        <w:rPr>
          <w:rStyle w:val="Funotenzeichen"/>
        </w:rPr>
        <w:footnoteRef/>
      </w:r>
      <w:r>
        <w:t xml:space="preserve"> </w:t>
      </w:r>
      <w:r w:rsidRPr="004832F9">
        <w:t>EuG</w:t>
      </w:r>
      <w:r>
        <w:t xml:space="preserve">: </w:t>
      </w:r>
      <w:r w:rsidRPr="004C1658">
        <w:t>Urt</w:t>
      </w:r>
      <w:r>
        <w:t>. v. 2023-04-26, AZ. T</w:t>
      </w:r>
      <w:r>
        <w:rPr>
          <w:rFonts w:ascii="Cambria Math" w:hAnsi="Cambria Math" w:cs="Cambria Math"/>
        </w:rPr>
        <w:noBreakHyphen/>
      </w:r>
      <w:r>
        <w:t xml:space="preserve">557/20. Online, zitiert am </w:t>
      </w:r>
      <w:r w:rsidR="006B2B45">
        <w:t>2023-10</w:t>
      </w:r>
      <w:r>
        <w:t xml:space="preserve">-14; verfügbar unter </w:t>
      </w:r>
      <w:hyperlink r:id="rId41">
        <w:r w:rsidRPr="004832F9">
          <w:rPr>
            <w:rStyle w:val="Internetverknpfung"/>
          </w:rPr>
          <w:t>https://eur-lex.europa.eu/legal-content/de/TXT/?uri=CELEX:62020TJ0557</w:t>
        </w:r>
      </w:hyperlink>
    </w:p>
  </w:footnote>
  <w:footnote w:id="35">
    <w:p w14:paraId="4B32323A" w14:textId="71DEC6F9" w:rsidR="00AE4EA7" w:rsidRDefault="00000000">
      <w:pPr>
        <w:pStyle w:val="Funotentext"/>
      </w:pPr>
      <w:r>
        <w:rPr>
          <w:rStyle w:val="Funotenzeichen"/>
        </w:rPr>
        <w:footnoteRef/>
      </w:r>
      <w:r>
        <w:t xml:space="preserve"> EuGH: Rechtssache C-413/23 P. Online, zitiert am </w:t>
      </w:r>
      <w:r w:rsidR="006B2B45">
        <w:t>2023-10</w:t>
      </w:r>
      <w:r>
        <w:t xml:space="preserve">-14; verfügbar unter </w:t>
      </w:r>
      <w:hyperlink r:id="rId42">
        <w:r w:rsidRPr="004832F9">
          <w:rPr>
            <w:rStyle w:val="Internetverknpfung"/>
          </w:rPr>
          <w:t>https://eur-lex.europa.eu/legal-content/DE/TXT/?uri=CELEX%3A62023CN0413&amp;qid=1697259421370</w:t>
        </w:r>
      </w:hyperlink>
    </w:p>
  </w:footnote>
  <w:footnote w:id="36">
    <w:p w14:paraId="1A079E8B" w14:textId="77777777" w:rsidR="004D05D2" w:rsidRDefault="004D05D2" w:rsidP="004D05D2">
      <w:pPr>
        <w:pStyle w:val="Funotentext"/>
      </w:pPr>
      <w:r>
        <w:rPr>
          <w:rStyle w:val="Funotenzeichen"/>
        </w:rPr>
        <w:footnoteRef/>
      </w:r>
      <w:r w:rsidRPr="008444FB">
        <w:rPr>
          <w:lang w:val="en-US"/>
        </w:rPr>
        <w:t xml:space="preserve"> EDSA (2021-02-02) </w:t>
      </w:r>
      <w:r w:rsidRPr="006F562E">
        <w:rPr>
          <w:lang w:val="en-US"/>
        </w:rPr>
        <w:t>EDPB Document on response to the request from the European Commission for clarifications on the consistent application of the GDPR, focusing on health research</w:t>
      </w:r>
      <w:r w:rsidRPr="008444FB">
        <w:rPr>
          <w:lang w:val="en-US"/>
        </w:rPr>
        <w:t xml:space="preserve">. </w:t>
      </w:r>
      <w:r w:rsidRPr="006F562E">
        <w:t>Rn.</w:t>
      </w:r>
      <w:r>
        <w:t xml:space="preserve"> 43. </w:t>
      </w:r>
      <w:r w:rsidRPr="006F562E">
        <w:t xml:space="preserve">Online, zitiert am 2023-11-22; verfügbar unter </w:t>
      </w:r>
      <w:hyperlink r:id="rId43" w:history="1">
        <w:r w:rsidRPr="00BD65F5">
          <w:rPr>
            <w:rStyle w:val="Hyperlink"/>
          </w:rPr>
          <w:t>https://edpb.europa.eu/our-work-tools/our-documents/other-guidance/edpb-document-response-request-european-commission_en</w:t>
        </w:r>
      </w:hyperlink>
    </w:p>
  </w:footnote>
  <w:footnote w:id="37">
    <w:p w14:paraId="7F9D0898" w14:textId="79D7CC36" w:rsidR="00463704" w:rsidRDefault="00463704">
      <w:pPr>
        <w:pStyle w:val="Funotentext"/>
      </w:pPr>
      <w:r>
        <w:rPr>
          <w:rStyle w:val="Funotenzeichen"/>
        </w:rPr>
        <w:footnoteRef/>
      </w:r>
      <w:r>
        <w:t xml:space="preserve"> Zu beachten: „Zudem ist </w:t>
      </w:r>
      <w:r w:rsidRPr="00463704">
        <w:t>Art.</w:t>
      </w:r>
      <w:r>
        <w:t> </w:t>
      </w:r>
      <w:r w:rsidRPr="00463704">
        <w:t>9 Abs.</w:t>
      </w:r>
      <w:r>
        <w:t> </w:t>
      </w:r>
      <w:r w:rsidRPr="00463704">
        <w:t>2 DSGVO, da er eine Ausnahme vom Grundsatz des Verbots der Verarbeitung besonderer Kategorien personenbezogener Daten vorsieht</w:t>
      </w:r>
      <w:r>
        <w:t>, eng auszulegen“. EuGH, Urt. v-2023-07-04, Az. </w:t>
      </w:r>
      <w:r w:rsidRPr="00463704">
        <w:t>C</w:t>
      </w:r>
      <w:r w:rsidRPr="00463704">
        <w:rPr>
          <w:rFonts w:ascii="Cambria Math" w:hAnsi="Cambria Math" w:cs="Cambria Math"/>
        </w:rPr>
        <w:t>‑</w:t>
      </w:r>
      <w:r w:rsidRPr="00463704">
        <w:t>252/21</w:t>
      </w:r>
      <w:r>
        <w:t xml:space="preserve">, Rn. 76. </w:t>
      </w:r>
      <w:r w:rsidRPr="006F562E">
        <w:t>Online, zitiert am 2023-1</w:t>
      </w:r>
      <w:r>
        <w:t>2</w:t>
      </w:r>
      <w:r w:rsidRPr="006F562E">
        <w:t>-2</w:t>
      </w:r>
      <w:r>
        <w:t>9</w:t>
      </w:r>
      <w:r w:rsidRPr="006F562E">
        <w:t>; verfügbar unter</w:t>
      </w:r>
      <w:r>
        <w:t xml:space="preserve"> </w:t>
      </w:r>
      <w:hyperlink r:id="rId44" w:history="1">
        <w:r w:rsidRPr="004832F9">
          <w:rPr>
            <w:rStyle w:val="Hyperlink"/>
          </w:rPr>
          <w:t>https://eur-lex.europa.eu/legal-content/de/TXT/?uri=CELEX:62021CJ0252</w:t>
        </w:r>
      </w:hyperlink>
    </w:p>
  </w:footnote>
  <w:footnote w:id="38">
    <w:p w14:paraId="64811990" w14:textId="58598E77" w:rsidR="00463704" w:rsidRDefault="00463704">
      <w:pPr>
        <w:pStyle w:val="Funotentext"/>
      </w:pPr>
      <w:r>
        <w:rPr>
          <w:rStyle w:val="Funotenzeichen"/>
        </w:rPr>
        <w:footnoteRef/>
      </w:r>
      <w:r>
        <w:t xml:space="preserve"> </w:t>
      </w:r>
      <w:bookmarkStart w:id="86" w:name="_Hlk154301474"/>
      <w:r w:rsidRPr="00463704">
        <w:t>EuGH,</w:t>
      </w:r>
      <w:r>
        <w:t xml:space="preserve"> Urt. v. 2023-12-</w:t>
      </w:r>
      <w:r w:rsidRPr="00463704">
        <w:t>21</w:t>
      </w:r>
      <w:r>
        <w:t>, Az. </w:t>
      </w:r>
      <w:r w:rsidRPr="00463704">
        <w:t>C-667/21</w:t>
      </w:r>
      <w:r>
        <w:t xml:space="preserve">, Rn. 79. </w:t>
      </w:r>
      <w:r w:rsidRPr="006F562E">
        <w:t>Online, zitiert am 2023-1</w:t>
      </w:r>
      <w:r>
        <w:t>2</w:t>
      </w:r>
      <w:r w:rsidRPr="006F562E">
        <w:t>-2</w:t>
      </w:r>
      <w:r>
        <w:t>9</w:t>
      </w:r>
      <w:r w:rsidRPr="006F562E">
        <w:t>; verfügbar u</w:t>
      </w:r>
      <w:r>
        <w:t xml:space="preserve">nter </w:t>
      </w:r>
      <w:hyperlink r:id="rId45" w:history="1">
        <w:r w:rsidRPr="004832F9">
          <w:rPr>
            <w:rStyle w:val="Hyperlink"/>
          </w:rPr>
          <w:t>https://eur-lex.europa.eu/legal-content/de/TXT/?uri=CELEX:62021CJ0667</w:t>
        </w:r>
      </w:hyperlink>
      <w:bookmarkEnd w:id="86"/>
    </w:p>
  </w:footnote>
  <w:footnote w:id="39">
    <w:p w14:paraId="5161A654" w14:textId="4790350C" w:rsidR="00463704" w:rsidRDefault="00463704">
      <w:pPr>
        <w:pStyle w:val="Funotentext"/>
      </w:pPr>
      <w:r>
        <w:rPr>
          <w:rStyle w:val="Funotenzeichen"/>
        </w:rPr>
        <w:footnoteRef/>
      </w:r>
      <w:r>
        <w:t xml:space="preserve"> Zu beachten: „[…] </w:t>
      </w:r>
      <w:r w:rsidRPr="00463704">
        <w:t xml:space="preserve">sind die in Art. 6 Abs. 1 </w:t>
      </w:r>
      <w:r w:rsidRPr="004832F9">
        <w:t>Unterabs</w:t>
      </w:r>
      <w:r w:rsidRPr="00463704">
        <w:t>. 1 Buchst. b bis f DSGVO vorgesehenen Rechtfertigungsgründe eng auszulegen, da sie dazu führen können, dass eine Verarbeitung personenbezogener Daten trotz fehlender Einwilligung der betroffenen Person rechtmäßig i</w:t>
      </w:r>
      <w:r>
        <w:t>st“. EuGH, Urt. v-2023-07-04, Az. </w:t>
      </w:r>
      <w:r w:rsidRPr="00463704">
        <w:t>C</w:t>
      </w:r>
      <w:r w:rsidRPr="00463704">
        <w:rPr>
          <w:rFonts w:ascii="Cambria Math" w:hAnsi="Cambria Math" w:cs="Cambria Math"/>
        </w:rPr>
        <w:t>‑</w:t>
      </w:r>
      <w:r w:rsidRPr="00463704">
        <w:t>252/21</w:t>
      </w:r>
      <w:r>
        <w:t xml:space="preserve">, Rn. 93. </w:t>
      </w:r>
      <w:r w:rsidRPr="006F562E">
        <w:t>Online, zitiert am 2023-1</w:t>
      </w:r>
      <w:r>
        <w:t>2</w:t>
      </w:r>
      <w:r w:rsidRPr="006F562E">
        <w:t>-2</w:t>
      </w:r>
      <w:r>
        <w:t>9</w:t>
      </w:r>
      <w:r w:rsidRPr="006F562E">
        <w:t>; verfügbar unter</w:t>
      </w:r>
      <w:r>
        <w:t xml:space="preserve"> </w:t>
      </w:r>
      <w:hyperlink r:id="rId46" w:history="1">
        <w:r w:rsidRPr="004832F9">
          <w:rPr>
            <w:rStyle w:val="Hyperlink"/>
          </w:rPr>
          <w:t>https://eur-lex.europa.eu/legal-content/de/TXT/?uri=CELEX:62021CJ0252</w:t>
        </w:r>
      </w:hyperlink>
    </w:p>
  </w:footnote>
  <w:footnote w:id="40">
    <w:p w14:paraId="5FBDA58C" w14:textId="77777777" w:rsidR="00AE4EA7" w:rsidRDefault="00000000">
      <w:pPr>
        <w:pStyle w:val="Funotentext"/>
      </w:pPr>
      <w:r>
        <w:rPr>
          <w:rStyle w:val="Funotenzeichen"/>
        </w:rPr>
        <w:footnoteRef/>
      </w:r>
      <w:r w:rsidRPr="004832F9">
        <w:t>Roßnagel</w:t>
      </w:r>
      <w:r>
        <w:t xml:space="preserve"> A, </w:t>
      </w:r>
      <w:r w:rsidRPr="004832F9">
        <w:t>Geminn</w:t>
      </w:r>
      <w:r>
        <w:t xml:space="preserve"> C. (2021) Vertrauen in Anonymisierung. </w:t>
      </w:r>
      <w:r w:rsidRPr="004832F9">
        <w:t>ZD</w:t>
      </w:r>
      <w:r>
        <w:t>: 487-490</w:t>
      </w:r>
    </w:p>
  </w:footnote>
  <w:footnote w:id="41">
    <w:p w14:paraId="19B483A7" w14:textId="6B22006C" w:rsidR="00463704" w:rsidRDefault="00463704">
      <w:pPr>
        <w:pStyle w:val="Funotentext"/>
      </w:pPr>
      <w:r>
        <w:rPr>
          <w:rStyle w:val="Funotenzeichen"/>
        </w:rPr>
        <w:footnoteRef/>
      </w:r>
      <w:r>
        <w:t xml:space="preserve"> Siehe auch </w:t>
      </w:r>
      <w:bookmarkStart w:id="89" w:name="_Hlk154302255"/>
      <w:r>
        <w:t>EuGH Urt. v. 2021-01-18, Az. </w:t>
      </w:r>
      <w:r w:rsidRPr="00463704">
        <w:t>C-61/19</w:t>
      </w:r>
      <w:r>
        <w:t xml:space="preserve">, Tenor: </w:t>
      </w:r>
      <w:bookmarkStart w:id="90" w:name="_Hlk154302182"/>
      <w:r>
        <w:t xml:space="preserve">Verantwortlicher muss nachweisen, dass betroffene Person Einwilligung durch aktives Verhalten bekundet hat und vorher </w:t>
      </w:r>
      <w:r w:rsidRPr="00463704">
        <w:t xml:space="preserve">Information über alle Umstände im Zusammenhang mit </w:t>
      </w:r>
      <w:r>
        <w:t>der</w:t>
      </w:r>
      <w:r w:rsidRPr="00463704">
        <w:t xml:space="preserve"> Verarbeitung</w:t>
      </w:r>
      <w:r>
        <w:t xml:space="preserve"> erhielt, welcher der Person erlaubten, </w:t>
      </w:r>
      <w:r w:rsidRPr="00463704">
        <w:t>die Konsequenzen dieser Einwilligung leicht zu ermitteln, sodass gewährleistet ist, dass die Einwilligung in voller Kenntnis der Sachlage erteilt wird</w:t>
      </w:r>
      <w:r>
        <w:t xml:space="preserve">. </w:t>
      </w:r>
      <w:bookmarkEnd w:id="90"/>
      <w:r w:rsidRPr="006F562E">
        <w:t>Online, zitiert am 2023-1</w:t>
      </w:r>
      <w:r>
        <w:t>2</w:t>
      </w:r>
      <w:r w:rsidRPr="006F562E">
        <w:t>-2</w:t>
      </w:r>
      <w:r>
        <w:t>9</w:t>
      </w:r>
      <w:r w:rsidRPr="006F562E">
        <w:t>; verfügbar unter</w:t>
      </w:r>
      <w:r>
        <w:t xml:space="preserve"> </w:t>
      </w:r>
      <w:hyperlink r:id="rId47" w:history="1">
        <w:r w:rsidRPr="004832F9">
          <w:rPr>
            <w:rStyle w:val="Hyperlink"/>
          </w:rPr>
          <w:t>https://eur-lex.europa.eu/legal-content/DE/TXT/?uri=CELEX%3A62019CA0061&amp;qid=1703360472835</w:t>
        </w:r>
      </w:hyperlink>
      <w:bookmarkEnd w:id="89"/>
    </w:p>
  </w:footnote>
  <w:footnote w:id="42">
    <w:p w14:paraId="0984DAD5" w14:textId="719FFE68" w:rsidR="00AE4EA7" w:rsidRDefault="00000000">
      <w:pPr>
        <w:pStyle w:val="Funotentext"/>
      </w:pPr>
      <w:r>
        <w:rPr>
          <w:rStyle w:val="Funotenzeichen"/>
        </w:rPr>
        <w:footnoteRef/>
      </w:r>
      <w:r>
        <w:t xml:space="preserve"> Näheres siehe: Ausarbeitung der GMDS AG DIG „Anforderungen der DS-GVO an die Einwilligung“. Online, zitiert am </w:t>
      </w:r>
      <w:r w:rsidR="006B2B45">
        <w:t>2023-10</w:t>
      </w:r>
      <w:r>
        <w:t xml:space="preserve">-14; verfügbar unter </w:t>
      </w:r>
      <w:hyperlink r:id="rId48">
        <w:r w:rsidRPr="004832F9">
          <w:rPr>
            <w:rStyle w:val="Internetverknpfung"/>
          </w:rPr>
          <w:t>http://ds-gvo.gesundheitsdatenschutz.org/html/einwilligung.php</w:t>
        </w:r>
      </w:hyperlink>
    </w:p>
  </w:footnote>
  <w:footnote w:id="43">
    <w:p w14:paraId="089F265F" w14:textId="4FC00B0D" w:rsidR="00463704" w:rsidRDefault="00463704" w:rsidP="00463704">
      <w:pPr>
        <w:pStyle w:val="Funotentext"/>
      </w:pPr>
      <w:r>
        <w:rPr>
          <w:rStyle w:val="Funotenzeichen"/>
        </w:rPr>
        <w:footnoteRef/>
      </w:r>
      <w:r>
        <w:t xml:space="preserve"> </w:t>
      </w:r>
      <w:r w:rsidRPr="00463704">
        <w:t>EuGH,</w:t>
      </w:r>
      <w:r>
        <w:t xml:space="preserve"> Urt. v. 2023-12-</w:t>
      </w:r>
      <w:r w:rsidRPr="00463704">
        <w:t>21</w:t>
      </w:r>
      <w:r>
        <w:t>, Az. </w:t>
      </w:r>
      <w:r w:rsidRPr="00463704">
        <w:t>C-667/21</w:t>
      </w:r>
      <w:r>
        <w:t xml:space="preserve">, Rn. 79. </w:t>
      </w:r>
      <w:r w:rsidRPr="006F562E">
        <w:t>Online, zitiert am 2023-1</w:t>
      </w:r>
      <w:r>
        <w:t>2</w:t>
      </w:r>
      <w:r w:rsidRPr="006F562E">
        <w:t>-2</w:t>
      </w:r>
      <w:r>
        <w:t>9</w:t>
      </w:r>
      <w:r w:rsidRPr="006F562E">
        <w:t>; verfügbar u</w:t>
      </w:r>
      <w:r>
        <w:t xml:space="preserve">nter </w:t>
      </w:r>
      <w:hyperlink r:id="rId49" w:history="1">
        <w:r w:rsidRPr="004832F9">
          <w:rPr>
            <w:rStyle w:val="Hyperlink"/>
          </w:rPr>
          <w:t>https://eur-lex.europa.eu/legal-content/de/TXT/?uri=CELEX:62021CJ0667</w:t>
        </w:r>
      </w:hyperlink>
    </w:p>
  </w:footnote>
  <w:footnote w:id="44">
    <w:p w14:paraId="48CBD13B" w14:textId="7DC3C51F" w:rsidR="00AE4EA7" w:rsidRDefault="00000000">
      <w:pPr>
        <w:pStyle w:val="Funotentext"/>
      </w:pPr>
      <w:r>
        <w:rPr>
          <w:rStyle w:val="Funotenzeichen"/>
        </w:rPr>
        <w:footnoteRef/>
      </w:r>
      <w:r>
        <w:t xml:space="preserve"> Zu den Begriffsbestimmungen bzgl. „Forschung“, „wissenschaftliche Forschung“ und „historische Forschung“ siehe Ausarbeitung „Datenschutzrechtliche Anforderungen an die medizinische Forschung unter Berücksichtigung der EU Datenschutz-Grundverordnung (DS-GVO)“, herausgegeben von der Arbeitsgruppe „Datenschutz und IT-Sicherheit im Gesundheitswesen“ der GMDS und der Arbeitsgruppe „Datenschutz und Datensicherheit im Gesundheits- und Sozialwesen“ der GDD. Online, zitiert am </w:t>
      </w:r>
      <w:r w:rsidR="006B2B45">
        <w:t>2023-10</w:t>
      </w:r>
      <w:r>
        <w:t xml:space="preserve">-14; verfügbar unter </w:t>
      </w:r>
      <w:hyperlink r:id="rId50">
        <w:r w:rsidRPr="004832F9">
          <w:rPr>
            <w:rStyle w:val="Internetverknpfung"/>
          </w:rPr>
          <w:t>http://ds-gvo.gesundheitsdatenschutz.org/html/forschung.php</w:t>
        </w:r>
      </w:hyperlink>
    </w:p>
  </w:footnote>
  <w:footnote w:id="45">
    <w:p w14:paraId="4E269295" w14:textId="77777777" w:rsidR="00AE4EA7" w:rsidRDefault="00000000">
      <w:pPr>
        <w:pStyle w:val="Funotentext"/>
      </w:pPr>
      <w:r>
        <w:rPr>
          <w:rStyle w:val="Funotenzeichen"/>
        </w:rPr>
        <w:footnoteRef/>
      </w:r>
      <w:r>
        <w:t xml:space="preserve"> Beispiele für vorrangige bereichsspezifische Regelungen sind, soweit sie den Vorgaben der DS-GVO entsprechen:</w:t>
      </w:r>
    </w:p>
    <w:p w14:paraId="38D24947" w14:textId="77777777" w:rsidR="00AE4EA7" w:rsidRDefault="00000000">
      <w:pPr>
        <w:pStyle w:val="Funotentext"/>
        <w:numPr>
          <w:ilvl w:val="0"/>
          <w:numId w:val="13"/>
        </w:numPr>
      </w:pPr>
      <w:r>
        <w:t>Bundesrecht: Sozialgesetzbücher, Arzneimittelgesetz, Gendiagnostikgesetz usw.</w:t>
      </w:r>
    </w:p>
    <w:p w14:paraId="7651F8E3" w14:textId="77777777" w:rsidR="00AE4EA7" w:rsidRDefault="00000000">
      <w:pPr>
        <w:pStyle w:val="Funotentext"/>
        <w:numPr>
          <w:ilvl w:val="0"/>
          <w:numId w:val="13"/>
        </w:numPr>
      </w:pPr>
      <w:r>
        <w:t>Landesrecht: Krankenhausgesetze, Krebsregistergesetze</w:t>
      </w:r>
    </w:p>
  </w:footnote>
  <w:footnote w:id="46">
    <w:p w14:paraId="41C62356" w14:textId="77777777" w:rsidR="00AE4EA7" w:rsidRDefault="00000000">
      <w:pPr>
        <w:pStyle w:val="Funotentext"/>
      </w:pPr>
      <w:r>
        <w:rPr>
          <w:rStyle w:val="Funotenzeichen"/>
        </w:rPr>
        <w:footnoteRef/>
      </w:r>
      <w:r>
        <w:t xml:space="preserve"> Buchner B, </w:t>
      </w:r>
      <w:r w:rsidRPr="004832F9">
        <w:t>Tinnefeld</w:t>
      </w:r>
      <w:r>
        <w:t xml:space="preserve"> M-T. § 27 BDSG RN. 12 in </w:t>
      </w:r>
      <w:r w:rsidRPr="004832F9">
        <w:t>Kühling</w:t>
      </w:r>
      <w:r>
        <w:t>/Buchner, Kommentar zur Datenschutz-Grundverordnung/BDSG. C.H.Beck Verlag 2. Auflage 2018. ISBN 978-3-406-71932-5</w:t>
      </w:r>
    </w:p>
  </w:footnote>
  <w:footnote w:id="47">
    <w:p w14:paraId="249D3E31" w14:textId="7C1141FB" w:rsidR="00D234C9" w:rsidRDefault="00D234C9">
      <w:pPr>
        <w:pStyle w:val="Funotentext"/>
      </w:pPr>
      <w:r>
        <w:rPr>
          <w:rStyle w:val="Funotenzeichen"/>
        </w:rPr>
        <w:footnoteRef/>
      </w:r>
      <w:r>
        <w:t xml:space="preserve"> </w:t>
      </w:r>
      <w:r w:rsidRPr="00D234C9">
        <w:t>EuGH</w:t>
      </w:r>
      <w:r>
        <w:t xml:space="preserve"> Urt. v. 2023-12-</w:t>
      </w:r>
      <w:r w:rsidRPr="00D234C9">
        <w:t>07</w:t>
      </w:r>
      <w:r>
        <w:t>, Az. </w:t>
      </w:r>
      <w:r w:rsidRPr="00D234C9">
        <w:t xml:space="preserve"> C-26/22, C-64/22</w:t>
      </w:r>
      <w:r>
        <w:t xml:space="preserve">, Rn. 94. </w:t>
      </w:r>
      <w:r w:rsidRPr="00D234C9">
        <w:t>Online, zitiert am 2023-1</w:t>
      </w:r>
      <w:r>
        <w:t>2</w:t>
      </w:r>
      <w:r w:rsidRPr="00D234C9">
        <w:t>-1</w:t>
      </w:r>
      <w:r>
        <w:t>2</w:t>
      </w:r>
      <w:r w:rsidRPr="00D234C9">
        <w:t>; verfügbar unter</w:t>
      </w:r>
      <w:r>
        <w:t xml:space="preserve"> </w:t>
      </w:r>
      <w:hyperlink r:id="rId51" w:history="1">
        <w:r w:rsidRPr="004832F9">
          <w:rPr>
            <w:rStyle w:val="Hyperlink"/>
          </w:rPr>
          <w:t>https://eur-lex.europa.eu/legal-content/de/TXT/?uri=CELEX:62022CJ0026</w:t>
        </w:r>
      </w:hyperlink>
    </w:p>
  </w:footnote>
  <w:footnote w:id="48">
    <w:p w14:paraId="61B41948" w14:textId="34A58715" w:rsidR="00EC1518" w:rsidRDefault="00EC1518" w:rsidP="00EC1518">
      <w:pPr>
        <w:pStyle w:val="Funotentext"/>
      </w:pPr>
      <w:r>
        <w:rPr>
          <w:rStyle w:val="Funotenzeichen"/>
        </w:rPr>
        <w:footnoteRef/>
      </w:r>
      <w:r>
        <w:t xml:space="preserve"> </w:t>
      </w:r>
      <w:r w:rsidRPr="00F20605">
        <w:t>Datenschutzkonferenz (</w:t>
      </w:r>
      <w:r w:rsidRPr="004832F9">
        <w:t>DSK</w:t>
      </w:r>
      <w:r w:rsidRPr="00F20605">
        <w:t>)</w:t>
      </w:r>
      <w:r>
        <w:t>: Orientierungshilfe der Aufsichtsbehörden zur Verarbeitung von personenbezogenen Daten für Zwecke der Direktwerbung unter Geltung der Datenschutz-Grundverordnung (DS-GVO): „</w:t>
      </w:r>
      <w:r w:rsidRPr="00F20605">
        <w:t>Die Erwartungen der betroffenen Person können dabei nicht durch die nach der DS-GVO vorgesehenen Pflichtinformationen (Art. 13, 14 DS-GVO) erweitert werden</w:t>
      </w:r>
      <w:r>
        <w:t xml:space="preserve">." (Seite 4, </w:t>
      </w:r>
      <w:r w:rsidRPr="004832F9">
        <w:t>Stand</w:t>
      </w:r>
      <w:r w:rsidR="004832F9" w:rsidRPr="004832F9">
        <w:t xml:space="preserve"> </w:t>
      </w:r>
      <w:r w:rsidRPr="004832F9">
        <w:t>2022</w:t>
      </w:r>
      <w:r>
        <w:t xml:space="preserve">-02-18) Online, zitiert am 2024-01-11; verfügbar unter </w:t>
      </w:r>
      <w:hyperlink r:id="rId52" w:history="1">
        <w:r w:rsidRPr="004832F9">
          <w:rPr>
            <w:rStyle w:val="Hyperlink"/>
          </w:rPr>
          <w:t>https://www.datenschutzkonferenz-online.de/media/oh/OH-Werbung_Februar%202022_final.pdf</w:t>
        </w:r>
      </w:hyperlink>
    </w:p>
    <w:p w14:paraId="09A8D014" w14:textId="043A4EB7" w:rsidR="00EC1518" w:rsidRDefault="00EC1518" w:rsidP="00EC1518">
      <w:pPr>
        <w:pStyle w:val="Funotentext"/>
      </w:pPr>
      <w:r>
        <w:t xml:space="preserve">Anders </w:t>
      </w:r>
      <w:r w:rsidRPr="00F20605">
        <w:t>Datenschutzbehörde Österreich</w:t>
      </w:r>
      <w:r>
        <w:t xml:space="preserve">, Bescheid v. 2023-08-01, </w:t>
      </w:r>
      <w:r w:rsidRPr="00F20605">
        <w:t>Geschäftszahl</w:t>
      </w:r>
      <w:r>
        <w:t xml:space="preserve"> </w:t>
      </w:r>
      <w:r w:rsidRPr="00F20605">
        <w:t>2023-0.544.853</w:t>
      </w:r>
      <w:r>
        <w:t>: „</w:t>
      </w:r>
      <w:r w:rsidRPr="00F20605">
        <w:t>Wie den Feststellungen zu entnehmen ist, informiert die Beschwerdegegnerin ihre Kunden in transparenter Weise in ihrer Datenschutzerklärung s</w:t>
      </w:r>
      <w:r>
        <w:t xml:space="preserve"> […] </w:t>
      </w:r>
      <w:r w:rsidRPr="004832F9">
        <w:t>Folglich</w:t>
      </w:r>
      <w:r w:rsidRPr="00F20605">
        <w:t xml:space="preserve"> hat die Beschwerdeführerin damit zu rechnen, dass bei Benützung von Personenverkehrszügen der Beschwerdegegnerin ihre Jahreskarte elektronisch validiert wird.</w:t>
      </w:r>
      <w:r>
        <w:t xml:space="preserve">“ Online, zitiert am 2024-01-11; verfügbar unter </w:t>
      </w:r>
      <w:hyperlink r:id="rId53" w:history="1">
        <w:r>
          <w:rPr>
            <w:rStyle w:val="Hyperlink"/>
          </w:rPr>
          <w:t>https://www.ris.bka.gv.at/Dokumente/Dsk/ DSBT_20230801_2023_0_544_853_00/</w:t>
        </w:r>
        <w:r w:rsidRPr="004832F9">
          <w:rPr>
            <w:rStyle w:val="Hyperlink"/>
          </w:rPr>
          <w:t>DSBT_20230801_2023_0_544_853_00.html</w:t>
        </w:r>
      </w:hyperlink>
    </w:p>
  </w:footnote>
  <w:footnote w:id="49">
    <w:p w14:paraId="69467248" w14:textId="77777777" w:rsidR="00AE4EA7" w:rsidRDefault="00000000">
      <w:pPr>
        <w:pStyle w:val="Funotentext"/>
      </w:pPr>
      <w:r>
        <w:rPr>
          <w:rStyle w:val="Funotenzeichen"/>
        </w:rPr>
        <w:footnoteRef/>
      </w:r>
      <w:r>
        <w:t xml:space="preserve"> Buchner B, </w:t>
      </w:r>
      <w:r w:rsidRPr="004832F9">
        <w:t>Tinnefeld</w:t>
      </w:r>
      <w:r>
        <w:t xml:space="preserve"> M-T. § 27 BDSG RN. 24 in </w:t>
      </w:r>
      <w:r w:rsidRPr="004832F9">
        <w:t>Kühling</w:t>
      </w:r>
      <w:r>
        <w:t>/Buchner, Kommentar zur Datenschutz-Grundverordnung/BDSG. C.H.Beck Verlag 2. Auflage 2018. ISBN 978-3-406-71932-5</w:t>
      </w:r>
    </w:p>
  </w:footnote>
  <w:footnote w:id="50">
    <w:p w14:paraId="4E9B1E67" w14:textId="531E9E82" w:rsidR="00AE4EA7" w:rsidRDefault="00000000">
      <w:pPr>
        <w:pStyle w:val="Funotentext"/>
      </w:pPr>
      <w:r>
        <w:rPr>
          <w:rStyle w:val="Funotenzeichen"/>
        </w:rPr>
        <w:footnoteRef/>
      </w:r>
      <w:r>
        <w:t xml:space="preserve"> Bzgl. „erforderlich“ siehe Kap. 4.7 „Erforderlichkeit, Notwendigkeit“ in der Ausarbeitung „Datenschutzrechtliche Anforderungen an die medizinische Forschung unter Berücksichtigung der EU Datenschutz-Grundverordnung (DS-GVO)“, herausgegeben von der Arbeitsgruppe „Datenschutz und IT-Sicherheit im Gesundheitswesen“ der GMDS und der Arbeitsgruppe „Datenschutz und Datensicherheit im Gesundheits- und Sozialwesen“ der GDD. Online, zitiert am </w:t>
      </w:r>
      <w:r w:rsidR="006B2B45">
        <w:t>2023-10</w:t>
      </w:r>
      <w:r>
        <w:t xml:space="preserve">-14; verfügbar unter </w:t>
      </w:r>
      <w:hyperlink r:id="rId54">
        <w:r w:rsidRPr="004832F9">
          <w:rPr>
            <w:rStyle w:val="Internetverknpfung"/>
          </w:rPr>
          <w:t>http://ds-gvo.gesundheitsdatenschutz.org/html/forschung.php</w:t>
        </w:r>
      </w:hyperlink>
    </w:p>
  </w:footnote>
  <w:footnote w:id="51">
    <w:p w14:paraId="3B76A2B5" w14:textId="5C3FF201" w:rsidR="006F562E" w:rsidRDefault="006F562E">
      <w:pPr>
        <w:pStyle w:val="Funotentext"/>
      </w:pPr>
      <w:r>
        <w:rPr>
          <w:rStyle w:val="Funotenzeichen"/>
        </w:rPr>
        <w:footnoteRef/>
      </w:r>
      <w:r w:rsidRPr="008444FB">
        <w:rPr>
          <w:lang w:val="en-US"/>
        </w:rPr>
        <w:t xml:space="preserve"> EDSA (2021-02-02) </w:t>
      </w:r>
      <w:r w:rsidRPr="006F562E">
        <w:rPr>
          <w:lang w:val="en-US"/>
        </w:rPr>
        <w:t>EDPB Document on response to the request from the European Commission for clarifications on the consistent application of the GDPR, focusing on health research</w:t>
      </w:r>
      <w:r w:rsidRPr="008444FB">
        <w:rPr>
          <w:lang w:val="en-US"/>
        </w:rPr>
        <w:t xml:space="preserve">. </w:t>
      </w:r>
      <w:r w:rsidRPr="006F562E">
        <w:t>Rn.</w:t>
      </w:r>
      <w:r>
        <w:t xml:space="preserve"> 47. </w:t>
      </w:r>
      <w:r w:rsidRPr="006F562E">
        <w:t xml:space="preserve">Online, zitiert am 2023-11-22; verfügbar unter </w:t>
      </w:r>
      <w:hyperlink r:id="rId55" w:history="1">
        <w:r w:rsidRPr="00BD65F5">
          <w:rPr>
            <w:rStyle w:val="Hyperlink"/>
          </w:rPr>
          <w:t>https://edpb.europa.eu/our-work-tools/our-documents/other-guidance/edpb-document-response-request-european-commission_en</w:t>
        </w:r>
      </w:hyperlink>
    </w:p>
  </w:footnote>
  <w:footnote w:id="52">
    <w:p w14:paraId="7CD54245" w14:textId="0DCBE519" w:rsidR="00D234C9" w:rsidRDefault="004D0B3D">
      <w:pPr>
        <w:pStyle w:val="Funotentext"/>
      </w:pPr>
      <w:r>
        <w:rPr>
          <w:rStyle w:val="Funotenzeichen"/>
        </w:rPr>
        <w:footnoteRef/>
      </w:r>
      <w:r>
        <w:t xml:space="preserve"> </w:t>
      </w:r>
      <w:r w:rsidR="00D234C9">
        <w:t xml:space="preserve">Siehe </w:t>
      </w:r>
      <w:r w:rsidR="00D234C9" w:rsidRPr="004832F9">
        <w:t>z.</w:t>
      </w:r>
      <w:r w:rsidR="004832F9" w:rsidRPr="004832F9">
        <w:t> </w:t>
      </w:r>
      <w:r w:rsidR="00D234C9" w:rsidRPr="004832F9">
        <w:t>B.</w:t>
      </w:r>
      <w:r w:rsidR="00D234C9">
        <w:t xml:space="preserve"> </w:t>
      </w:r>
      <w:r w:rsidR="00463704">
        <w:t>G</w:t>
      </w:r>
      <w:r w:rsidR="00D234C9">
        <w:t>erichtsurteile:</w:t>
      </w:r>
    </w:p>
    <w:p w14:paraId="1DD8E84A" w14:textId="63FD9DFF" w:rsidR="004D0B3D" w:rsidRDefault="004D0B3D" w:rsidP="00D234C9">
      <w:pPr>
        <w:pStyle w:val="Funotentext"/>
        <w:numPr>
          <w:ilvl w:val="0"/>
          <w:numId w:val="26"/>
        </w:numPr>
      </w:pPr>
      <w:r w:rsidRPr="004D0B3D">
        <w:t>EuGH</w:t>
      </w:r>
      <w:r>
        <w:t xml:space="preserve"> Urt. v. </w:t>
      </w:r>
      <w:r w:rsidRPr="004D0B3D">
        <w:t xml:space="preserve"> </w:t>
      </w:r>
      <w:r w:rsidR="00D234C9">
        <w:t>2022-02-24</w:t>
      </w:r>
      <w:r>
        <w:t>, Az. </w:t>
      </w:r>
      <w:r w:rsidRPr="004D0B3D">
        <w:t>C-175/20</w:t>
      </w:r>
      <w:r>
        <w:t xml:space="preserve">, Rn. 81 </w:t>
      </w:r>
      <w:r w:rsidRPr="004832F9">
        <w:t>i.</w:t>
      </w:r>
      <w:r w:rsidR="004832F9" w:rsidRPr="004832F9">
        <w:t> </w:t>
      </w:r>
      <w:r w:rsidRPr="004832F9">
        <w:t>V.</w:t>
      </w:r>
      <w:r>
        <w:t> m. Rn. 77.</w:t>
      </w:r>
      <w:r w:rsidRPr="004D0B3D">
        <w:t xml:space="preserve"> </w:t>
      </w:r>
      <w:r w:rsidRPr="006F562E">
        <w:t>Online, zitiert am 2023-1</w:t>
      </w:r>
      <w:r>
        <w:t>2</w:t>
      </w:r>
      <w:r w:rsidRPr="006F562E">
        <w:t>-</w:t>
      </w:r>
      <w:r>
        <w:t>12</w:t>
      </w:r>
      <w:r w:rsidRPr="006F562E">
        <w:t>; verfügbar unter</w:t>
      </w:r>
      <w:r>
        <w:t xml:space="preserve"> </w:t>
      </w:r>
      <w:hyperlink r:id="rId56" w:history="1">
        <w:r w:rsidRPr="004832F9">
          <w:rPr>
            <w:rStyle w:val="Hyperlink"/>
          </w:rPr>
          <w:t>https://eur-lex.europa.eu/legal-content/DE/TXT/?uri=CELEX%3A62020CJ0175</w:t>
        </w:r>
      </w:hyperlink>
    </w:p>
    <w:p w14:paraId="27C376F6" w14:textId="1F30842E" w:rsidR="00D234C9" w:rsidRDefault="00D234C9" w:rsidP="00D234C9">
      <w:pPr>
        <w:pStyle w:val="Funotentext"/>
        <w:numPr>
          <w:ilvl w:val="0"/>
          <w:numId w:val="26"/>
        </w:numPr>
      </w:pPr>
      <w:r w:rsidRPr="004832F9">
        <w:t>BverwG</w:t>
      </w:r>
      <w:r>
        <w:t xml:space="preserve"> Urt. v. 2022-03-</w:t>
      </w:r>
      <w:r w:rsidRPr="00D234C9">
        <w:t>02</w:t>
      </w:r>
      <w:r>
        <w:t>, Az. </w:t>
      </w:r>
      <w:r w:rsidRPr="00D234C9">
        <w:t xml:space="preserve"> 6 C 7.20</w:t>
      </w:r>
      <w:r>
        <w:t xml:space="preserve">, Rn. 49-51. </w:t>
      </w:r>
      <w:r w:rsidRPr="006F562E">
        <w:t>Online, zitiert am 2023-1</w:t>
      </w:r>
      <w:r>
        <w:t>2</w:t>
      </w:r>
      <w:r w:rsidRPr="006F562E">
        <w:t>-</w:t>
      </w:r>
      <w:r>
        <w:t>12</w:t>
      </w:r>
      <w:r w:rsidRPr="006F562E">
        <w:t>; verfügbar unter</w:t>
      </w:r>
      <w:r>
        <w:t xml:space="preserve"> </w:t>
      </w:r>
      <w:hyperlink r:id="rId57" w:history="1">
        <w:r w:rsidRPr="00917AD4">
          <w:rPr>
            <w:rStyle w:val="Hyperlink"/>
          </w:rPr>
          <w:t>https://www.bverwg.de/020322U6C7.20.0</w:t>
        </w:r>
      </w:hyperlink>
    </w:p>
    <w:p w14:paraId="7E35CA5A" w14:textId="4FDB4E64" w:rsidR="00D234C9" w:rsidRDefault="00D234C9" w:rsidP="00D234C9">
      <w:pPr>
        <w:pStyle w:val="Funotentext"/>
        <w:numPr>
          <w:ilvl w:val="0"/>
          <w:numId w:val="26"/>
        </w:numPr>
      </w:pPr>
      <w:r w:rsidRPr="00D234C9">
        <w:t>OLG Stuttgart</w:t>
      </w:r>
      <w:r>
        <w:t xml:space="preserve"> Urt. v. 2023-11-</w:t>
      </w:r>
      <w:r w:rsidRPr="00D234C9">
        <w:t>22</w:t>
      </w:r>
      <w:r>
        <w:t>, AZ. </w:t>
      </w:r>
      <w:r w:rsidRPr="00D234C9">
        <w:t>4 U 20/23</w:t>
      </w:r>
      <w:r>
        <w:t xml:space="preserve">, Rn. 395-400. </w:t>
      </w:r>
      <w:r w:rsidRPr="006F562E">
        <w:t>Online, zitiert am 2023-1</w:t>
      </w:r>
      <w:r>
        <w:t>2</w:t>
      </w:r>
      <w:r w:rsidRPr="006F562E">
        <w:t>-</w:t>
      </w:r>
      <w:r>
        <w:t>12</w:t>
      </w:r>
      <w:r w:rsidRPr="006F562E">
        <w:t>; verfügbar unter</w:t>
      </w:r>
      <w:r>
        <w:t xml:space="preserve"> </w:t>
      </w:r>
      <w:hyperlink r:id="rId58" w:history="1">
        <w:r w:rsidRPr="004832F9">
          <w:rPr>
            <w:rStyle w:val="Hyperlink"/>
          </w:rPr>
          <w:t>https://www.landesrecht-bw.de/bsbw/document/JURE235012226</w:t>
        </w:r>
      </w:hyperlink>
    </w:p>
  </w:footnote>
  <w:footnote w:id="53">
    <w:p w14:paraId="3B13768A" w14:textId="76A53CC2" w:rsidR="003212CA" w:rsidRDefault="003212CA">
      <w:pPr>
        <w:pStyle w:val="Funotentext"/>
      </w:pPr>
      <w:r>
        <w:rPr>
          <w:rStyle w:val="Funotenzeichen"/>
        </w:rPr>
        <w:footnoteRef/>
      </w:r>
      <w:r>
        <w:t xml:space="preserve"> Siehe z. B. EuGH, </w:t>
      </w:r>
      <w:r w:rsidRPr="004C1658">
        <w:t>Urt</w:t>
      </w:r>
      <w:r>
        <w:t>. v. 2022-02-</w:t>
      </w:r>
      <w:r w:rsidRPr="003212CA">
        <w:t>24</w:t>
      </w:r>
      <w:r>
        <w:t>, Az. </w:t>
      </w:r>
      <w:r w:rsidRPr="003212CA">
        <w:t>C-175/20</w:t>
      </w:r>
      <w:r>
        <w:t xml:space="preserve">, Rn. 81 i. V. m. Rn. 77. </w:t>
      </w:r>
      <w:r w:rsidRPr="004832F9">
        <w:t>Online,</w:t>
      </w:r>
      <w:r>
        <w:t xml:space="preserve"> zitiert am </w:t>
      </w:r>
      <w:r w:rsidR="006B2B45">
        <w:t>2023-10</w:t>
      </w:r>
      <w:r>
        <w:t xml:space="preserve">-14; verfügbar unter </w:t>
      </w:r>
      <w:hyperlink r:id="rId59" w:history="1">
        <w:r w:rsidRPr="002A1A8E">
          <w:rPr>
            <w:rStyle w:val="Hyperlink"/>
          </w:rPr>
          <w:t>https://dejure.org/2022</w:t>
        </w:r>
        <w:r w:rsidRPr="004832F9">
          <w:rPr>
            <w:rStyle w:val="Hyperlink"/>
          </w:rPr>
          <w:t>,3279</w:t>
        </w:r>
      </w:hyperlink>
      <w:r>
        <w:t xml:space="preserve"> bzw. Volltext unter </w:t>
      </w:r>
      <w:hyperlink r:id="rId60" w:history="1">
        <w:r>
          <w:rPr>
            <w:rStyle w:val="Hyperlink"/>
          </w:rPr>
          <w:t xml:space="preserve">https://curia.europa.eu/juris/ </w:t>
        </w:r>
        <w:r w:rsidRPr="004832F9">
          <w:rPr>
            <w:rStyle w:val="Hyperlink"/>
          </w:rPr>
          <w:t>document</w:t>
        </w:r>
        <w:r>
          <w:rPr>
            <w:rStyle w:val="Hyperlink"/>
          </w:rPr>
          <w:t>/</w:t>
        </w:r>
        <w:r w:rsidRPr="004832F9">
          <w:rPr>
            <w:rStyle w:val="Hyperlink"/>
          </w:rPr>
          <w:t>document.jsf?text</w:t>
        </w:r>
        <w:r>
          <w:rPr>
            <w:rStyle w:val="Hyperlink"/>
          </w:rPr>
          <w:t>=&amp;</w:t>
        </w:r>
        <w:r w:rsidRPr="004832F9">
          <w:rPr>
            <w:rStyle w:val="Hyperlink"/>
          </w:rPr>
          <w:t>docid</w:t>
        </w:r>
        <w:r>
          <w:rPr>
            <w:rStyle w:val="Hyperlink"/>
          </w:rPr>
          <w:t>=254583&amp;</w:t>
        </w:r>
        <w:r w:rsidRPr="004832F9">
          <w:rPr>
            <w:rStyle w:val="Hyperlink"/>
          </w:rPr>
          <w:t>pageIndex</w:t>
        </w:r>
        <w:r>
          <w:rPr>
            <w:rStyle w:val="Hyperlink"/>
          </w:rPr>
          <w:t>=0&amp;</w:t>
        </w:r>
        <w:r w:rsidRPr="004832F9">
          <w:rPr>
            <w:rStyle w:val="Hyperlink"/>
          </w:rPr>
          <w:t>doclang</w:t>
        </w:r>
        <w:r>
          <w:rPr>
            <w:rStyle w:val="Hyperlink"/>
          </w:rPr>
          <w:t>=DE&amp;mode=</w:t>
        </w:r>
        <w:r w:rsidRPr="004832F9">
          <w:rPr>
            <w:rStyle w:val="Hyperlink"/>
          </w:rPr>
          <w:t>req</w:t>
        </w:r>
        <w:r>
          <w:rPr>
            <w:rStyle w:val="Hyperlink"/>
          </w:rPr>
          <w:t>&amp;dir=&amp;</w:t>
        </w:r>
        <w:r w:rsidRPr="004832F9">
          <w:rPr>
            <w:rStyle w:val="Hyperlink"/>
          </w:rPr>
          <w:t>occ</w:t>
        </w:r>
        <w:r>
          <w:rPr>
            <w:rStyle w:val="Hyperlink"/>
          </w:rPr>
          <w:t>=</w:t>
        </w:r>
        <w:r w:rsidRPr="004832F9">
          <w:rPr>
            <w:rStyle w:val="Hyperlink"/>
          </w:rPr>
          <w:t>first</w:t>
        </w:r>
        <w:r>
          <w:rPr>
            <w:rStyle w:val="Hyperlink"/>
          </w:rPr>
          <w:t>&amp;</w:t>
        </w:r>
        <w:r w:rsidRPr="004832F9">
          <w:rPr>
            <w:rStyle w:val="Hyperlink"/>
          </w:rPr>
          <w:t>part</w:t>
        </w:r>
        <w:r>
          <w:rPr>
            <w:rStyle w:val="Hyperlink"/>
          </w:rPr>
          <w:t>=</w:t>
        </w:r>
        <w:r w:rsidRPr="004832F9">
          <w:rPr>
            <w:rStyle w:val="Hyperlink"/>
          </w:rPr>
          <w:t>1</w:t>
        </w:r>
      </w:hyperlink>
    </w:p>
  </w:footnote>
  <w:footnote w:id="54">
    <w:p w14:paraId="3B7CE741" w14:textId="66BBB496" w:rsidR="00463704" w:rsidRDefault="00463704">
      <w:pPr>
        <w:pStyle w:val="Funotentext"/>
      </w:pPr>
      <w:r>
        <w:rPr>
          <w:rStyle w:val="Funotenzeichen"/>
        </w:rPr>
        <w:footnoteRef/>
      </w:r>
      <w:r>
        <w:t xml:space="preserve"> </w:t>
      </w:r>
      <w:r w:rsidRPr="00463704">
        <w:t xml:space="preserve">EuGH, </w:t>
      </w:r>
      <w:r>
        <w:t>Urt. v. 2023-12-</w:t>
      </w:r>
      <w:r w:rsidRPr="00463704">
        <w:t>21</w:t>
      </w:r>
      <w:r>
        <w:t>, Az. </w:t>
      </w:r>
      <w:r w:rsidRPr="00463704">
        <w:t>C-667/21</w:t>
      </w:r>
      <w:r>
        <w:t>. Rn. 103.</w:t>
      </w:r>
      <w:r w:rsidRPr="00463704">
        <w:t xml:space="preserve"> </w:t>
      </w:r>
      <w:r w:rsidRPr="006F562E">
        <w:t>Online, zitiert am 2023-1</w:t>
      </w:r>
      <w:r>
        <w:t>2</w:t>
      </w:r>
      <w:r w:rsidRPr="006F562E">
        <w:t>-</w:t>
      </w:r>
      <w:r>
        <w:t>29</w:t>
      </w:r>
      <w:r w:rsidRPr="006F562E">
        <w:t>; verfügbar unter</w:t>
      </w:r>
      <w:r>
        <w:t xml:space="preserve"> </w:t>
      </w:r>
      <w:hyperlink r:id="rId61" w:history="1">
        <w:r w:rsidRPr="004832F9">
          <w:rPr>
            <w:rStyle w:val="Hyperlink"/>
          </w:rPr>
          <w:t>https://eur-lex.europa.eu/legal-content/de/TXT/?uri=CELEX:62021CJ0667</w:t>
        </w:r>
      </w:hyperlink>
    </w:p>
  </w:footnote>
  <w:footnote w:id="55">
    <w:p w14:paraId="2FEA44FD" w14:textId="02A689B9" w:rsidR="00AE4EA7" w:rsidRDefault="00000000">
      <w:pPr>
        <w:pStyle w:val="Funotentext"/>
      </w:pPr>
      <w:r>
        <w:rPr>
          <w:rStyle w:val="Funotenzeichen"/>
        </w:rPr>
        <w:footnoteRef/>
      </w:r>
      <w:r>
        <w:t xml:space="preserve"> Das Bundesverwaltungsgericht in </w:t>
      </w:r>
      <w:r w:rsidRPr="004C1658">
        <w:t>Österre</w:t>
      </w:r>
      <w:r w:rsidR="00FC7A5F">
        <w:t>ich</w:t>
      </w:r>
      <w:r>
        <w:t xml:space="preserve"> stellte fest, dass im Falle einer Gesamtrechtsnachfolge keine Weitergabe personenbezogener Daten an Dritte stattfindet und der Rechtsnachfolger das Recht zur Datenverwendung in jenem Umfang übernimmt, wie es bereits dem Rechtsvorgänger zustand. Bescheid v. 2023-08-22, AZ </w:t>
      </w:r>
      <w:r w:rsidRPr="004832F9">
        <w:t>W137</w:t>
      </w:r>
      <w:r>
        <w:t xml:space="preserve"> 2251172-1. </w:t>
      </w:r>
      <w:r w:rsidRPr="004832F9">
        <w:t>Online,</w:t>
      </w:r>
      <w:r>
        <w:t xml:space="preserve"> zitiert am </w:t>
      </w:r>
      <w:r w:rsidR="006B2B45">
        <w:t>2023-10</w:t>
      </w:r>
      <w:r>
        <w:t xml:space="preserve">-14; verfügbar unter </w:t>
      </w:r>
      <w:hyperlink r:id="rId62">
        <w:r>
          <w:rPr>
            <w:rStyle w:val="Internetverknpfung"/>
          </w:rPr>
          <w:t>https://www.ris.bka.gv.at/Dokument.wxe?Abfrage=Bvwg&amp;Entscheidungsart=Undefined&amp;SucheNachRechtssatz=True&amp;SucheNachText=True&amp;GZ=W137+2251172-1&amp;</w:t>
        </w:r>
        <w:r w:rsidRPr="004832F9">
          <w:rPr>
            <w:rStyle w:val="Internetverknpfung"/>
          </w:rPr>
          <w:t>VonDatum</w:t>
        </w:r>
        <w:r>
          <w:rPr>
            <w:rStyle w:val="Internetverknpfung"/>
          </w:rPr>
          <w:t>=01.01.2014&amp;</w:t>
        </w:r>
        <w:r w:rsidRPr="004832F9">
          <w:rPr>
            <w:rStyle w:val="Internetverknpfung"/>
          </w:rPr>
          <w:t>BisDatum</w:t>
        </w:r>
        <w:r>
          <w:rPr>
            <w:rStyle w:val="Internetverknpfung"/>
          </w:rPr>
          <w:t>=11.10.2023&amp;Norm=&amp;</w:t>
        </w:r>
        <w:r w:rsidRPr="004832F9">
          <w:rPr>
            <w:rStyle w:val="Internetverknpfung"/>
          </w:rPr>
          <w:t>ImRisSeitVonDatum</w:t>
        </w:r>
        <w:r>
          <w:rPr>
            <w:rStyle w:val="Internetverknpfung"/>
          </w:rPr>
          <w:t>=&amp;</w:t>
        </w:r>
        <w:r w:rsidRPr="004832F9">
          <w:rPr>
            <w:rStyle w:val="Internetverknpfung"/>
          </w:rPr>
          <w:t>ImRisSeitBisDatum</w:t>
        </w:r>
        <w:r>
          <w:rPr>
            <w:rStyle w:val="Internetverknpfung"/>
          </w:rPr>
          <w:t>=&amp;</w:t>
        </w:r>
        <w:r w:rsidRPr="004832F9">
          <w:rPr>
            <w:rStyle w:val="Internetverknpfung"/>
          </w:rPr>
          <w:t>ImRisSeit</w:t>
        </w:r>
        <w:r>
          <w:rPr>
            <w:rStyle w:val="Internetverknpfung"/>
          </w:rPr>
          <w:t>=</w:t>
        </w:r>
        <w:r w:rsidRPr="004832F9">
          <w:rPr>
            <w:rStyle w:val="Internetverknpfung"/>
          </w:rPr>
          <w:t>Undefined</w:t>
        </w:r>
        <w:r>
          <w:rPr>
            <w:rStyle w:val="Internetverknpfung"/>
          </w:rPr>
          <w:t>&amp;</w:t>
        </w:r>
        <w:r w:rsidRPr="004832F9">
          <w:rPr>
            <w:rStyle w:val="Internetverknpfung"/>
          </w:rPr>
          <w:t>ImRisSeitForRemotion</w:t>
        </w:r>
        <w:r>
          <w:rPr>
            <w:rStyle w:val="Internetverknpfung"/>
          </w:rPr>
          <w:t>=</w:t>
        </w:r>
        <w:r w:rsidRPr="004832F9">
          <w:rPr>
            <w:rStyle w:val="Internetverknpfung"/>
          </w:rPr>
          <w:t>Undefined</w:t>
        </w:r>
        <w:r>
          <w:rPr>
            <w:rStyle w:val="Internetverknpfung"/>
          </w:rPr>
          <w:t>&amp;</w:t>
        </w:r>
        <w:r w:rsidRPr="004832F9">
          <w:rPr>
            <w:rStyle w:val="Internetverknpfung"/>
          </w:rPr>
          <w:t>ResultPageSize</w:t>
        </w:r>
        <w:r>
          <w:rPr>
            <w:rStyle w:val="Internetverknpfung"/>
          </w:rPr>
          <w:t>=100&amp;Suchworte=&amp;Position=1&amp;</w:t>
        </w:r>
        <w:r w:rsidRPr="004832F9">
          <w:rPr>
            <w:rStyle w:val="Internetverknpfung"/>
          </w:rPr>
          <w:t>SkipToDocumentPage</w:t>
        </w:r>
        <w:r>
          <w:rPr>
            <w:rStyle w:val="Internetverknpfung"/>
          </w:rPr>
          <w:t>=</w:t>
        </w:r>
        <w:r w:rsidRPr="004832F9">
          <w:rPr>
            <w:rStyle w:val="Internetverknpfung"/>
          </w:rPr>
          <w:t>true</w:t>
        </w:r>
        <w:r>
          <w:rPr>
            <w:rStyle w:val="Internetverknpfung"/>
          </w:rPr>
          <w:t>&amp;</w:t>
        </w:r>
        <w:r w:rsidRPr="004832F9">
          <w:rPr>
            <w:rStyle w:val="Internetverknpfung"/>
          </w:rPr>
          <w:t>ResultFunctionToken</w:t>
        </w:r>
        <w:r>
          <w:rPr>
            <w:rStyle w:val="Internetverknpfung"/>
          </w:rPr>
          <w:t>=397</w:t>
        </w:r>
        <w:r w:rsidRPr="004832F9">
          <w:rPr>
            <w:rStyle w:val="Internetverknpfung"/>
          </w:rPr>
          <w:t>ad383-d665-4713-9559-ad2fb1d604bd</w:t>
        </w:r>
        <w:r>
          <w:rPr>
            <w:rStyle w:val="Internetverknpfung"/>
          </w:rPr>
          <w:t>&amp;Dokumentnummer=</w:t>
        </w:r>
        <w:r w:rsidRPr="004832F9">
          <w:rPr>
            <w:rStyle w:val="Internetverknpfung"/>
          </w:rPr>
          <w:t>BVWGT_20230822_W137_2251172_1_00</w:t>
        </w:r>
      </w:hyperlink>
    </w:p>
  </w:footnote>
  <w:footnote w:id="56">
    <w:p w14:paraId="56B0F447" w14:textId="332D7B55" w:rsidR="00450675" w:rsidRDefault="00450675">
      <w:pPr>
        <w:pStyle w:val="Funotentext"/>
      </w:pPr>
      <w:r>
        <w:rPr>
          <w:rStyle w:val="Funotenzeichen"/>
        </w:rPr>
        <w:footnoteRef/>
      </w:r>
      <w:r>
        <w:t xml:space="preserve"> </w:t>
      </w:r>
      <w:r w:rsidRPr="004832F9">
        <w:t>EU-U.S</w:t>
      </w:r>
      <w:r w:rsidRPr="00450675">
        <w:t xml:space="preserve">. Data </w:t>
      </w:r>
      <w:r w:rsidRPr="004832F9">
        <w:t>Privacy</w:t>
      </w:r>
      <w:r w:rsidRPr="00450675">
        <w:t xml:space="preserve"> Framework</w:t>
      </w:r>
      <w:r>
        <w:t xml:space="preserve">: </w:t>
      </w:r>
      <w:r w:rsidRPr="00450675">
        <w:t xml:space="preserve">5. Data </w:t>
      </w:r>
      <w:r w:rsidRPr="004832F9">
        <w:t>Integrity</w:t>
      </w:r>
      <w:r w:rsidRPr="00450675">
        <w:t xml:space="preserve"> </w:t>
      </w:r>
      <w:r w:rsidRPr="004832F9">
        <w:t>and</w:t>
      </w:r>
      <w:r w:rsidRPr="00450675">
        <w:t xml:space="preserve"> Purpose Limitation</w:t>
      </w:r>
      <w:r>
        <w:t xml:space="preserve">. Online, zitiert am </w:t>
      </w:r>
      <w:r w:rsidR="006B2B45">
        <w:t>2023-10</w:t>
      </w:r>
      <w:r>
        <w:t xml:space="preserve">-14; verfügbar unter </w:t>
      </w:r>
      <w:hyperlink r:id="rId63" w:history="1">
        <w:r w:rsidRPr="004832F9">
          <w:rPr>
            <w:rStyle w:val="Hyperlink"/>
          </w:rPr>
          <w:t>https://www.dataprivacyframework.gov/s/article/5-DATA-INTEGRITY-AND-PURPOSE-LIMITATION-dpf?tabset-35584=2</w:t>
        </w:r>
      </w:hyperlink>
    </w:p>
  </w:footnote>
  <w:footnote w:id="57">
    <w:p w14:paraId="38796246" w14:textId="0C96C456" w:rsidR="0030590C" w:rsidRDefault="0030590C">
      <w:pPr>
        <w:pStyle w:val="Funotentext"/>
      </w:pPr>
      <w:r>
        <w:rPr>
          <w:rStyle w:val="Funotenzeichen"/>
        </w:rPr>
        <w:footnoteRef/>
      </w:r>
      <w:r>
        <w:t xml:space="preserve"> Siehe auch </w:t>
      </w:r>
      <w:r w:rsidRPr="004832F9">
        <w:t>EU-U.S</w:t>
      </w:r>
      <w:r w:rsidRPr="00450675">
        <w:t xml:space="preserve">. Data </w:t>
      </w:r>
      <w:r w:rsidRPr="004832F9">
        <w:t>Privacy</w:t>
      </w:r>
      <w:r w:rsidRPr="00450675">
        <w:t xml:space="preserve"> Framework</w:t>
      </w:r>
      <w:r>
        <w:t>:</w:t>
      </w:r>
      <w:r w:rsidRPr="0030590C">
        <w:t xml:space="preserve"> 14. </w:t>
      </w:r>
      <w:r w:rsidRPr="004832F9">
        <w:t>Pharmaceutical</w:t>
      </w:r>
      <w:r w:rsidRPr="0030590C">
        <w:t xml:space="preserve"> </w:t>
      </w:r>
      <w:r w:rsidRPr="004832F9">
        <w:t>and</w:t>
      </w:r>
      <w:r w:rsidRPr="0030590C">
        <w:t xml:space="preserve"> </w:t>
      </w:r>
      <w:r w:rsidRPr="004832F9">
        <w:t>Medical</w:t>
      </w:r>
      <w:r w:rsidRPr="0030590C">
        <w:t xml:space="preserve"> Products</w:t>
      </w:r>
      <w:r>
        <w:t xml:space="preserve">. Online, zitiert am </w:t>
      </w:r>
      <w:r w:rsidR="006B2B45">
        <w:t>2023-10</w:t>
      </w:r>
      <w:r>
        <w:t xml:space="preserve">-14; verfügbar unter </w:t>
      </w:r>
      <w:hyperlink r:id="rId64" w:history="1">
        <w:r w:rsidRPr="004832F9">
          <w:rPr>
            <w:rStyle w:val="Hyperlink"/>
          </w:rPr>
          <w:t>https://www.dataprivacyframework.gov/s/article/14-Pharmaceutical-and-Medical-Products-dpf?tabset-35584=2</w:t>
        </w:r>
      </w:hyperlink>
    </w:p>
  </w:footnote>
  <w:footnote w:id="58">
    <w:p w14:paraId="49656325" w14:textId="14761DEE" w:rsidR="00AE4EA7" w:rsidRDefault="00000000">
      <w:pPr>
        <w:pStyle w:val="Funotentext"/>
      </w:pPr>
      <w:r>
        <w:rPr>
          <w:rStyle w:val="Funotenzeichen"/>
        </w:rPr>
        <w:footnoteRef/>
      </w:r>
      <w:r>
        <w:t xml:space="preserve"> Hinweise bzgl. des Vorgehens hierzu finden sich in der Praxishilfe „Datenschutz durch Technikgestaltung und durch datenschutzfreundliche Voreinstellungen (Art. 25 DS-GVO)“. Online, zitiert am </w:t>
      </w:r>
      <w:r w:rsidR="006B2B45">
        <w:t>2023-10</w:t>
      </w:r>
      <w:r>
        <w:t xml:space="preserve">-14; verfügbar unter </w:t>
      </w:r>
      <w:hyperlink r:id="rId65">
        <w:r w:rsidRPr="004832F9">
          <w:rPr>
            <w:rStyle w:val="Internetverknpfung"/>
          </w:rPr>
          <w:t>https://www.gesundheitsdatenschutz.org/html/privacy_design_default.php</w:t>
        </w:r>
      </w:hyperlink>
    </w:p>
  </w:footnote>
  <w:footnote w:id="59">
    <w:p w14:paraId="32FC6A97" w14:textId="6A56324F" w:rsidR="00AE4EA7" w:rsidRDefault="00000000">
      <w:pPr>
        <w:pStyle w:val="Funotentext"/>
      </w:pPr>
      <w:r>
        <w:rPr>
          <w:rStyle w:val="Funotenzeichen"/>
        </w:rPr>
        <w:footnoteRef/>
      </w:r>
      <w:r>
        <w:t xml:space="preserve"> Datenschutzkonferenz (</w:t>
      </w:r>
      <w:r w:rsidRPr="004832F9">
        <w:t>DSK</w:t>
      </w:r>
      <w:r>
        <w:t xml:space="preserve">): Liste von Verarbeitungsvorgängen nach Art. 35 Abs. 4 DS-GVO für den nicht-öffentlichen Bereich, Version 1.1. Online, zitiert am </w:t>
      </w:r>
      <w:r w:rsidR="006B2B45">
        <w:t>2023-10</w:t>
      </w:r>
      <w:r>
        <w:t xml:space="preserve">-14; verfügbar unter </w:t>
      </w:r>
      <w:hyperlink r:id="rId66">
        <w:r>
          <w:rPr>
            <w:rStyle w:val="Internetverknpfung"/>
          </w:rPr>
          <w:t>https://www.datenschutzkonferenz-online.de/anwendungshinweise.html</w:t>
        </w:r>
      </w:hyperlink>
      <w:r>
        <w:t xml:space="preserve"> bzw. </w:t>
      </w:r>
      <w:r w:rsidRPr="004832F9">
        <w:t>pdf-Datei</w:t>
      </w:r>
      <w:r>
        <w:t xml:space="preserve"> unter </w:t>
      </w:r>
      <w:hyperlink r:id="rId67">
        <w:r w:rsidRPr="004832F9">
          <w:rPr>
            <w:rStyle w:val="Internetverknpfung"/>
          </w:rPr>
          <w:t>https://www.datenschutzkonferenz-online.de/media/ah/20181017_ah_DSK_DSFA_Muss-Liste_Version_1.1_Deutsch.pdf</w:t>
        </w:r>
      </w:hyperlink>
    </w:p>
  </w:footnote>
  <w:footnote w:id="60">
    <w:p w14:paraId="4947053F" w14:textId="77777777" w:rsidR="00306A58" w:rsidRDefault="00306A58" w:rsidP="00306A58">
      <w:pPr>
        <w:pStyle w:val="Funotentext"/>
      </w:pPr>
      <w:r>
        <w:rPr>
          <w:rStyle w:val="Funotenzeichen"/>
        </w:rPr>
        <w:footnoteRef/>
      </w:r>
      <w:r>
        <w:t xml:space="preserve"> Hinweise bzgl. des Vorgehens hierzu finden sich in der Praxishilfe „Datenschutz-Folgenabschätzung gemäß Art. 35 DS-GVO“. Online, zitiert am 2023-10-14; verfügbar unter </w:t>
      </w:r>
      <w:hyperlink r:id="rId68">
        <w:r w:rsidRPr="004832F9">
          <w:rPr>
            <w:rStyle w:val="Internetverknpfung"/>
          </w:rPr>
          <w:t>https://www.gesundheitsdatenschutz.org/html/dsfa.php</w:t>
        </w:r>
      </w:hyperlink>
    </w:p>
  </w:footnote>
  <w:footnote w:id="61">
    <w:p w14:paraId="1891F7FB" w14:textId="597B3085" w:rsidR="00AE4EA7" w:rsidRDefault="00000000">
      <w:pPr>
        <w:pStyle w:val="Funotentext"/>
      </w:pPr>
      <w:r>
        <w:rPr>
          <w:rStyle w:val="Funotenzeichen"/>
        </w:rPr>
        <w:footnoteRef/>
      </w:r>
      <w:r>
        <w:t xml:space="preserve"> 27. Konferenz vom </w:t>
      </w:r>
      <w:r w:rsidRPr="004832F9">
        <w:t>14.</w:t>
      </w:r>
      <w:r>
        <w:t xml:space="preserve"> - 16. September 2005 in Montreux. Online, zitiert am </w:t>
      </w:r>
      <w:r w:rsidR="006B2B45">
        <w:t>2023-10</w:t>
      </w:r>
      <w:r>
        <w:t xml:space="preserve">-14; verfügbar unter </w:t>
      </w:r>
      <w:hyperlink r:id="rId69">
        <w:r w:rsidRPr="004832F9">
          <w:rPr>
            <w:rStyle w:val="Internetverknpfung"/>
          </w:rPr>
          <w:t>https://www.bfdi.bund.de/SharedDocs/Downloads/DE/GPA/2005_27GPA_MontreuxDSInGlobalisiertenWelt.html</w:t>
        </w:r>
      </w:hyperlink>
    </w:p>
  </w:footnote>
  <w:footnote w:id="62">
    <w:p w14:paraId="32E3097D" w14:textId="77777777" w:rsidR="00AE4EA7" w:rsidRDefault="00000000">
      <w:pPr>
        <w:pStyle w:val="Funotentext"/>
      </w:pPr>
      <w:r>
        <w:rPr>
          <w:rStyle w:val="Funotenzeichen"/>
        </w:rPr>
        <w:footnoteRef/>
      </w:r>
      <w:r>
        <w:t xml:space="preserve"> Siehe z. B.</w:t>
      </w:r>
    </w:p>
    <w:p w14:paraId="4AEFC7D1" w14:textId="77777777" w:rsidR="00AE4EA7" w:rsidRDefault="00000000">
      <w:pPr>
        <w:pStyle w:val="Funotentext"/>
        <w:numPr>
          <w:ilvl w:val="0"/>
          <w:numId w:val="21"/>
        </w:numPr>
      </w:pPr>
      <w:r>
        <w:rPr>
          <w:lang w:val="en-US"/>
        </w:rPr>
        <w:t xml:space="preserve">McGuire A, Gibbs RA (2006) No longer de-identified. </w:t>
      </w:r>
      <w:r>
        <w:t>Science 312: 370–371</w:t>
      </w:r>
    </w:p>
    <w:p w14:paraId="6BD17ABC" w14:textId="0D2653C0" w:rsidR="00AE4EA7" w:rsidRDefault="00000000">
      <w:pPr>
        <w:pStyle w:val="Funotentext"/>
        <w:numPr>
          <w:ilvl w:val="0"/>
          <w:numId w:val="21"/>
        </w:numPr>
        <w:ind w:left="709"/>
      </w:pPr>
      <w:r>
        <w:rPr>
          <w:lang w:val="en-US"/>
        </w:rPr>
        <w:t xml:space="preserve">El Emam K. (2011) Methods for the de-identication of electronic health records for genomic research. </w:t>
      </w:r>
      <w:r>
        <w:t xml:space="preserve">Genome Medicine 3:25. Online, zitiert am </w:t>
      </w:r>
      <w:r w:rsidR="006B2B45">
        <w:t>2023-10</w:t>
      </w:r>
      <w:r>
        <w:t xml:space="preserve">-14; verfügbar unter </w:t>
      </w:r>
      <w:hyperlink r:id="rId70">
        <w:r>
          <w:rPr>
            <w:rStyle w:val="Internetverknpfung"/>
          </w:rPr>
          <w:t>https://genomemedicine.biomedcentral.com/articles/10.1186/gm239</w:t>
        </w:r>
      </w:hyperlink>
    </w:p>
    <w:p w14:paraId="5E5E6805" w14:textId="4ED124BE" w:rsidR="00AE4EA7" w:rsidRDefault="00000000">
      <w:pPr>
        <w:pStyle w:val="Funotentext"/>
        <w:numPr>
          <w:ilvl w:val="0"/>
          <w:numId w:val="21"/>
        </w:numPr>
      </w:pPr>
      <w:r>
        <w:rPr>
          <w:lang w:val="en-US"/>
        </w:rPr>
        <w:t xml:space="preserve">El Emam K, Jonker E, Arbuckle L, Malin B (2011) A systematic review of re-identification attacks on health data. </w:t>
      </w:r>
      <w:r>
        <w:t xml:space="preserve">PLoS One 2011; 6: e28071. Online, zitiert am </w:t>
      </w:r>
      <w:r w:rsidR="006B2B45">
        <w:t>2023-10</w:t>
      </w:r>
      <w:r>
        <w:t xml:space="preserve">-14; verfügbar unter </w:t>
      </w:r>
      <w:hyperlink r:id="rId71">
        <w:r>
          <w:rPr>
            <w:rStyle w:val="Internetverknpfung"/>
          </w:rPr>
          <w:t>https://www.ncbi.nlm.nih.gov/pmc/articles/PMC3229505/</w:t>
        </w:r>
      </w:hyperlink>
    </w:p>
    <w:p w14:paraId="66C96D0B" w14:textId="77777777" w:rsidR="00AE4EA7" w:rsidRDefault="00000000">
      <w:pPr>
        <w:pStyle w:val="Funotentext"/>
        <w:numPr>
          <w:ilvl w:val="0"/>
          <w:numId w:val="21"/>
        </w:numPr>
      </w:pPr>
      <w:r>
        <w:rPr>
          <w:lang w:val="en-US"/>
        </w:rPr>
        <w:t xml:space="preserve">Gymrek M, McGuire AL, Golan D, Halperin E, Erlich Y (2013) Identifying personal genomes by surname inference. </w:t>
      </w:r>
      <w:r>
        <w:t>Science 339: 321–324</w:t>
      </w:r>
    </w:p>
    <w:p w14:paraId="55322129" w14:textId="019B5512" w:rsidR="00AE4EA7" w:rsidRDefault="00000000">
      <w:pPr>
        <w:pStyle w:val="Funotentext"/>
      </w:pPr>
      <w:r w:rsidRPr="004C1658">
        <w:rPr>
          <w:lang w:val="en-US"/>
        </w:rPr>
        <w:t xml:space="preserve">Diskussion des Themas z. B. Hansson et al. </w:t>
      </w:r>
      <w:r>
        <w:rPr>
          <w:lang w:val="en-US"/>
        </w:rPr>
        <w:t xml:space="preserve">(2016) The risk of re-identification versus the need to identify individuals in rare disease research. </w:t>
      </w:r>
      <w:r>
        <w:t xml:space="preserve">Eur J Hum Genet 24(11): 1553–1558. Online, zitiert am </w:t>
      </w:r>
      <w:r w:rsidR="006B2B45">
        <w:t>2023-10</w:t>
      </w:r>
      <w:r>
        <w:t xml:space="preserve">-14; verfügbar unter </w:t>
      </w:r>
      <w:hyperlink r:id="rId72">
        <w:r>
          <w:rPr>
            <w:rStyle w:val="Internetverknpfung"/>
          </w:rPr>
          <w:t>https://www.ncbi.nlm.nih.gov/pmc/articles/PMC5110051/</w:t>
        </w:r>
      </w:hyperlink>
    </w:p>
  </w:footnote>
  <w:footnote w:id="63">
    <w:p w14:paraId="0A95A2D9" w14:textId="3AC0AC17" w:rsidR="002846F8" w:rsidRDefault="002846F8">
      <w:pPr>
        <w:pStyle w:val="Funotentext"/>
      </w:pPr>
      <w:r>
        <w:rPr>
          <w:rStyle w:val="Funotenzeichen"/>
        </w:rPr>
        <w:footnoteRef/>
      </w:r>
      <w:r>
        <w:t xml:space="preserve"> </w:t>
      </w:r>
      <w:r w:rsidRPr="002846F8">
        <w:t xml:space="preserve">EuGH, </w:t>
      </w:r>
      <w:r w:rsidRPr="00AF2176">
        <w:t>Urt</w:t>
      </w:r>
      <w:r>
        <w:t>. </w:t>
      </w:r>
      <w:r w:rsidRPr="00AF2176">
        <w:t>v.</w:t>
      </w:r>
      <w:r>
        <w:t> </w:t>
      </w:r>
      <w:r w:rsidRPr="002846F8">
        <w:t>17.</w:t>
      </w:r>
      <w:r>
        <w:t xml:space="preserve"> Oktober </w:t>
      </w:r>
      <w:r w:rsidRPr="002846F8">
        <w:t>2013</w:t>
      </w:r>
      <w:r>
        <w:t>, Az.</w:t>
      </w:r>
      <w:r w:rsidRPr="002846F8">
        <w:t xml:space="preserve"> C-291/12</w:t>
      </w:r>
      <w:r>
        <w:t xml:space="preserve">, Rn. 27. </w:t>
      </w:r>
      <w:r w:rsidRPr="004832F9">
        <w:t>Online,</w:t>
      </w:r>
      <w:r>
        <w:t xml:space="preserve"> zitiert am 202</w:t>
      </w:r>
      <w:r w:rsidR="006B2B45">
        <w:t>3</w:t>
      </w:r>
      <w:r>
        <w:t xml:space="preserve">-11-01; verfügbar unter </w:t>
      </w:r>
      <w:r w:rsidRPr="002846F8">
        <w:t>https://dejure.org/2013</w:t>
      </w:r>
      <w:r w:rsidRPr="004832F9">
        <w:t>,27711</w:t>
      </w:r>
      <w:r>
        <w:t xml:space="preserve"> bzw. Volltext abrufbar unter </w:t>
      </w:r>
      <w:hyperlink r:id="rId73" w:history="1">
        <w:r>
          <w:rPr>
            <w:rStyle w:val="Hyperlink"/>
          </w:rPr>
          <w:t xml:space="preserve">https://curia.europa.eu/juris/document/ </w:t>
        </w:r>
        <w:r w:rsidRPr="004832F9">
          <w:rPr>
            <w:rStyle w:val="Hyperlink"/>
          </w:rPr>
          <w:t>document.jsf?text</w:t>
        </w:r>
        <w:r>
          <w:rPr>
            <w:rStyle w:val="Hyperlink"/>
          </w:rPr>
          <w:t>=&amp;</w:t>
        </w:r>
        <w:r w:rsidRPr="004832F9">
          <w:rPr>
            <w:rStyle w:val="Hyperlink"/>
          </w:rPr>
          <w:t>docid</w:t>
        </w:r>
        <w:r>
          <w:rPr>
            <w:rStyle w:val="Hyperlink"/>
          </w:rPr>
          <w:t>=143189&amp;</w:t>
        </w:r>
        <w:r w:rsidRPr="004832F9">
          <w:rPr>
            <w:rStyle w:val="Hyperlink"/>
          </w:rPr>
          <w:t>pageIndex</w:t>
        </w:r>
        <w:r>
          <w:rPr>
            <w:rStyle w:val="Hyperlink"/>
          </w:rPr>
          <w:t>=0&amp;</w:t>
        </w:r>
        <w:r w:rsidRPr="004832F9">
          <w:rPr>
            <w:rStyle w:val="Hyperlink"/>
          </w:rPr>
          <w:t>doclang</w:t>
        </w:r>
        <w:r>
          <w:rPr>
            <w:rStyle w:val="Hyperlink"/>
          </w:rPr>
          <w:t>=DE&amp;mode=</w:t>
        </w:r>
        <w:r w:rsidRPr="004832F9">
          <w:rPr>
            <w:rStyle w:val="Hyperlink"/>
          </w:rPr>
          <w:t>req</w:t>
        </w:r>
        <w:r>
          <w:rPr>
            <w:rStyle w:val="Hyperlink"/>
          </w:rPr>
          <w:t>&amp;dir=&amp;</w:t>
        </w:r>
        <w:r w:rsidRPr="004832F9">
          <w:rPr>
            <w:rStyle w:val="Hyperlink"/>
          </w:rPr>
          <w:t>occ</w:t>
        </w:r>
        <w:r>
          <w:rPr>
            <w:rStyle w:val="Hyperlink"/>
          </w:rPr>
          <w:t>=</w:t>
        </w:r>
        <w:r w:rsidRPr="004832F9">
          <w:rPr>
            <w:rStyle w:val="Hyperlink"/>
          </w:rPr>
          <w:t>first</w:t>
        </w:r>
        <w:r>
          <w:rPr>
            <w:rStyle w:val="Hyperlink"/>
          </w:rPr>
          <w:t>&amp;</w:t>
        </w:r>
        <w:r w:rsidRPr="004832F9">
          <w:rPr>
            <w:rStyle w:val="Hyperlink"/>
          </w:rPr>
          <w:t>part</w:t>
        </w:r>
        <w:r>
          <w:rPr>
            <w:rStyle w:val="Hyperlink"/>
          </w:rPr>
          <w:t>=</w:t>
        </w:r>
        <w:r w:rsidRPr="004832F9">
          <w:rPr>
            <w:rStyle w:val="Hyperlink"/>
          </w:rPr>
          <w:t>1</w:t>
        </w:r>
      </w:hyperlink>
    </w:p>
  </w:footnote>
  <w:footnote w:id="64">
    <w:p w14:paraId="49592C66" w14:textId="7EBAE1D3" w:rsidR="006F562E" w:rsidRDefault="006F562E">
      <w:pPr>
        <w:pStyle w:val="Funotentext"/>
      </w:pPr>
      <w:r>
        <w:rPr>
          <w:rStyle w:val="Funotenzeichen"/>
        </w:rPr>
        <w:footnoteRef/>
      </w:r>
      <w:r w:rsidRPr="008444FB">
        <w:rPr>
          <w:lang w:val="en-US"/>
        </w:rPr>
        <w:t xml:space="preserve"> So auch EDSA (2021-02-02) </w:t>
      </w:r>
      <w:r w:rsidRPr="006F562E">
        <w:rPr>
          <w:lang w:val="en-US"/>
        </w:rPr>
        <w:t>EDPB Document on response to the request from the European Commission for clarifications on the consistent application of the GDPR, focusing on health research</w:t>
      </w:r>
      <w:r w:rsidRPr="008444FB">
        <w:rPr>
          <w:lang w:val="en-US"/>
        </w:rPr>
        <w:t xml:space="preserve">. </w:t>
      </w:r>
      <w:r w:rsidRPr="006F562E">
        <w:t>Rn.</w:t>
      </w:r>
      <w:r>
        <w:t xml:space="preserve"> 50, 51. </w:t>
      </w:r>
      <w:r w:rsidRPr="006F562E">
        <w:t xml:space="preserve">Online, zitiert am 2023-11-22; verfügbar unter </w:t>
      </w:r>
      <w:hyperlink r:id="rId74" w:history="1">
        <w:r w:rsidRPr="00BD65F5">
          <w:rPr>
            <w:rStyle w:val="Hyperlink"/>
          </w:rPr>
          <w:t>https://edpb.europa.eu/our-work-tools/our-documents/other-guidance/edpb-document-response-request-european-commission_en</w:t>
        </w:r>
      </w:hyperlink>
    </w:p>
  </w:footnote>
  <w:footnote w:id="65">
    <w:p w14:paraId="600591EB" w14:textId="3E6B128F" w:rsidR="008A4C9B" w:rsidRDefault="008A4C9B">
      <w:pPr>
        <w:pStyle w:val="Funotentext"/>
      </w:pPr>
      <w:r>
        <w:rPr>
          <w:rStyle w:val="Funotenzeichen"/>
        </w:rPr>
        <w:footnoteRef/>
      </w:r>
      <w:r>
        <w:t xml:space="preserve"> In einer Studie wurde schon 2018 gezeigt, dass etwa</w:t>
      </w:r>
      <w:r w:rsidRPr="008A4C9B">
        <w:t xml:space="preserve"> 60</w:t>
      </w:r>
      <w:r>
        <w:t xml:space="preserve"> % </w:t>
      </w:r>
      <w:r w:rsidRPr="008A4C9B">
        <w:t xml:space="preserve">der weißen US-amerikanischen Bevölkerung durch eine DNA-Probe </w:t>
      </w:r>
      <w:r>
        <w:t xml:space="preserve">allein durch Nutzung von </w:t>
      </w:r>
      <w:r w:rsidRPr="004832F9">
        <w:t>in öffentlicher Ahnenforschungsdatenbanken</w:t>
      </w:r>
      <w:r>
        <w:t xml:space="preserve"> enthaltenen genetischen </w:t>
      </w:r>
      <w:r w:rsidR="004832F9" w:rsidRPr="004832F9">
        <w:t>D</w:t>
      </w:r>
      <w:r w:rsidRPr="004832F9">
        <w:t>aten</w:t>
      </w:r>
      <w:r>
        <w:t xml:space="preserve"> Verwandter </w:t>
      </w:r>
      <w:r w:rsidRPr="008A4C9B">
        <w:t>re-identifiziert werden könnten</w:t>
      </w:r>
      <w:r>
        <w:t>.</w:t>
      </w:r>
    </w:p>
    <w:p w14:paraId="15A6CF68" w14:textId="6EB2E4EF" w:rsidR="008A4C9B" w:rsidRDefault="008A4C9B">
      <w:pPr>
        <w:pStyle w:val="Funotentext"/>
      </w:pPr>
      <w:r>
        <w:t xml:space="preserve">Ehrlich et. </w:t>
      </w:r>
      <w:r w:rsidRPr="004832F9">
        <w:t>Al. (2018) Identity inference of genomic data using long-range familial searches. Science</w:t>
      </w:r>
      <w:r>
        <w:t xml:space="preserve"> 365(6415): 690-694. </w:t>
      </w:r>
      <w:hyperlink r:id="rId75" w:history="1">
        <w:r w:rsidRPr="0072203F">
          <w:rPr>
            <w:rStyle w:val="Hyperlink"/>
          </w:rPr>
          <w:t>https://doi.org/10.1126/</w:t>
        </w:r>
        <w:r w:rsidRPr="004832F9">
          <w:rPr>
            <w:rStyle w:val="Hyperlink"/>
          </w:rPr>
          <w:t>science.aau4832</w:t>
        </w:r>
      </w:hyperlink>
    </w:p>
  </w:footnote>
  <w:footnote w:id="66">
    <w:p w14:paraId="7F2F02B3" w14:textId="7223ECE4" w:rsidR="00AE4EA7" w:rsidRDefault="00000000">
      <w:pPr>
        <w:pStyle w:val="Funotentext"/>
      </w:pPr>
      <w:r>
        <w:rPr>
          <w:rStyle w:val="Funotenzeichen"/>
        </w:rPr>
        <w:footnoteRef/>
      </w:r>
      <w:r>
        <w:rPr>
          <w:lang w:val="en-US"/>
        </w:rPr>
        <w:t xml:space="preserve"> U.S. Government Publishing Service: H. Rept. 104-736 - HEALTH INSURANCE PORTABILITY AND ACCOUNTABILITY ACT OF 1996. </w:t>
      </w:r>
      <w:r>
        <w:t xml:space="preserve">Online, zitiert am </w:t>
      </w:r>
      <w:r w:rsidR="006B2B45">
        <w:t>2023-10</w:t>
      </w:r>
      <w:r>
        <w:t xml:space="preserve">-14; verfügbar unter </w:t>
      </w:r>
      <w:hyperlink r:id="rId76">
        <w:r>
          <w:rPr>
            <w:rStyle w:val="Internetverknpfung"/>
          </w:rPr>
          <w:t>https://www.gpo.gov/fdsys/search/pagedetails.action?granuleId=CRPT-104hrpt736&amp;packageId=CRPT-104hrpt736</w:t>
        </w:r>
      </w:hyperlink>
      <w:r>
        <w:t xml:space="preserve"> bzw. Zusammenfassung unter </w:t>
      </w:r>
      <w:hyperlink r:id="rId77">
        <w:r>
          <w:rPr>
            <w:rStyle w:val="Internetverknpfung"/>
          </w:rPr>
          <w:t>https://www.hhs.gov/hipaa/for-professionals/privacy/laws-regulations/index.html</w:t>
        </w:r>
      </w:hyperlink>
    </w:p>
  </w:footnote>
  <w:footnote w:id="67">
    <w:p w14:paraId="498780F1" w14:textId="081772E4" w:rsidR="00AE4EA7" w:rsidRDefault="00000000">
      <w:pPr>
        <w:pStyle w:val="Funotentext"/>
      </w:pPr>
      <w:r>
        <w:rPr>
          <w:rStyle w:val="Funotenzeichen"/>
        </w:rPr>
        <w:footnoteRef/>
      </w:r>
      <w:r>
        <w:rPr>
          <w:lang w:val="en-US"/>
        </w:rPr>
        <w:t xml:space="preserve"> §164.514 Other requirements relating to uses and disclosures of protected health information. </w:t>
      </w:r>
      <w:r>
        <w:t xml:space="preserve">Online, zitiert am </w:t>
      </w:r>
      <w:r w:rsidR="006B2B45">
        <w:t>2023-10</w:t>
      </w:r>
      <w:r>
        <w:t xml:space="preserve">-14; verfügbar unter </w:t>
      </w:r>
      <w:hyperlink r:id="rId78">
        <w:r>
          <w:rPr>
            <w:rStyle w:val="Internetverknpfung"/>
          </w:rPr>
          <w:t>http://www.hipaasurvivalguide.com/hipaa-regulations/164-514.php</w:t>
        </w:r>
      </w:hyperlink>
    </w:p>
  </w:footnote>
  <w:footnote w:id="68">
    <w:p w14:paraId="6E6A7763" w14:textId="142C7267" w:rsidR="00AE4EA7" w:rsidRDefault="00000000">
      <w:pPr>
        <w:pStyle w:val="Funotentext"/>
      </w:pPr>
      <w:r>
        <w:rPr>
          <w:rStyle w:val="Funotenzeichen"/>
        </w:rPr>
        <w:footnoteRef/>
      </w:r>
      <w:r>
        <w:rPr>
          <w:lang w:val="en-US"/>
        </w:rPr>
        <w:t xml:space="preserve"> U.S. Department of Health &amp; Human Services: Guidance Regarding Methods for De-identification of Protected Health Information in Accordance with the Health Insurance Portability and Accountability Act (HIPAA) Privacy Rule. </w:t>
      </w:r>
      <w:r>
        <w:t xml:space="preserve">Online, zitiert am </w:t>
      </w:r>
      <w:r w:rsidR="006B2B45">
        <w:t>2023-10</w:t>
      </w:r>
      <w:r>
        <w:t xml:space="preserve">-14; verfügbar unter </w:t>
      </w:r>
      <w:hyperlink r:id="rId79">
        <w:r>
          <w:rPr>
            <w:rStyle w:val="Internetverknpfung"/>
          </w:rPr>
          <w:t>https://www.hhs.gov/hipaa/for-professionals/privacy/special-topics/de-identification/index.html</w:t>
        </w:r>
      </w:hyperlink>
    </w:p>
  </w:footnote>
  <w:footnote w:id="69">
    <w:p w14:paraId="064A37FD" w14:textId="0FDE1D4A" w:rsidR="002559E5" w:rsidRDefault="002559E5">
      <w:pPr>
        <w:pStyle w:val="Funotentext"/>
      </w:pPr>
      <w:r>
        <w:rPr>
          <w:rStyle w:val="Funotenzeichen"/>
        </w:rPr>
        <w:footnoteRef/>
      </w:r>
      <w:r>
        <w:t xml:space="preserve"> </w:t>
      </w:r>
      <w:r w:rsidRPr="00B544F6">
        <w:t>Artikel-29-Datenschutzgruppe</w:t>
      </w:r>
      <w:r>
        <w:t xml:space="preserve"> (2014) </w:t>
      </w:r>
      <w:r w:rsidRPr="00B544F6">
        <w:t>Stellungnahme 5/2014 zu Anonymisierungstechniken</w:t>
      </w:r>
      <w:r>
        <w:t>. S. 26. Online, zitiert am 202</w:t>
      </w:r>
      <w:r w:rsidR="006D5146">
        <w:t>3</w:t>
      </w:r>
      <w:r>
        <w:t>-1</w:t>
      </w:r>
      <w:r w:rsidR="000F0600">
        <w:t>0</w:t>
      </w:r>
      <w:r>
        <w:t>-</w:t>
      </w:r>
      <w:r w:rsidR="000F0600">
        <w:t>14</w:t>
      </w:r>
      <w:r>
        <w:t xml:space="preserve">; verfügbar unter </w:t>
      </w:r>
      <w:hyperlink r:id="rId80" w:anchor="maincontentSec4" w:history="1">
        <w:r w:rsidRPr="004832F9">
          <w:rPr>
            <w:rStyle w:val="Hyperlink"/>
          </w:rPr>
          <w:t>https://ec.europa.eu/justice/article-29/documentation/opinion-recommendation/index_en.htm#maincontentSec4</w:t>
        </w:r>
      </w:hyperlink>
    </w:p>
  </w:footnote>
  <w:footnote w:id="70">
    <w:p w14:paraId="75A2E6D9" w14:textId="5624FB60" w:rsidR="000F0600" w:rsidRDefault="000F0600">
      <w:pPr>
        <w:pStyle w:val="Funotentext"/>
      </w:pPr>
      <w:r>
        <w:rPr>
          <w:rStyle w:val="Funotenzeichen"/>
        </w:rPr>
        <w:footnoteRef/>
      </w:r>
      <w:r>
        <w:t xml:space="preserve"> </w:t>
      </w:r>
      <w:r w:rsidRPr="000F0600">
        <w:t>Datenstrategie der Bundesregierung</w:t>
      </w:r>
      <w:r>
        <w:t>, S. 110. (2021)</w:t>
      </w:r>
      <w:r w:rsidR="0072629C">
        <w:t>.</w:t>
      </w:r>
      <w:r>
        <w:t xml:space="preserve"> Online, zitiert am 2023-11-14; verfügbar unter </w:t>
      </w:r>
      <w:hyperlink r:id="rId81" w:history="1">
        <w:r w:rsidRPr="00CE0809">
          <w:rPr>
            <w:rStyle w:val="Hyperlink"/>
          </w:rPr>
          <w:t>https://www.bundesregierung.de/breg-de/suche/datenstrategie-der-bundesregierung-1845632</w:t>
        </w:r>
      </w:hyperlink>
      <w:r>
        <w:t xml:space="preserve"> bzw. </w:t>
      </w:r>
      <w:r w:rsidRPr="004832F9">
        <w:t>pdf</w:t>
      </w:r>
      <w:r>
        <w:t xml:space="preserve"> unter </w:t>
      </w:r>
      <w:hyperlink r:id="rId82" w:history="1">
        <w:r w:rsidRPr="004832F9">
          <w:rPr>
            <w:rStyle w:val="Hyperlink"/>
          </w:rPr>
          <w:t>https://dserver.bundestag.de/btd/20/082/2008260.pdf</w:t>
        </w:r>
      </w:hyperlink>
    </w:p>
  </w:footnote>
  <w:footnote w:id="71">
    <w:p w14:paraId="17E8A0F1" w14:textId="2C44AA3D" w:rsidR="00D1441A" w:rsidRDefault="00D1441A">
      <w:pPr>
        <w:pStyle w:val="Funotentext"/>
      </w:pPr>
      <w:r>
        <w:rPr>
          <w:rStyle w:val="Funotenzeichen"/>
        </w:rPr>
        <w:footnoteRef/>
      </w:r>
      <w:r>
        <w:t xml:space="preserve"> Die Originaldateien müssen tatsächlich gelöscht sein, d. h. es dürfen somit natürlich auch keine </w:t>
      </w:r>
      <w:r w:rsidRPr="004832F9">
        <w:t>Backup-Dateien</w:t>
      </w:r>
      <w:r>
        <w:t xml:space="preserve"> noch vorhanden sein, die eine Re-Identifikation ermöglichen würde. Entsprechendes muss in einem Löschkonzept beachtet werden. Siehe auch „</w:t>
      </w:r>
      <w:r w:rsidRPr="00D1441A">
        <w:t>Leitfaden für die Erstellung von Löschkonzepten im Gesundheitswesen</w:t>
      </w:r>
      <w:r>
        <w:t xml:space="preserve">“ (Stand 2020-06-20) Online, zitiert am 2023-11-22; verfügbar unter </w:t>
      </w:r>
      <w:hyperlink r:id="rId83" w:history="1">
        <w:r w:rsidRPr="007B446A">
          <w:rPr>
            <w:rStyle w:val="Hyperlink"/>
          </w:rPr>
          <w:t>https://gesundheitsdatenschutz.org/html/loeschkonzept</w:t>
        </w:r>
        <w:r w:rsidRPr="004832F9">
          <w:rPr>
            <w:rStyle w:val="Hyperlink"/>
          </w:rPr>
          <w:t>.php</w:t>
        </w:r>
      </w:hyperlink>
    </w:p>
  </w:footnote>
  <w:footnote w:id="72">
    <w:p w14:paraId="0CDE02CC" w14:textId="2FE1C3D8" w:rsidR="00E52C2F" w:rsidRDefault="00E52C2F">
      <w:pPr>
        <w:pStyle w:val="Funotentext"/>
      </w:pPr>
      <w:r>
        <w:rPr>
          <w:rStyle w:val="Funotenzeichen"/>
        </w:rPr>
        <w:footnoteRef/>
      </w:r>
      <w:r>
        <w:t xml:space="preserve"> Zu beachten: Seit </w:t>
      </w:r>
      <w:r w:rsidRPr="00E52C2F">
        <w:t>Januar 2022 gilt</w:t>
      </w:r>
      <w:r>
        <w:t xml:space="preserve"> die Verordnung </w:t>
      </w:r>
      <w:r w:rsidRPr="00E52C2F">
        <w:t>EU) 536/2014</w:t>
      </w:r>
      <w:r>
        <w:t xml:space="preserve"> </w:t>
      </w:r>
      <w:r w:rsidRPr="00E52C2F">
        <w:t>über klinische Prüfungen mit Humanarzneimitteln</w:t>
      </w:r>
      <w:r>
        <w:t xml:space="preserve"> (</w:t>
      </w:r>
      <w:hyperlink r:id="rId84" w:history="1">
        <w:r w:rsidRPr="00C14630">
          <w:rPr>
            <w:rStyle w:val="Hyperlink"/>
          </w:rPr>
          <w:t>https://eur-lex.europa.eu/legal-content/DE/TXT/?uri=CELEX%3A32014R0536</w:t>
        </w:r>
      </w:hyperlink>
      <w:r>
        <w:t>), Art. 75 VO 536/2014 sieht ein Co-Sponsoring vor. Hier gilt die Pflicht zur Pseudonymisierung gegenüber allen Sponsoren.</w:t>
      </w:r>
    </w:p>
  </w:footnote>
  <w:footnote w:id="73">
    <w:p w14:paraId="07CC5157" w14:textId="53702FF2" w:rsidR="006D5146" w:rsidRDefault="006D5146">
      <w:pPr>
        <w:pStyle w:val="Funotentext"/>
      </w:pPr>
      <w:r>
        <w:rPr>
          <w:rStyle w:val="Funotenzeichen"/>
        </w:rPr>
        <w:footnoteRef/>
      </w:r>
      <w:r>
        <w:t xml:space="preserve"> </w:t>
      </w:r>
      <w:r w:rsidRPr="006D5146">
        <w:t>Verordnung (EU) Nr. 536/2014 des Europäischen Parlaments und des Rates vom 16. April 2014 über klinische Prüfungen mit Humanarzneimitteln und zur Aufhebung der Richtlinie 2001/20/EG Text von Bedeutung für den EWR</w:t>
      </w:r>
      <w:r>
        <w:t>, Art. 81 „</w:t>
      </w:r>
      <w:r w:rsidRPr="006D5146">
        <w:t>EU-Datenbank</w:t>
      </w:r>
      <w:r>
        <w:t xml:space="preserve">“. Online, zitiert am 2023-11-14; verfügbar unter </w:t>
      </w:r>
      <w:hyperlink r:id="rId85" w:anchor="d1e4039-1-1" w:history="1">
        <w:r w:rsidRPr="004832F9">
          <w:rPr>
            <w:rStyle w:val="Hyperlink"/>
          </w:rPr>
          <w:t>https://eur-lex.europa.eu/legal-content/DE/TXT/HTML/?uri=CELEX:32014R0536#d1e4039-1-1</w:t>
        </w:r>
      </w:hyperlink>
    </w:p>
  </w:footnote>
  <w:footnote w:id="74">
    <w:p w14:paraId="563B3766" w14:textId="381C0609" w:rsidR="006B5E64" w:rsidRDefault="006B5E64">
      <w:pPr>
        <w:pStyle w:val="Funotentext"/>
      </w:pPr>
      <w:r>
        <w:rPr>
          <w:rStyle w:val="Funotenzeichen"/>
        </w:rPr>
        <w:footnoteRef/>
      </w:r>
      <w:r>
        <w:t xml:space="preserve"> </w:t>
      </w:r>
      <w:r w:rsidRPr="006B5E64">
        <w:t xml:space="preserve">§ 27 Abs. 3 BDSG schreibt für wissenschaftliche oder historische Forschungszwecke eine Anonymisierung </w:t>
      </w:r>
      <w:r>
        <w:t xml:space="preserve">bzw., falls eine Anonymisierung nicht möglich ist, Pseudonymisierung </w:t>
      </w:r>
      <w:r w:rsidRPr="006B5E64">
        <w:t>zwingend vor</w:t>
      </w:r>
      <w:r>
        <w:t xml:space="preserve">, daher ist schon bei Erhebung der Daten entsprechend </w:t>
      </w:r>
      <w:r w:rsidRPr="004832F9">
        <w:t>vorzugehen</w:t>
      </w:r>
      <w:r w:rsidR="004832F9">
        <w:rPr>
          <w:shd w:val="clear" w:color="auto" w:fill="95B6CB"/>
        </w:rPr>
        <w:t>.</w:t>
      </w:r>
    </w:p>
  </w:footnote>
  <w:footnote w:id="75">
    <w:p w14:paraId="246F3FD5" w14:textId="2739448B" w:rsidR="002559E5" w:rsidRDefault="002559E5">
      <w:pPr>
        <w:pStyle w:val="Funotentext"/>
      </w:pPr>
      <w:r>
        <w:rPr>
          <w:rStyle w:val="Funotenzeichen"/>
        </w:rPr>
        <w:footnoteRef/>
      </w:r>
      <w:r>
        <w:t xml:space="preserve"> </w:t>
      </w:r>
      <w:r w:rsidRPr="002559E5">
        <w:t>Artikel-29-Datenschutzgruppe. WP 136 „Stellungnahme 4/2007 zum Begriff 'personenbezogene Daten'“</w:t>
      </w:r>
      <w:r>
        <w:t>, S. 21</w:t>
      </w:r>
      <w:r w:rsidRPr="002559E5">
        <w:t>. Online, zitiert am 202</w:t>
      </w:r>
      <w:r w:rsidR="006B2B45">
        <w:t>3</w:t>
      </w:r>
      <w:r w:rsidRPr="002559E5">
        <w:t>-1</w:t>
      </w:r>
      <w:r>
        <w:t>1</w:t>
      </w:r>
      <w:r w:rsidRPr="002559E5">
        <w:t>-</w:t>
      </w:r>
      <w:r>
        <w:t>02</w:t>
      </w:r>
      <w:r w:rsidRPr="002559E5">
        <w:t xml:space="preserve">; verfügbar unter http://ec.europa.eu/justice/article-29/documentation/opinion-recommen </w:t>
      </w:r>
      <w:r w:rsidRPr="004832F9">
        <w:t>dation</w:t>
      </w:r>
      <w:r w:rsidRPr="002559E5">
        <w:t>/</w:t>
      </w:r>
      <w:r w:rsidRPr="004832F9">
        <w:t>files</w:t>
      </w:r>
      <w:r w:rsidRPr="002559E5">
        <w:t>/2007/</w:t>
      </w:r>
      <w:r w:rsidRPr="004832F9">
        <w:t>wp136_en.pdf</w:t>
      </w:r>
    </w:p>
  </w:footnote>
  <w:footnote w:id="76">
    <w:p w14:paraId="2E98E36B" w14:textId="6E762BF2" w:rsidR="002559E5" w:rsidRDefault="002559E5">
      <w:pPr>
        <w:pStyle w:val="Funotentext"/>
      </w:pPr>
      <w:r>
        <w:rPr>
          <w:rStyle w:val="Funotenzeichen"/>
        </w:rPr>
        <w:footnoteRef/>
      </w:r>
      <w:r>
        <w:t xml:space="preserve"> </w:t>
      </w:r>
      <w:r w:rsidRPr="002559E5">
        <w:t xml:space="preserve">Der </w:t>
      </w:r>
      <w:r w:rsidRPr="004832F9">
        <w:t>Bayerische</w:t>
      </w:r>
      <w:r w:rsidRPr="002559E5">
        <w:t xml:space="preserve"> Landesbeauftragte für den Datenschutz</w:t>
      </w:r>
      <w:r>
        <w:t xml:space="preserve">: </w:t>
      </w:r>
      <w:r w:rsidRPr="002559E5">
        <w:t xml:space="preserve">Arbeitspapier </w:t>
      </w:r>
      <w:r>
        <w:t>„</w:t>
      </w:r>
      <w:r w:rsidRPr="002559E5">
        <w:t>Datenschutzfreundliche Technologien</w:t>
      </w:r>
      <w:r>
        <w:t>“, Abschnitt „</w:t>
      </w:r>
      <w:r w:rsidRPr="002559E5">
        <w:t>Anonymisierung</w:t>
      </w:r>
      <w:r>
        <w:t xml:space="preserve">“. </w:t>
      </w:r>
      <w:r w:rsidRPr="002559E5">
        <w:t>Online, zitiert am 202</w:t>
      </w:r>
      <w:r w:rsidR="006B2B45">
        <w:t>3</w:t>
      </w:r>
      <w:r w:rsidRPr="002559E5">
        <w:t>-1</w:t>
      </w:r>
      <w:r>
        <w:t>1</w:t>
      </w:r>
      <w:r w:rsidRPr="002559E5">
        <w:t>-</w:t>
      </w:r>
      <w:r>
        <w:t>02</w:t>
      </w:r>
      <w:r w:rsidRPr="002559E5">
        <w:t>; verfügbar unter</w:t>
      </w:r>
      <w:r>
        <w:t xml:space="preserve"> </w:t>
      </w:r>
      <w:hyperlink r:id="rId86" w:anchor="nr4" w:history="1">
        <w:r w:rsidRPr="004832F9">
          <w:rPr>
            <w:rStyle w:val="Hyperlink"/>
          </w:rPr>
          <w:t>https://www.datenschutz-bayern.de/technik/grundsatz/apdsft.htm#nr4</w:t>
        </w:r>
      </w:hyperlink>
    </w:p>
  </w:footnote>
  <w:footnote w:id="77">
    <w:p w14:paraId="3F5843BA" w14:textId="5805F8AD" w:rsidR="002559E5" w:rsidRDefault="002559E5">
      <w:pPr>
        <w:pStyle w:val="Funotentext"/>
      </w:pPr>
      <w:r>
        <w:rPr>
          <w:rStyle w:val="Funotenzeichen"/>
        </w:rPr>
        <w:footnoteRef/>
      </w:r>
      <w:r>
        <w:t xml:space="preserve"> So </w:t>
      </w:r>
      <w:r w:rsidRPr="004832F9">
        <w:t>z.</w:t>
      </w:r>
      <w:r w:rsidR="004832F9" w:rsidRPr="004832F9">
        <w:t> </w:t>
      </w:r>
      <w:r w:rsidRPr="004832F9">
        <w:t>B.</w:t>
      </w:r>
      <w:r>
        <w:t xml:space="preserve"> im „</w:t>
      </w:r>
      <w:r w:rsidRPr="002559E5">
        <w:t>Whitepaper zur Pseudonymisierung der Fokusgruppe Datenschutz der Plattform Sicherheit, Schutz und Vertrauen für Gesellschaft und Wirtschaft im Rahmen des Digital-Gipfels 2017</w:t>
      </w:r>
      <w:r>
        <w:t>“, S. 19 Kapitel „</w:t>
      </w:r>
      <w:r w:rsidRPr="002559E5">
        <w:t>4.2.1. Verfügbarkeitsanforderungen</w:t>
      </w:r>
      <w:r>
        <w:t>“.</w:t>
      </w:r>
      <w:r w:rsidRPr="002559E5">
        <w:t xml:space="preserve"> </w:t>
      </w:r>
      <w:r w:rsidRPr="004832F9">
        <w:t>Online,</w:t>
      </w:r>
      <w:r w:rsidRPr="002559E5">
        <w:t xml:space="preserve"> zitiert am 202</w:t>
      </w:r>
      <w:r w:rsidR="006B2B45">
        <w:t>3</w:t>
      </w:r>
      <w:r w:rsidRPr="002559E5">
        <w:t>-1</w:t>
      </w:r>
      <w:r>
        <w:t>1</w:t>
      </w:r>
      <w:r w:rsidRPr="002559E5">
        <w:t>-</w:t>
      </w:r>
      <w:r>
        <w:t>02</w:t>
      </w:r>
      <w:r w:rsidRPr="002559E5">
        <w:t>; verfügbar unter</w:t>
      </w:r>
      <w:r>
        <w:t xml:space="preserve"> </w:t>
      </w:r>
      <w:hyperlink r:id="rId87" w:history="1">
        <w:r>
          <w:rPr>
            <w:rStyle w:val="Hyperlink"/>
          </w:rPr>
          <w:t xml:space="preserve">https://www.bmi.bund.de/ </w:t>
        </w:r>
        <w:r w:rsidRPr="004832F9">
          <w:rPr>
            <w:rStyle w:val="Hyperlink"/>
          </w:rPr>
          <w:t>SharedDocs</w:t>
        </w:r>
        <w:r>
          <w:rPr>
            <w:rStyle w:val="Hyperlink"/>
          </w:rPr>
          <w:t>/</w:t>
        </w:r>
        <w:r w:rsidRPr="004832F9">
          <w:rPr>
            <w:rStyle w:val="Hyperlink"/>
          </w:rPr>
          <w:t>downloads</w:t>
        </w:r>
        <w:r>
          <w:rPr>
            <w:rStyle w:val="Hyperlink"/>
          </w:rPr>
          <w:t>/DE/</w:t>
        </w:r>
        <w:r w:rsidRPr="004832F9">
          <w:rPr>
            <w:rStyle w:val="Hyperlink"/>
          </w:rPr>
          <w:t>veroeffentlichungen</w:t>
        </w:r>
        <w:r>
          <w:rPr>
            <w:rStyle w:val="Hyperlink"/>
          </w:rPr>
          <w:t>/2017/</w:t>
        </w:r>
        <w:r w:rsidRPr="004832F9">
          <w:rPr>
            <w:rStyle w:val="Hyperlink"/>
          </w:rPr>
          <w:t>digital-gipfel-kurzfassung-one-pager-fokusgruppe.pdf</w:t>
        </w:r>
        <w:r>
          <w:rPr>
            <w:rStyle w:val="Hyperlink"/>
          </w:rPr>
          <w:t xml:space="preserve">? </w:t>
        </w:r>
        <w:r w:rsidRPr="004832F9">
          <w:rPr>
            <w:rStyle w:val="Hyperlink"/>
          </w:rPr>
          <w:t>__blob</w:t>
        </w:r>
        <w:r>
          <w:rPr>
            <w:rStyle w:val="Hyperlink"/>
          </w:rPr>
          <w:t>=</w:t>
        </w:r>
        <w:r w:rsidRPr="004832F9">
          <w:rPr>
            <w:rStyle w:val="Hyperlink"/>
          </w:rPr>
          <w:t>publicationFile</w:t>
        </w:r>
        <w:r>
          <w:rPr>
            <w:rStyle w:val="Hyperlink"/>
          </w:rPr>
          <w:t>&amp;v=3</w:t>
        </w:r>
      </w:hyperlink>
    </w:p>
  </w:footnote>
  <w:footnote w:id="78">
    <w:p w14:paraId="225690DB" w14:textId="39068BCD" w:rsidR="0007457B" w:rsidRDefault="0007457B">
      <w:pPr>
        <w:pStyle w:val="Funotentext"/>
      </w:pPr>
      <w:r>
        <w:rPr>
          <w:rStyle w:val="Funotenzeichen"/>
        </w:rPr>
        <w:footnoteRef/>
      </w:r>
      <w:r>
        <w:t xml:space="preserve"> Deutsche Krebsgesellschaft: </w:t>
      </w:r>
      <w:r w:rsidRPr="0007457B">
        <w:t>Brustkrebs bei Männern</w:t>
      </w:r>
      <w:r>
        <w:t xml:space="preserve">, Stand 2022-06-01. </w:t>
      </w:r>
      <w:r w:rsidRPr="00AF2176">
        <w:t>Online,</w:t>
      </w:r>
      <w:r w:rsidRPr="002559E5">
        <w:t xml:space="preserve"> zitiert am 202</w:t>
      </w:r>
      <w:r>
        <w:t>3</w:t>
      </w:r>
      <w:r w:rsidRPr="002559E5">
        <w:t>-1</w:t>
      </w:r>
      <w:r>
        <w:t>1</w:t>
      </w:r>
      <w:r w:rsidRPr="002559E5">
        <w:t>-</w:t>
      </w:r>
      <w:r>
        <w:t>22</w:t>
      </w:r>
      <w:r w:rsidRPr="002559E5">
        <w:t>; verfügbar unter</w:t>
      </w:r>
      <w:r>
        <w:t xml:space="preserve"> </w:t>
      </w:r>
      <w:r w:rsidRPr="004832F9">
        <w:t>https://www.krebsgesellschaft.de/onko-internetportal/basis-informationen-krebs/krebsarten/brustkrebs/brustkrebs-bei-maennern.html</w:t>
      </w:r>
    </w:p>
  </w:footnote>
  <w:footnote w:id="79">
    <w:p w14:paraId="7780E8F6" w14:textId="39AD9FB5" w:rsidR="00D37709" w:rsidRDefault="00D37709" w:rsidP="00D37709">
      <w:pPr>
        <w:pStyle w:val="Funotentext"/>
      </w:pPr>
      <w:r>
        <w:rPr>
          <w:rStyle w:val="Funotenzeichen"/>
        </w:rPr>
        <w:footnoteRef/>
      </w:r>
      <w:r>
        <w:t xml:space="preserve"> </w:t>
      </w:r>
      <w:r w:rsidRPr="00D37709">
        <w:t xml:space="preserve">Hansson et al. (2016) The risk of re-identification versus the need to identify individuals in rare disease research. Eur J Hum Genet 24(11): 1553–1558. Online, zitiert am 2023-10-14; verfügbar unter </w:t>
      </w:r>
      <w:hyperlink r:id="rId88" w:history="1">
        <w:r w:rsidRPr="00B96755">
          <w:rPr>
            <w:rStyle w:val="Hyperlink"/>
          </w:rPr>
          <w:t>https://www.ncbi.nlm.nih.gov/pmc/articles/PMC5110051/</w:t>
        </w:r>
      </w:hyperlink>
    </w:p>
  </w:footnote>
  <w:footnote w:id="80">
    <w:p w14:paraId="3A20FFCD" w14:textId="15E472A7" w:rsidR="00383094" w:rsidRDefault="00383094">
      <w:pPr>
        <w:pStyle w:val="Funotentext"/>
      </w:pPr>
      <w:r>
        <w:rPr>
          <w:rStyle w:val="Funotenzeichen"/>
        </w:rPr>
        <w:footnoteRef/>
      </w:r>
      <w:r>
        <w:t xml:space="preserve"> </w:t>
      </w:r>
      <w:r w:rsidRPr="004832F9">
        <w:t xml:space="preserve">Z. B.: Jadhav PS, Borkar GM (2023) Quasi-identifier recognition with echo chamber optimization-based anonymization for privacy preservation of cloud storage. Concurrency Computat Pract Exper. </w:t>
      </w:r>
      <w:r w:rsidRPr="00383094">
        <w:t>2023</w:t>
      </w:r>
      <w:r w:rsidRPr="004832F9">
        <w:t>;e7906</w:t>
      </w:r>
      <w:r w:rsidRPr="00383094">
        <w:t>. https://doi.org/10.1002/</w:t>
      </w:r>
      <w:r w:rsidRPr="004832F9">
        <w:t>cpe.7906</w:t>
      </w:r>
    </w:p>
  </w:footnote>
  <w:footnote w:id="81">
    <w:p w14:paraId="791487DE" w14:textId="6CBDF94C" w:rsidR="00047FFE" w:rsidRDefault="00047FFE" w:rsidP="00047FFE">
      <w:pPr>
        <w:pStyle w:val="Funotentext"/>
        <w:jc w:val="left"/>
      </w:pPr>
      <w:r>
        <w:rPr>
          <w:rStyle w:val="Funotenzeichen"/>
        </w:rPr>
        <w:footnoteRef/>
      </w:r>
      <w:r>
        <w:t xml:space="preserve"> Eine Einführung in das Thema „</w:t>
      </w:r>
      <w:r w:rsidRPr="004832F9">
        <w:t>Kryptographie</w:t>
      </w:r>
      <w:r>
        <w:t xml:space="preserve">“ findet man </w:t>
      </w:r>
      <w:r w:rsidRPr="004832F9">
        <w:t>z.</w:t>
      </w:r>
      <w:r w:rsidR="004832F9" w:rsidRPr="004832F9">
        <w:t> </w:t>
      </w:r>
      <w:r w:rsidRPr="004832F9">
        <w:t>B.</w:t>
      </w:r>
      <w:r>
        <w:t xml:space="preserve"> im Buch: </w:t>
      </w:r>
      <w:r w:rsidRPr="004832F9">
        <w:t>Ertel</w:t>
      </w:r>
      <w:r>
        <w:t xml:space="preserve"> W, </w:t>
      </w:r>
      <w:r w:rsidRPr="004832F9">
        <w:t>Löhmann</w:t>
      </w:r>
      <w:r>
        <w:t xml:space="preserve"> E: Angewandte </w:t>
      </w:r>
      <w:r w:rsidRPr="004832F9">
        <w:t>Kryptographie</w:t>
      </w:r>
      <w:r>
        <w:t xml:space="preserve">. Hanser-Verlag, 6. Auflage 2019. ISBN </w:t>
      </w:r>
      <w:r w:rsidRPr="00047FFE">
        <w:t>978-3-446-46313-4</w:t>
      </w:r>
      <w:r>
        <w:t xml:space="preserve">. </w:t>
      </w:r>
      <w:hyperlink r:id="rId89" w:history="1">
        <w:r w:rsidRPr="007B446A">
          <w:rPr>
            <w:rStyle w:val="Hyperlink"/>
          </w:rPr>
          <w:t>https://doi.org/10.3139/9783446457041</w:t>
        </w:r>
      </w:hyperlink>
    </w:p>
  </w:footnote>
  <w:footnote w:id="82">
    <w:p w14:paraId="05730901" w14:textId="77777777" w:rsidR="00AE4EA7" w:rsidRDefault="00000000">
      <w:pPr>
        <w:pStyle w:val="Funotentext"/>
      </w:pPr>
      <w:r>
        <w:rPr>
          <w:rStyle w:val="Funotenzeichen"/>
        </w:rPr>
        <w:footnoteRef/>
      </w:r>
      <w:r>
        <w:t>Sweeney L. (2002) -</w:t>
      </w:r>
      <w:r w:rsidRPr="004832F9">
        <w:t>Anonymity</w:t>
      </w:r>
      <w:r>
        <w:t xml:space="preserve">: A Model </w:t>
      </w:r>
      <w:r w:rsidRPr="004832F9">
        <w:t>for</w:t>
      </w:r>
      <w:r>
        <w:t xml:space="preserve"> </w:t>
      </w:r>
      <w:r w:rsidRPr="004832F9">
        <w:t>Protecting</w:t>
      </w:r>
      <w:r>
        <w:t xml:space="preserve"> </w:t>
      </w:r>
      <w:r w:rsidRPr="004832F9">
        <w:t>Privacy</w:t>
      </w:r>
      <w:r>
        <w:t xml:space="preserve">“. International. Journal </w:t>
      </w:r>
      <w:r w:rsidRPr="004832F9">
        <w:t>of</w:t>
      </w:r>
      <w:r>
        <w:t xml:space="preserve"> </w:t>
      </w:r>
      <w:r w:rsidRPr="004832F9">
        <w:t>Uncertainty</w:t>
      </w:r>
      <w:r>
        <w:t xml:space="preserve">, </w:t>
      </w:r>
      <w:r w:rsidRPr="004832F9">
        <w:t>Fuzziness</w:t>
      </w:r>
      <w:r>
        <w:t xml:space="preserve"> </w:t>
      </w:r>
      <w:r w:rsidRPr="004832F9">
        <w:t>and</w:t>
      </w:r>
      <w:r>
        <w:t xml:space="preserve"> </w:t>
      </w:r>
      <w:r w:rsidRPr="004832F9">
        <w:t>Knowledge-Based</w:t>
      </w:r>
      <w:r>
        <w:t xml:space="preserve"> Systems 10 (05): 557–70. </w:t>
      </w:r>
      <w:hyperlink r:id="rId90">
        <w:r>
          <w:rPr>
            <w:rStyle w:val="Internetverknpfung"/>
          </w:rPr>
          <w:t>https://doi.org/10.1142/</w:t>
        </w:r>
        <w:r w:rsidRPr="004832F9">
          <w:rPr>
            <w:rStyle w:val="Internetverknpfung"/>
          </w:rPr>
          <w:t>S0218488502001648</w:t>
        </w:r>
      </w:hyperlink>
    </w:p>
  </w:footnote>
  <w:footnote w:id="83">
    <w:p w14:paraId="771293D8" w14:textId="7797433C" w:rsidR="006330C9" w:rsidRDefault="006330C9">
      <w:pPr>
        <w:pStyle w:val="Funotentext"/>
      </w:pPr>
      <w:r>
        <w:rPr>
          <w:rStyle w:val="Funotenzeichen"/>
        </w:rPr>
        <w:footnoteRef/>
      </w:r>
      <w:r>
        <w:t xml:space="preserve"> Z.</w:t>
      </w:r>
      <w:r w:rsidR="00CE1662">
        <w:t> </w:t>
      </w:r>
      <w:r>
        <w:t>B.</w:t>
      </w:r>
      <w:r w:rsidR="00CE1662">
        <w:t xml:space="preserve"> zu finden in:</w:t>
      </w:r>
      <w:r>
        <w:t xml:space="preserve"> </w:t>
      </w:r>
      <w:r w:rsidRPr="004832F9">
        <w:t>El Emam</w:t>
      </w:r>
      <w:r w:rsidRPr="006330C9">
        <w:t xml:space="preserve"> K, </w:t>
      </w:r>
      <w:r w:rsidRPr="004832F9">
        <w:t>Dankar</w:t>
      </w:r>
      <w:r w:rsidRPr="006330C9">
        <w:t xml:space="preserve"> </w:t>
      </w:r>
      <w:r>
        <w:t>F</w:t>
      </w:r>
      <w:r w:rsidRPr="006330C9">
        <w:t xml:space="preserve">K. (2008). </w:t>
      </w:r>
      <w:r w:rsidRPr="004832F9">
        <w:t>Protecting privacy using k-anonymity. JAMIA</w:t>
      </w:r>
      <w:r w:rsidRPr="006330C9">
        <w:t xml:space="preserve"> 15(5)</w:t>
      </w:r>
      <w:r>
        <w:t>:</w:t>
      </w:r>
      <w:r w:rsidRPr="006330C9">
        <w:t xml:space="preserve"> 627–637</w:t>
      </w:r>
      <w:r>
        <w:t xml:space="preserve">. </w:t>
      </w:r>
      <w:hyperlink r:id="rId91" w:history="1">
        <w:r w:rsidRPr="00FA679F">
          <w:rPr>
            <w:rStyle w:val="Hyperlink"/>
          </w:rPr>
          <w:t>https://doi</w:t>
        </w:r>
      </w:hyperlink>
      <w:r w:rsidRPr="006330C9">
        <w:t>.org/10</w:t>
      </w:r>
      <w:r w:rsidRPr="004832F9">
        <w:t>.1197%</w:t>
      </w:r>
      <w:r w:rsidRPr="006330C9">
        <w:t>2</w:t>
      </w:r>
      <w:r w:rsidRPr="004832F9">
        <w:t>Fjamia.M2716</w:t>
      </w:r>
    </w:p>
  </w:footnote>
  <w:footnote w:id="84">
    <w:p w14:paraId="0B143195" w14:textId="4153D5A9" w:rsidR="00F86119" w:rsidRDefault="00F86119">
      <w:pPr>
        <w:pStyle w:val="Funotentext"/>
      </w:pPr>
      <w:r>
        <w:rPr>
          <w:rStyle w:val="Funotenzeichen"/>
        </w:rPr>
        <w:footnoteRef/>
      </w:r>
      <w:r>
        <w:t xml:space="preserve"> Engl. „</w:t>
      </w:r>
      <w:r w:rsidRPr="004832F9">
        <w:t>NP-hard</w:t>
      </w:r>
      <w:r>
        <w:t>“, durch fehlerhafte Übersetzung findet sich umgangssprachlich mitunter daher auch „</w:t>
      </w:r>
      <w:r w:rsidRPr="004832F9">
        <w:t>NP-Schwer</w:t>
      </w:r>
      <w:r>
        <w:t xml:space="preserve">“. Ein </w:t>
      </w:r>
      <w:r w:rsidRPr="00F86119">
        <w:t>algorithmische</w:t>
      </w:r>
      <w:r w:rsidR="002F1126">
        <w:t>s</w:t>
      </w:r>
      <w:r w:rsidRPr="00F86119">
        <w:t xml:space="preserve"> Problem</w:t>
      </w:r>
      <w:r>
        <w:t xml:space="preserve"> ist </w:t>
      </w:r>
      <w:r w:rsidRPr="004832F9">
        <w:t>NP-schwer</w:t>
      </w:r>
      <w:r w:rsidRPr="00F86119">
        <w:t xml:space="preserve">, </w:t>
      </w:r>
      <w:r>
        <w:t xml:space="preserve">wenn das Problem </w:t>
      </w:r>
      <w:r w:rsidRPr="00F86119">
        <w:t xml:space="preserve">mindestens so schwer </w:t>
      </w:r>
      <w:r>
        <w:t xml:space="preserve">zu lösen ist, </w:t>
      </w:r>
      <w:r w:rsidRPr="00F86119">
        <w:t xml:space="preserve">wie die Probleme der Komplexitätsklasse </w:t>
      </w:r>
      <w:r w:rsidRPr="004832F9">
        <w:t>NP</w:t>
      </w:r>
      <w:r w:rsidRPr="00F86119">
        <w:t>.</w:t>
      </w:r>
    </w:p>
  </w:footnote>
  <w:footnote w:id="85">
    <w:p w14:paraId="3CDAA295" w14:textId="0E54263B" w:rsidR="006330C9" w:rsidRDefault="006330C9">
      <w:pPr>
        <w:pStyle w:val="Funotentext"/>
      </w:pPr>
      <w:r>
        <w:rPr>
          <w:rStyle w:val="Funotenzeichen"/>
        </w:rPr>
        <w:footnoteRef/>
      </w:r>
      <w:r>
        <w:t xml:space="preserve"> Nachweis des Zutreffens </w:t>
      </w:r>
      <w:r w:rsidRPr="004832F9">
        <w:t>auf -Anonymität</w:t>
      </w:r>
      <w:r>
        <w:t xml:space="preserve"> zu finden in: </w:t>
      </w:r>
      <w:r w:rsidRPr="004832F9">
        <w:t>Meyerson</w:t>
      </w:r>
      <w:r>
        <w:t xml:space="preserve"> A, </w:t>
      </w:r>
      <w:r w:rsidRPr="006330C9">
        <w:t xml:space="preserve">Williams </w:t>
      </w:r>
      <w:r>
        <w:t xml:space="preserve">R. </w:t>
      </w:r>
      <w:r w:rsidRPr="006330C9">
        <w:t>(2004)</w:t>
      </w:r>
      <w:r>
        <w:t xml:space="preserve"> </w:t>
      </w:r>
      <w:r w:rsidRPr="006330C9">
        <w:t xml:space="preserve">On </w:t>
      </w:r>
      <w:r w:rsidRPr="004832F9">
        <w:t>the</w:t>
      </w:r>
      <w:r w:rsidRPr="006330C9">
        <w:t xml:space="preserve"> </w:t>
      </w:r>
      <w:r w:rsidRPr="004832F9">
        <w:t>complexity</w:t>
      </w:r>
      <w:r w:rsidRPr="006330C9">
        <w:t xml:space="preserve"> </w:t>
      </w:r>
      <w:r w:rsidRPr="004832F9">
        <w:t>of</w:t>
      </w:r>
      <w:r w:rsidRPr="006330C9">
        <w:t xml:space="preserve"> optimal </w:t>
      </w:r>
      <w:r w:rsidRPr="004832F9">
        <w:t>K-anonymity</w:t>
      </w:r>
      <w:r>
        <w:t xml:space="preserve">. </w:t>
      </w:r>
      <w:r w:rsidRPr="006330C9">
        <w:t xml:space="preserve">Proceedings </w:t>
      </w:r>
      <w:r w:rsidRPr="004832F9">
        <w:t>of</w:t>
      </w:r>
      <w:r w:rsidRPr="006330C9">
        <w:t xml:space="preserve"> </w:t>
      </w:r>
      <w:r w:rsidRPr="004832F9">
        <w:t>the</w:t>
      </w:r>
      <w:r w:rsidRPr="006330C9">
        <w:t xml:space="preserve"> </w:t>
      </w:r>
      <w:r w:rsidRPr="004832F9">
        <w:t>twenty-third</w:t>
      </w:r>
      <w:r w:rsidRPr="006330C9">
        <w:t xml:space="preserve"> ACM </w:t>
      </w:r>
      <w:r w:rsidRPr="004832F9">
        <w:t>SIGMOD-SIGACT-SIGART</w:t>
      </w:r>
      <w:r w:rsidRPr="006330C9">
        <w:t xml:space="preserve"> </w:t>
      </w:r>
      <w:r w:rsidRPr="004832F9">
        <w:t>symposium</w:t>
      </w:r>
      <w:r w:rsidRPr="006330C9">
        <w:t xml:space="preserve"> on </w:t>
      </w:r>
      <w:r w:rsidRPr="004832F9">
        <w:t>Principles</w:t>
      </w:r>
      <w:r w:rsidRPr="006330C9">
        <w:t xml:space="preserve"> </w:t>
      </w:r>
      <w:r w:rsidRPr="004832F9">
        <w:t>of</w:t>
      </w:r>
      <w:r w:rsidRPr="006330C9">
        <w:t xml:space="preserve"> </w:t>
      </w:r>
      <w:r w:rsidRPr="004832F9">
        <w:t>database</w:t>
      </w:r>
      <w:r w:rsidRPr="006330C9">
        <w:t xml:space="preserve"> </w:t>
      </w:r>
      <w:r w:rsidRPr="004832F9">
        <w:t>systems</w:t>
      </w:r>
      <w:r w:rsidRPr="006330C9">
        <w:t xml:space="preserve">: 223–228. </w:t>
      </w:r>
      <w:hyperlink r:id="rId92" w:history="1">
        <w:r w:rsidRPr="00FA679F">
          <w:rPr>
            <w:rStyle w:val="Hyperlink"/>
          </w:rPr>
          <w:t>https://doi.org/10.1145/1055558.1055591</w:t>
        </w:r>
      </w:hyperlink>
    </w:p>
  </w:footnote>
  <w:footnote w:id="86">
    <w:p w14:paraId="2F9A9A0F" w14:textId="05438E38" w:rsidR="00F86119" w:rsidRDefault="00F86119">
      <w:pPr>
        <w:pStyle w:val="Funotentext"/>
      </w:pPr>
      <w:r>
        <w:rPr>
          <w:rStyle w:val="Funotenzeichen"/>
        </w:rPr>
        <w:footnoteRef/>
      </w:r>
      <w:r>
        <w:t xml:space="preserve"> Z. B.</w:t>
      </w:r>
    </w:p>
    <w:p w14:paraId="5422937C" w14:textId="4B63B224" w:rsidR="00F86119" w:rsidRPr="008444FB" w:rsidRDefault="00F86119">
      <w:pPr>
        <w:pStyle w:val="Funotentext"/>
        <w:numPr>
          <w:ilvl w:val="0"/>
          <w:numId w:val="42"/>
        </w:numPr>
        <w:rPr>
          <w:lang w:val="en-US"/>
        </w:rPr>
      </w:pPr>
      <w:r w:rsidRPr="008444FB">
        <w:rPr>
          <w:lang w:val="en-US"/>
        </w:rPr>
        <w:t xml:space="preserve">Bayardo RJ, Agrawal R. ( 2005) </w:t>
      </w:r>
      <w:r w:rsidRPr="00027701">
        <w:rPr>
          <w:lang w:val="en-US"/>
        </w:rPr>
        <w:t>Data privacy through optimal k-anonymization. 21st International Conference on Data Engineering (ICDE'05)</w:t>
      </w:r>
      <w:r w:rsidRPr="008444FB">
        <w:rPr>
          <w:lang w:val="en-US"/>
        </w:rPr>
        <w:t xml:space="preserve">: 217-228. </w:t>
      </w:r>
      <w:hyperlink r:id="rId93" w:history="1">
        <w:r w:rsidRPr="008444FB">
          <w:rPr>
            <w:rStyle w:val="Hyperlink"/>
            <w:lang w:val="en-US"/>
          </w:rPr>
          <w:t>http://dx</w:t>
        </w:r>
      </w:hyperlink>
      <w:r w:rsidRPr="008444FB">
        <w:rPr>
          <w:lang w:val="en-US"/>
        </w:rPr>
        <w:t>.doi.org/10.1109/ICDE.2005.42</w:t>
      </w:r>
    </w:p>
    <w:p w14:paraId="5185D22B" w14:textId="414EBA09" w:rsidR="00F86119" w:rsidRDefault="00F86119">
      <w:pPr>
        <w:pStyle w:val="Funotentext"/>
        <w:numPr>
          <w:ilvl w:val="0"/>
          <w:numId w:val="42"/>
        </w:numPr>
      </w:pPr>
      <w:r w:rsidRPr="008444FB">
        <w:rPr>
          <w:lang w:val="en-US"/>
        </w:rPr>
        <w:t xml:space="preserve">Kenig B, Tassa T. (2012) </w:t>
      </w:r>
      <w:r w:rsidRPr="00027701">
        <w:rPr>
          <w:lang w:val="en-US"/>
        </w:rPr>
        <w:t>A practical approximation algorithm for optimal k-anonymity. Data Min Knowl Disc (25)</w:t>
      </w:r>
      <w:r>
        <w:t>:</w:t>
      </w:r>
      <w:r w:rsidRPr="00F86119">
        <w:t xml:space="preserve"> 134–168</w:t>
      </w:r>
      <w:r>
        <w:t xml:space="preserve">. </w:t>
      </w:r>
      <w:hyperlink r:id="rId94" w:history="1">
        <w:r w:rsidRPr="00BD65F5">
          <w:rPr>
            <w:rStyle w:val="Hyperlink"/>
          </w:rPr>
          <w:t>https://doi.org/10.1007/s10618-011-0235-9</w:t>
        </w:r>
      </w:hyperlink>
    </w:p>
  </w:footnote>
  <w:footnote w:id="87">
    <w:p w14:paraId="162F4FE9" w14:textId="61C749E1" w:rsidR="00383094" w:rsidRDefault="00383094">
      <w:pPr>
        <w:pStyle w:val="Funotentext"/>
      </w:pPr>
      <w:r>
        <w:rPr>
          <w:rStyle w:val="Funotenzeichen"/>
        </w:rPr>
        <w:footnoteRef/>
      </w:r>
      <w:r>
        <w:t xml:space="preserve"> </w:t>
      </w:r>
      <w:r w:rsidRPr="004832F9">
        <w:t>Venkataramanan</w:t>
      </w:r>
      <w:r w:rsidRPr="00383094">
        <w:t xml:space="preserve"> N, </w:t>
      </w:r>
      <w:r w:rsidRPr="004832F9">
        <w:t>Shriram</w:t>
      </w:r>
      <w:r w:rsidRPr="00383094">
        <w:t xml:space="preserve"> A.: </w:t>
      </w:r>
      <w:r w:rsidRPr="004832F9">
        <w:t>Implementing</w:t>
      </w:r>
      <w:r w:rsidRPr="00383094">
        <w:t xml:space="preserve"> </w:t>
      </w:r>
      <w:r w:rsidRPr="004832F9">
        <w:t>k-Anonymization</w:t>
      </w:r>
      <w:r w:rsidRPr="00383094">
        <w:t xml:space="preserve">, Seite 54. In: </w:t>
      </w:r>
      <w:r w:rsidRPr="004832F9">
        <w:t>Venkataramanan</w:t>
      </w:r>
      <w:r w:rsidRPr="00383094">
        <w:t xml:space="preserve"> N, </w:t>
      </w:r>
      <w:r w:rsidRPr="004832F9">
        <w:t>Shriram</w:t>
      </w:r>
      <w:r w:rsidRPr="00383094">
        <w:t xml:space="preserve"> A.: Data </w:t>
      </w:r>
      <w:r w:rsidRPr="004832F9">
        <w:t>Privacy</w:t>
      </w:r>
      <w:r w:rsidRPr="00383094">
        <w:t xml:space="preserve">. </w:t>
      </w:r>
      <w:r w:rsidRPr="004832F9">
        <w:t>Principles and Practice. verlag</w:t>
      </w:r>
      <w:r w:rsidRPr="00383094">
        <w:t xml:space="preserve"> Taylor &amp; Francis Group, 1. Auflage 2017. ISBN: 978-1-4987-2104-2</w:t>
      </w:r>
    </w:p>
  </w:footnote>
  <w:footnote w:id="88">
    <w:p w14:paraId="0D229D3E" w14:textId="288D54F1" w:rsidR="006D5146" w:rsidRDefault="006D5146">
      <w:pPr>
        <w:pStyle w:val="Funotentext"/>
      </w:pPr>
      <w:r>
        <w:rPr>
          <w:rStyle w:val="Funotenzeichen"/>
        </w:rPr>
        <w:footnoteRef/>
      </w:r>
      <w:r>
        <w:t xml:space="preserve"> Hinsichtlich anderer Angriffe siehe z. B.</w:t>
      </w:r>
    </w:p>
    <w:p w14:paraId="030D6C50" w14:textId="7382D462" w:rsidR="006D5146" w:rsidRDefault="006D5146" w:rsidP="006D5146">
      <w:pPr>
        <w:pStyle w:val="Funotentext"/>
        <w:numPr>
          <w:ilvl w:val="0"/>
          <w:numId w:val="26"/>
        </w:numPr>
      </w:pPr>
      <w:r w:rsidRPr="006D5146">
        <w:t xml:space="preserve">Sei Y, </w:t>
      </w:r>
      <w:r w:rsidRPr="004832F9">
        <w:t>Okumura</w:t>
      </w:r>
      <w:r w:rsidRPr="006D5146">
        <w:t xml:space="preserve"> H, </w:t>
      </w:r>
      <w:r w:rsidRPr="004832F9">
        <w:t>Ohsuga</w:t>
      </w:r>
      <w:r w:rsidRPr="006D5146">
        <w:t xml:space="preserve"> A. (2022) </w:t>
      </w:r>
      <w:r w:rsidRPr="004832F9">
        <w:t>Re-Identification</w:t>
      </w:r>
      <w:r w:rsidRPr="006D5146">
        <w:t xml:space="preserve"> in </w:t>
      </w:r>
      <w:r w:rsidRPr="004832F9">
        <w:t>Differentially</w:t>
      </w:r>
      <w:r w:rsidRPr="006D5146">
        <w:t xml:space="preserve"> Private </w:t>
      </w:r>
      <w:r w:rsidRPr="004832F9">
        <w:t>Incomplete</w:t>
      </w:r>
      <w:r w:rsidRPr="006D5146">
        <w:t xml:space="preserve"> </w:t>
      </w:r>
      <w:r w:rsidRPr="004832F9">
        <w:t>Datasets</w:t>
      </w:r>
      <w:r w:rsidRPr="006D5146">
        <w:t xml:space="preserve">. IEEE Open Journal </w:t>
      </w:r>
      <w:r w:rsidRPr="004832F9">
        <w:t>of</w:t>
      </w:r>
      <w:r w:rsidRPr="006D5146">
        <w:t xml:space="preserve"> </w:t>
      </w:r>
      <w:r w:rsidRPr="004832F9">
        <w:t>the</w:t>
      </w:r>
      <w:r w:rsidRPr="006D5146">
        <w:t xml:space="preserve"> Computer Society (3): 62-42. </w:t>
      </w:r>
      <w:hyperlink r:id="rId95" w:history="1">
        <w:r w:rsidRPr="00331E80">
          <w:rPr>
            <w:rStyle w:val="Hyperlink"/>
          </w:rPr>
          <w:t>https://doi.org/10.1109/</w:t>
        </w:r>
        <w:r w:rsidRPr="004832F9">
          <w:rPr>
            <w:rStyle w:val="Hyperlink"/>
          </w:rPr>
          <w:t>OJCS.2022.3175999</w:t>
        </w:r>
      </w:hyperlink>
    </w:p>
  </w:footnote>
  <w:footnote w:id="89">
    <w:p w14:paraId="6F6C6D47" w14:textId="01CB9D9F" w:rsidR="00844DC3" w:rsidRDefault="00844DC3">
      <w:pPr>
        <w:pStyle w:val="Funotentext"/>
      </w:pPr>
      <w:r>
        <w:rPr>
          <w:rStyle w:val="Funotenzeichen"/>
        </w:rPr>
        <w:footnoteRef/>
      </w:r>
      <w:r>
        <w:t xml:space="preserve"> </w:t>
      </w:r>
      <w:r w:rsidRPr="004832F9">
        <w:t xml:space="preserve">Dwork D, Roth A. (2014) The Algorithmic Foundations of Differential Privacy. </w:t>
      </w:r>
      <w:r>
        <w:t xml:space="preserve">Beispiel auf S. 15. Online, zitiert am </w:t>
      </w:r>
      <w:r w:rsidR="006B2B45">
        <w:t>2023-10</w:t>
      </w:r>
      <w:r>
        <w:t xml:space="preserve">-14; verfügbar unter </w:t>
      </w:r>
      <w:hyperlink r:id="rId96" w:history="1">
        <w:r w:rsidRPr="00813F90">
          <w:rPr>
            <w:rStyle w:val="Hyperlink"/>
          </w:rPr>
          <w:t>https://www.cis.upenn.edu/~</w:t>
        </w:r>
        <w:r w:rsidRPr="004832F9">
          <w:rPr>
            <w:rStyle w:val="Hyperlink"/>
          </w:rPr>
          <w:t>aaroth</w:t>
        </w:r>
        <w:r w:rsidRPr="00813F90">
          <w:rPr>
            <w:rStyle w:val="Hyperlink"/>
          </w:rPr>
          <w:t>/Papers/</w:t>
        </w:r>
        <w:r w:rsidRPr="004832F9">
          <w:rPr>
            <w:rStyle w:val="Hyperlink"/>
          </w:rPr>
          <w:t>privacybook.pdf</w:t>
        </w:r>
      </w:hyperlink>
    </w:p>
  </w:footnote>
  <w:footnote w:id="90">
    <w:p w14:paraId="18B974F9" w14:textId="11EFF918" w:rsidR="00383094" w:rsidRDefault="00383094">
      <w:pPr>
        <w:pStyle w:val="Funotentext"/>
      </w:pPr>
      <w:r>
        <w:rPr>
          <w:rStyle w:val="Funotenzeichen"/>
        </w:rPr>
        <w:footnoteRef/>
      </w:r>
      <w:r>
        <w:t xml:space="preserve"> </w:t>
      </w:r>
      <w:r w:rsidRPr="00383094">
        <w:t xml:space="preserve">Huang et al. (2022) </w:t>
      </w:r>
      <w:r w:rsidRPr="004832F9">
        <w:t>Differential</w:t>
      </w:r>
      <w:r w:rsidRPr="00383094">
        <w:t xml:space="preserve"> </w:t>
      </w:r>
      <w:r w:rsidRPr="004832F9">
        <w:t>privacy</w:t>
      </w:r>
      <w:r w:rsidRPr="00383094">
        <w:t xml:space="preserve">: Review </w:t>
      </w:r>
      <w:r w:rsidRPr="004832F9">
        <w:t>of</w:t>
      </w:r>
      <w:r w:rsidRPr="00383094">
        <w:t xml:space="preserve"> </w:t>
      </w:r>
      <w:r w:rsidRPr="004832F9">
        <w:t>improving</w:t>
      </w:r>
      <w:r w:rsidRPr="00383094">
        <w:t xml:space="preserve"> </w:t>
      </w:r>
      <w:r w:rsidRPr="004832F9">
        <w:t>utility</w:t>
      </w:r>
      <w:r w:rsidRPr="00383094">
        <w:t xml:space="preserve"> </w:t>
      </w:r>
      <w:r w:rsidRPr="004832F9">
        <w:t>through</w:t>
      </w:r>
      <w:r w:rsidRPr="00383094">
        <w:t xml:space="preserve"> </w:t>
      </w:r>
      <w:r w:rsidRPr="004832F9">
        <w:t>cryptography-based</w:t>
      </w:r>
      <w:r w:rsidRPr="00383094">
        <w:t xml:space="preserve"> </w:t>
      </w:r>
      <w:r w:rsidRPr="004832F9">
        <w:t>technologies</w:t>
      </w:r>
      <w:r w:rsidRPr="00383094">
        <w:t xml:space="preserve">. </w:t>
      </w:r>
      <w:r w:rsidRPr="004832F9">
        <w:t xml:space="preserve">Concurrency Computat Pract Exper. </w:t>
      </w:r>
      <w:r w:rsidRPr="00383094">
        <w:t>2023;35</w:t>
      </w:r>
      <w:r w:rsidRPr="004832F9">
        <w:t>:e7565</w:t>
      </w:r>
      <w:r w:rsidRPr="00383094">
        <w:t xml:space="preserve">. https://doi.org/10.1002/ </w:t>
      </w:r>
      <w:r w:rsidRPr="004832F9">
        <w:t>cpe.7565</w:t>
      </w:r>
    </w:p>
  </w:footnote>
  <w:footnote w:id="91">
    <w:p w14:paraId="53064B16" w14:textId="060D64EE" w:rsidR="00831372" w:rsidRDefault="00831372">
      <w:pPr>
        <w:pStyle w:val="Funotentext"/>
      </w:pPr>
      <w:r>
        <w:rPr>
          <w:rStyle w:val="Funotenzeichen"/>
        </w:rPr>
        <w:footnoteRef/>
      </w:r>
      <w:r w:rsidRPr="004832F9">
        <w:rPr>
          <w:lang w:val="en-US"/>
        </w:rPr>
        <w:t xml:space="preserve"> University of Texas at Dallas: </w:t>
      </w:r>
      <w:r w:rsidRPr="008444FB">
        <w:rPr>
          <w:lang w:val="en-US"/>
        </w:rPr>
        <w:t>Anonymization ToolBox.</w:t>
      </w:r>
      <w:r w:rsidRPr="004832F9">
        <w:rPr>
          <w:lang w:val="en-US"/>
        </w:rPr>
        <w:t xml:space="preserve"> </w:t>
      </w:r>
      <w:r w:rsidRPr="004C1658">
        <w:t>Online,</w:t>
      </w:r>
      <w:r>
        <w:t xml:space="preserve"> zitiert am 2023-11-02; verfügbar unter </w:t>
      </w:r>
      <w:hyperlink r:id="rId97" w:history="1">
        <w:r w:rsidRPr="00831372">
          <w:rPr>
            <w:rStyle w:val="Hyperlink"/>
          </w:rPr>
          <w:t>https://labs.utdallas.edu/dspl/software/anonymization-toolbox/</w:t>
        </w:r>
      </w:hyperlink>
    </w:p>
  </w:footnote>
  <w:footnote w:id="92">
    <w:p w14:paraId="72050D80" w14:textId="5F23D988" w:rsidR="004E74C6" w:rsidRDefault="004E74C6">
      <w:pPr>
        <w:pStyle w:val="Funotentext"/>
      </w:pPr>
      <w:r>
        <w:rPr>
          <w:rStyle w:val="Funotenzeichen"/>
        </w:rPr>
        <w:footnoteRef/>
      </w:r>
      <w:r w:rsidRPr="004832F9">
        <w:rPr>
          <w:lang w:val="en-US"/>
        </w:rPr>
        <w:t xml:space="preserve"> LeFevre K, DeWitt DJ, Ramakrishnan R. (2006) </w:t>
      </w:r>
      <w:r w:rsidRPr="008444FB">
        <w:rPr>
          <w:lang w:val="en-US"/>
        </w:rPr>
        <w:t>Mondrian Multidimensional K-Anonymity. 22nd International Conference on Data Engineering</w:t>
      </w:r>
      <w:r w:rsidRPr="004832F9">
        <w:rPr>
          <w:lang w:val="en-US"/>
        </w:rPr>
        <w:t xml:space="preserve">: 25. </w:t>
      </w:r>
      <w:hyperlink r:id="rId98" w:history="1">
        <w:r w:rsidRPr="004225EC">
          <w:rPr>
            <w:rStyle w:val="Hyperlink"/>
          </w:rPr>
          <w:t>https://doi.org/10.1109/ICDE.2006.101</w:t>
        </w:r>
      </w:hyperlink>
    </w:p>
  </w:footnote>
  <w:footnote w:id="93">
    <w:p w14:paraId="285F027E" w14:textId="60D32553" w:rsidR="004E74C6" w:rsidRDefault="004E74C6">
      <w:pPr>
        <w:pStyle w:val="Funotentext"/>
      </w:pPr>
      <w:r>
        <w:rPr>
          <w:rStyle w:val="Funotenzeichen"/>
        </w:rPr>
        <w:footnoteRef/>
      </w:r>
      <w:r>
        <w:t xml:space="preserve"> Siehe</w:t>
      </w:r>
    </w:p>
    <w:p w14:paraId="7D169154" w14:textId="0D63283F" w:rsidR="008444FB" w:rsidRDefault="004E74C6" w:rsidP="00E97CE1">
      <w:pPr>
        <w:pStyle w:val="Funotentext"/>
        <w:numPr>
          <w:ilvl w:val="0"/>
          <w:numId w:val="26"/>
        </w:numPr>
      </w:pPr>
      <w:r w:rsidRPr="004832F9">
        <w:t xml:space="preserve">LeFevre K, DeWitt DJ, Ramakrishnan R. (2005) Incognito: Efficient Full-Domain K-Anonymity. </w:t>
      </w:r>
      <w:r w:rsidRPr="008444FB">
        <w:rPr>
          <w:lang w:val="en-US"/>
        </w:rPr>
        <w:t>SIGMOD Conference:</w:t>
      </w:r>
      <w:r>
        <w:t xml:space="preserve"> 49-60. </w:t>
      </w:r>
      <w:hyperlink r:id="rId99" w:history="1">
        <w:r w:rsidR="008444FB" w:rsidRPr="0079740C">
          <w:rPr>
            <w:rStyle w:val="Hyperlink"/>
          </w:rPr>
          <w:t>https://dl.acm.org/doi/10.1145/1066157.1066164</w:t>
        </w:r>
      </w:hyperlink>
    </w:p>
    <w:p w14:paraId="332C77A0" w14:textId="12294D3C" w:rsidR="008444FB" w:rsidRPr="004832F9" w:rsidRDefault="004E74C6" w:rsidP="00CB1DFE">
      <w:pPr>
        <w:pStyle w:val="Funotentext"/>
        <w:numPr>
          <w:ilvl w:val="0"/>
          <w:numId w:val="26"/>
        </w:numPr>
        <w:rPr>
          <w:lang w:val="en-US"/>
        </w:rPr>
      </w:pPr>
      <w:r w:rsidRPr="008444FB">
        <w:rPr>
          <w:lang w:val="en-US"/>
        </w:rPr>
        <w:t>Chakravorty et al. (2017) Efficient Anonymization with INCOGNITO - Framework &amp; Algorithm. IEEE International Congress on Big Data</w:t>
      </w:r>
      <w:r w:rsidRPr="004832F9">
        <w:rPr>
          <w:lang w:val="en-US"/>
        </w:rPr>
        <w:t xml:space="preserve">: 39-48. </w:t>
      </w:r>
      <w:hyperlink r:id="rId100" w:history="1">
        <w:r w:rsidR="008444FB" w:rsidRPr="004832F9">
          <w:rPr>
            <w:rStyle w:val="Hyperlink"/>
            <w:lang w:val="en-US"/>
          </w:rPr>
          <w:t>https://doi.org/10.1109/BigDataCongress.2017.15</w:t>
        </w:r>
      </w:hyperlink>
    </w:p>
  </w:footnote>
  <w:footnote w:id="94">
    <w:p w14:paraId="1792606E" w14:textId="7F1EBC73" w:rsidR="00831372" w:rsidRDefault="00831372" w:rsidP="00831372">
      <w:pPr>
        <w:pStyle w:val="Funotentext"/>
      </w:pPr>
      <w:r>
        <w:rPr>
          <w:rStyle w:val="Funotenzeichen"/>
        </w:rPr>
        <w:footnoteRef/>
      </w:r>
      <w:r>
        <w:t xml:space="preserve"> </w:t>
      </w:r>
      <w:r w:rsidRPr="004832F9">
        <w:t>Statistical</w:t>
      </w:r>
      <w:r>
        <w:t xml:space="preserve"> </w:t>
      </w:r>
      <w:r w:rsidRPr="004832F9">
        <w:t>Disclosure</w:t>
      </w:r>
      <w:r>
        <w:t xml:space="preserve"> Control: </w:t>
      </w:r>
      <w:r w:rsidRPr="00831372">
        <w:t xml:space="preserve">μ-ARGUS </w:t>
      </w:r>
      <w:r w:rsidRPr="004832F9">
        <w:t>home</w:t>
      </w:r>
      <w:r w:rsidRPr="00831372">
        <w:t xml:space="preserve"> </w:t>
      </w:r>
      <w:r w:rsidRPr="004832F9">
        <w:t>page</w:t>
      </w:r>
      <w:r>
        <w:t xml:space="preserve">. </w:t>
      </w:r>
      <w:r w:rsidRPr="004C1658">
        <w:t>Online,</w:t>
      </w:r>
      <w:r>
        <w:t xml:space="preserve"> zitiert am 2023-11-02; verfügbar unter </w:t>
      </w:r>
      <w:hyperlink r:id="rId101" w:history="1">
        <w:r w:rsidRPr="004832F9">
          <w:rPr>
            <w:rStyle w:val="Hyperlink"/>
          </w:rPr>
          <w:t>https://research.cbs.nl/casc/mu.htm</w:t>
        </w:r>
      </w:hyperlink>
    </w:p>
  </w:footnote>
  <w:footnote w:id="95">
    <w:p w14:paraId="138A9C46" w14:textId="73850C01" w:rsidR="005A0F8F" w:rsidRPr="004832F9" w:rsidRDefault="005A0F8F">
      <w:pPr>
        <w:pStyle w:val="Funotentext"/>
      </w:pPr>
      <w:r>
        <w:rPr>
          <w:rStyle w:val="Funotenzeichen"/>
        </w:rPr>
        <w:footnoteRef/>
      </w:r>
      <w:r>
        <w:t xml:space="preserve"> </w:t>
      </w:r>
      <w:r w:rsidRPr="004832F9">
        <w:t>Armanious</w:t>
      </w:r>
      <w:r w:rsidRPr="005A0F8F">
        <w:t xml:space="preserve"> et al. (2020) </w:t>
      </w:r>
      <w:r w:rsidRPr="004832F9">
        <w:t>MedGAN</w:t>
      </w:r>
      <w:r w:rsidRPr="005A0F8F">
        <w:t xml:space="preserve">: </w:t>
      </w:r>
      <w:r w:rsidRPr="004832F9">
        <w:t>Medical</w:t>
      </w:r>
      <w:r w:rsidRPr="005A0F8F">
        <w:t xml:space="preserve"> </w:t>
      </w:r>
      <w:r w:rsidRPr="004832F9">
        <w:t>image</w:t>
      </w:r>
      <w:r w:rsidRPr="005A0F8F">
        <w:t xml:space="preserve"> </w:t>
      </w:r>
      <w:r w:rsidRPr="004832F9">
        <w:t>translation</w:t>
      </w:r>
      <w:r w:rsidRPr="005A0F8F">
        <w:t xml:space="preserve"> </w:t>
      </w:r>
      <w:r w:rsidRPr="004832F9">
        <w:t>using</w:t>
      </w:r>
      <w:r w:rsidRPr="005A0F8F">
        <w:t xml:space="preserve"> GANs</w:t>
      </w:r>
      <w:r w:rsidRPr="004832F9">
        <w:t xml:space="preserve">.  Comput Med Imaging Graph: 101684. </w:t>
      </w:r>
      <w:hyperlink r:id="rId102" w:history="1">
        <w:r w:rsidRPr="004832F9">
          <w:rPr>
            <w:rStyle w:val="Hyperlink"/>
          </w:rPr>
          <w:t>https://doi.org/10.1016/j.compmedimag.2019.101684</w:t>
        </w:r>
      </w:hyperlink>
    </w:p>
  </w:footnote>
  <w:footnote w:id="96">
    <w:p w14:paraId="42B7DACD" w14:textId="590EB134" w:rsidR="00831372" w:rsidRDefault="00831372">
      <w:pPr>
        <w:pStyle w:val="Funotentext"/>
      </w:pPr>
      <w:r>
        <w:rPr>
          <w:rStyle w:val="Funotenzeichen"/>
        </w:rPr>
        <w:footnoteRef/>
      </w:r>
      <w:r>
        <w:t xml:space="preserve"> </w:t>
      </w:r>
      <w:r w:rsidRPr="004832F9">
        <w:t>ARX</w:t>
      </w:r>
      <w:r w:rsidRPr="00831372">
        <w:t xml:space="preserve"> – Data </w:t>
      </w:r>
      <w:r w:rsidRPr="004832F9">
        <w:t>Anonymization</w:t>
      </w:r>
      <w:r w:rsidRPr="00831372">
        <w:t xml:space="preserve"> Tool</w:t>
      </w:r>
      <w:r>
        <w:t xml:space="preserve">. </w:t>
      </w:r>
      <w:r w:rsidRPr="004C1658">
        <w:t>Online,</w:t>
      </w:r>
      <w:r>
        <w:t xml:space="preserve"> zitiert am 2023-11-02; verfügbar unter </w:t>
      </w:r>
      <w:hyperlink r:id="rId103" w:history="1">
        <w:r w:rsidRPr="004832F9">
          <w:rPr>
            <w:rStyle w:val="Hyperlink"/>
          </w:rPr>
          <w:t>https://arx.deidentifier.org/</w:t>
        </w:r>
      </w:hyperlink>
    </w:p>
  </w:footnote>
  <w:footnote w:id="97">
    <w:p w14:paraId="62850DEC" w14:textId="17366C0F" w:rsidR="005A0F8F" w:rsidRDefault="005A0F8F">
      <w:pPr>
        <w:pStyle w:val="Funotentext"/>
      </w:pPr>
      <w:r>
        <w:rPr>
          <w:rStyle w:val="Funotenzeichen"/>
        </w:rPr>
        <w:footnoteRef/>
      </w:r>
      <w:r>
        <w:t xml:space="preserve"> </w:t>
      </w:r>
      <w:r w:rsidRPr="004832F9">
        <w:t>Pydicom</w:t>
      </w:r>
      <w:r>
        <w:t xml:space="preserve">. </w:t>
      </w:r>
      <w:r w:rsidRPr="005A0F8F">
        <w:t>Online, zitiert am 2023-11-02; verfügbar unter</w:t>
      </w:r>
      <w:r>
        <w:t xml:space="preserve"> </w:t>
      </w:r>
      <w:hyperlink r:id="rId104" w:history="1">
        <w:r w:rsidRPr="004832F9">
          <w:rPr>
            <w:rStyle w:val="Hyperlink"/>
          </w:rPr>
          <w:t>https://pydicom.github.io/</w:t>
        </w:r>
      </w:hyperlink>
    </w:p>
  </w:footnote>
  <w:footnote w:id="98">
    <w:p w14:paraId="76712EA2" w14:textId="0E2E2AEB" w:rsidR="005A0F8F" w:rsidRDefault="005A0F8F">
      <w:pPr>
        <w:pStyle w:val="Funotentext"/>
      </w:pPr>
      <w:r>
        <w:rPr>
          <w:rStyle w:val="Funotenzeichen"/>
        </w:rPr>
        <w:footnoteRef/>
      </w:r>
      <w:r>
        <w:t xml:space="preserve"> </w:t>
      </w:r>
      <w:r w:rsidRPr="005A0F8F">
        <w:t xml:space="preserve">Apache Beam </w:t>
      </w:r>
      <w:r w:rsidRPr="004832F9">
        <w:t>Documentation</w:t>
      </w:r>
      <w:r>
        <w:t xml:space="preserve">. </w:t>
      </w:r>
      <w:r w:rsidRPr="004C1658">
        <w:t>Online,</w:t>
      </w:r>
      <w:r>
        <w:t xml:space="preserve"> zitiert am 2023-11-02; verfügbar unter </w:t>
      </w:r>
      <w:hyperlink r:id="rId105" w:history="1">
        <w:r w:rsidRPr="004832F9">
          <w:rPr>
            <w:rStyle w:val="Hyperlink"/>
          </w:rPr>
          <w:t>https://beam.apache.org/documentation/</w:t>
        </w:r>
      </w:hyperlink>
    </w:p>
  </w:footnote>
  <w:footnote w:id="99">
    <w:p w14:paraId="391BA18F" w14:textId="4E539D33" w:rsidR="006D01EC" w:rsidRDefault="006D01EC">
      <w:pPr>
        <w:pStyle w:val="Funotentext"/>
      </w:pPr>
      <w:r>
        <w:rPr>
          <w:rStyle w:val="Funotenzeichen"/>
        </w:rPr>
        <w:footnoteRef/>
      </w:r>
      <w:r>
        <w:t xml:space="preserve"> So </w:t>
      </w:r>
      <w:r w:rsidRPr="004832F9">
        <w:t>z.</w:t>
      </w:r>
      <w:r w:rsidR="004832F9" w:rsidRPr="004832F9">
        <w:t> </w:t>
      </w:r>
      <w:r w:rsidRPr="004832F9">
        <w:t>B.</w:t>
      </w:r>
      <w:r>
        <w:t xml:space="preserve"> auch der europäische Datenschutzbeauftragte </w:t>
      </w:r>
      <w:r w:rsidRPr="004832F9">
        <w:t>EDPS</w:t>
      </w:r>
      <w:r>
        <w:t xml:space="preserve"> und die spanische Datenschutzaufsichtsbehörde </w:t>
      </w:r>
      <w:bookmarkStart w:id="175" w:name="_Hlk149299881"/>
      <w:r w:rsidRPr="004832F9">
        <w:t>Agencia</w:t>
      </w:r>
      <w:r w:rsidRPr="006D01EC">
        <w:t xml:space="preserve"> Española </w:t>
      </w:r>
      <w:r w:rsidRPr="004832F9">
        <w:t>de Protección</w:t>
      </w:r>
      <w:r w:rsidRPr="006D01EC">
        <w:t xml:space="preserve"> </w:t>
      </w:r>
      <w:r w:rsidRPr="004832F9">
        <w:t>de Datos</w:t>
      </w:r>
      <w:r w:rsidRPr="006D01EC">
        <w:t xml:space="preserve"> </w:t>
      </w:r>
      <w:r>
        <w:t>(</w:t>
      </w:r>
      <w:r w:rsidRPr="004832F9">
        <w:t>AEPD</w:t>
      </w:r>
      <w:r>
        <w:t xml:space="preserve">) im </w:t>
      </w:r>
      <w:r w:rsidRPr="004832F9">
        <w:t>Fact-Sheet</w:t>
      </w:r>
      <w:r>
        <w:t xml:space="preserve"> „</w:t>
      </w:r>
      <w:r w:rsidRPr="006D01EC">
        <w:t xml:space="preserve">10 </w:t>
      </w:r>
      <w:r w:rsidRPr="004832F9">
        <w:t>misunderstandings</w:t>
      </w:r>
      <w:r w:rsidRPr="006D01EC">
        <w:t xml:space="preserve"> </w:t>
      </w:r>
      <w:r w:rsidRPr="004832F9">
        <w:t>related</w:t>
      </w:r>
      <w:r w:rsidRPr="006D01EC">
        <w:t xml:space="preserve"> </w:t>
      </w:r>
      <w:r w:rsidRPr="004832F9">
        <w:t>to</w:t>
      </w:r>
      <w:r w:rsidRPr="006D01EC">
        <w:t xml:space="preserve"> </w:t>
      </w:r>
      <w:r w:rsidRPr="004832F9">
        <w:t>Anonymisation</w:t>
      </w:r>
      <w:r w:rsidRPr="006D01EC">
        <w:t>“</w:t>
      </w:r>
      <w:r>
        <w:t xml:space="preserve">: </w:t>
      </w:r>
      <w:r w:rsidRPr="004832F9">
        <w:t>Misunderstanding</w:t>
      </w:r>
      <w:r w:rsidRPr="006D01EC">
        <w:t xml:space="preserve"> 5.</w:t>
      </w:r>
      <w:r>
        <w:t xml:space="preserve"> […] </w:t>
      </w:r>
      <w:r w:rsidRPr="004832F9">
        <w:t>Although</w:t>
      </w:r>
      <w:r w:rsidRPr="006D01EC">
        <w:t xml:space="preserve"> a </w:t>
      </w:r>
      <w:r w:rsidRPr="004832F9">
        <w:t>100%</w:t>
      </w:r>
      <w:r w:rsidRPr="006D01EC">
        <w:t xml:space="preserve"> </w:t>
      </w:r>
      <w:r w:rsidRPr="004832F9">
        <w:t>anonymisation</w:t>
      </w:r>
      <w:r w:rsidRPr="006D01EC">
        <w:t xml:space="preserve"> </w:t>
      </w:r>
      <w:r w:rsidRPr="004832F9">
        <w:t>is</w:t>
      </w:r>
      <w:r w:rsidRPr="006D01EC">
        <w:t xml:space="preserve"> </w:t>
      </w:r>
      <w:r w:rsidRPr="004832F9">
        <w:t>the</w:t>
      </w:r>
      <w:r w:rsidRPr="006D01EC">
        <w:t xml:space="preserve"> most </w:t>
      </w:r>
      <w:r w:rsidRPr="004832F9">
        <w:t>desirable</w:t>
      </w:r>
      <w:r w:rsidRPr="006D01EC">
        <w:t xml:space="preserve"> </w:t>
      </w:r>
      <w:r w:rsidRPr="004832F9">
        <w:t>goal</w:t>
      </w:r>
      <w:r w:rsidRPr="006D01EC">
        <w:t xml:space="preserve"> </w:t>
      </w:r>
      <w:r w:rsidRPr="004832F9">
        <w:t>from</w:t>
      </w:r>
      <w:r w:rsidRPr="006D01EC">
        <w:t xml:space="preserve"> a personal </w:t>
      </w:r>
      <w:r w:rsidRPr="004832F9">
        <w:t>data</w:t>
      </w:r>
      <w:r w:rsidRPr="006D01EC">
        <w:t xml:space="preserve"> </w:t>
      </w:r>
      <w:r w:rsidRPr="004832F9">
        <w:t>protection</w:t>
      </w:r>
      <w:r w:rsidRPr="006D01EC">
        <w:t xml:space="preserve"> </w:t>
      </w:r>
      <w:r w:rsidRPr="004832F9">
        <w:t>perspective</w:t>
      </w:r>
      <w:r w:rsidRPr="006D01EC">
        <w:t xml:space="preserve">, in </w:t>
      </w:r>
      <w:r w:rsidRPr="004832F9">
        <w:t>some</w:t>
      </w:r>
      <w:r w:rsidRPr="006D01EC">
        <w:t xml:space="preserve"> </w:t>
      </w:r>
      <w:r w:rsidRPr="004832F9">
        <w:t>cases</w:t>
      </w:r>
      <w:r w:rsidRPr="006D01EC">
        <w:t xml:space="preserve"> </w:t>
      </w:r>
      <w:r w:rsidRPr="004832F9">
        <w:t>it</w:t>
      </w:r>
      <w:r w:rsidRPr="006D01EC">
        <w:t xml:space="preserve"> </w:t>
      </w:r>
      <w:r w:rsidRPr="004832F9">
        <w:t>is</w:t>
      </w:r>
      <w:r w:rsidRPr="006D01EC">
        <w:t xml:space="preserve"> not possible </w:t>
      </w:r>
      <w:r w:rsidRPr="004832F9">
        <w:t>and</w:t>
      </w:r>
      <w:r w:rsidRPr="006D01EC">
        <w:t xml:space="preserve"> a residual </w:t>
      </w:r>
      <w:r w:rsidRPr="004832F9">
        <w:t>risk</w:t>
      </w:r>
      <w:r w:rsidRPr="006D01EC">
        <w:t xml:space="preserve"> </w:t>
      </w:r>
      <w:r w:rsidRPr="004832F9">
        <w:t>of</w:t>
      </w:r>
      <w:r w:rsidRPr="006D01EC">
        <w:t xml:space="preserve"> </w:t>
      </w:r>
      <w:r w:rsidRPr="004832F9">
        <w:t>reidentification</w:t>
      </w:r>
      <w:r w:rsidRPr="006D01EC">
        <w:t xml:space="preserve"> must be </w:t>
      </w:r>
      <w:r w:rsidRPr="004832F9">
        <w:t>considered</w:t>
      </w:r>
      <w:r w:rsidRPr="006D01EC">
        <w:t>.</w:t>
      </w:r>
      <w:r>
        <w:t xml:space="preserve">“ </w:t>
      </w:r>
      <w:r w:rsidRPr="004C1658">
        <w:t>Online,</w:t>
      </w:r>
      <w:r>
        <w:t xml:space="preserve"> zitiert am </w:t>
      </w:r>
      <w:r w:rsidR="006B2B45">
        <w:t>2023-10</w:t>
      </w:r>
      <w:r>
        <w:t xml:space="preserve">-14; verfügbar unter </w:t>
      </w:r>
      <w:hyperlink r:id="rId106" w:history="1">
        <w:r w:rsidRPr="004832F9">
          <w:rPr>
            <w:rStyle w:val="Hyperlink"/>
          </w:rPr>
          <w:t>https://edps.europa.eu/data-protection/our-work/publications/papers/aepd-edps-joint-paper-10-misunderstandings-related_en</w:t>
        </w:r>
      </w:hyperlink>
      <w:hyperlink r:id="rId107" w:history="1"/>
      <w:bookmarkEnd w:id="175"/>
    </w:p>
  </w:footnote>
  <w:footnote w:id="100">
    <w:p w14:paraId="56B5B362" w14:textId="63F47C80" w:rsidR="0040200F" w:rsidRDefault="0040200F">
      <w:pPr>
        <w:pStyle w:val="Funotentext"/>
      </w:pPr>
      <w:r>
        <w:rPr>
          <w:rStyle w:val="Funotenzeichen"/>
        </w:rPr>
        <w:footnoteRef/>
      </w:r>
      <w:r>
        <w:t xml:space="preserve"> Wikipedia: </w:t>
      </w:r>
      <w:r w:rsidRPr="0040200F">
        <w:t xml:space="preserve">Netflix </w:t>
      </w:r>
      <w:r w:rsidRPr="004832F9">
        <w:t>Prize</w:t>
      </w:r>
      <w:r>
        <w:t xml:space="preserve">. </w:t>
      </w:r>
      <w:r w:rsidRPr="004C1658">
        <w:t>Online,</w:t>
      </w:r>
      <w:r>
        <w:t xml:space="preserve"> zitiert am 202</w:t>
      </w:r>
      <w:r w:rsidR="006B2B45">
        <w:t>3</w:t>
      </w:r>
      <w:r>
        <w:t xml:space="preserve">-11-02; verfügbar unter </w:t>
      </w:r>
      <w:hyperlink r:id="rId108" w:history="1">
        <w:r>
          <w:rPr>
            <w:rStyle w:val="Hyperlink"/>
          </w:rPr>
          <w:t xml:space="preserve">https://en.wikipedia.org/wiki/ </w:t>
        </w:r>
        <w:r w:rsidRPr="004832F9">
          <w:rPr>
            <w:rStyle w:val="Hyperlink"/>
          </w:rPr>
          <w:t>Netflix_Prize</w:t>
        </w:r>
      </w:hyperlink>
    </w:p>
  </w:footnote>
  <w:footnote w:id="101">
    <w:p w14:paraId="2BB97899" w14:textId="40FD774C" w:rsidR="0040200F" w:rsidRDefault="0040200F">
      <w:pPr>
        <w:pStyle w:val="Funotentext"/>
      </w:pPr>
      <w:r>
        <w:rPr>
          <w:rStyle w:val="Funotenzeichen"/>
        </w:rPr>
        <w:footnoteRef/>
      </w:r>
      <w:r>
        <w:t xml:space="preserve"> </w:t>
      </w:r>
      <w:r w:rsidRPr="004832F9">
        <w:t>Narayanan</w:t>
      </w:r>
      <w:r>
        <w:t xml:space="preserve"> A, </w:t>
      </w:r>
      <w:r w:rsidRPr="004832F9">
        <w:t>Shmatikov</w:t>
      </w:r>
      <w:r>
        <w:t xml:space="preserve"> V. (2008) </w:t>
      </w:r>
      <w:r w:rsidRPr="0040200F">
        <w:t xml:space="preserve">Robust </w:t>
      </w:r>
      <w:r w:rsidRPr="004832F9">
        <w:t>De-anonymization</w:t>
      </w:r>
      <w:r w:rsidRPr="0040200F">
        <w:t xml:space="preserve"> </w:t>
      </w:r>
      <w:r w:rsidRPr="004832F9">
        <w:t>of</w:t>
      </w:r>
      <w:r w:rsidRPr="0040200F">
        <w:t xml:space="preserve"> </w:t>
      </w:r>
      <w:r w:rsidRPr="004832F9">
        <w:t>Large</w:t>
      </w:r>
      <w:r w:rsidRPr="0040200F">
        <w:t xml:space="preserve"> </w:t>
      </w:r>
      <w:r w:rsidRPr="004832F9">
        <w:t>Sparse</w:t>
      </w:r>
      <w:r w:rsidRPr="0040200F">
        <w:t xml:space="preserve"> </w:t>
      </w:r>
      <w:r w:rsidRPr="004832F9">
        <w:t>Datasets</w:t>
      </w:r>
      <w:r>
        <w:t xml:space="preserve">. </w:t>
      </w:r>
      <w:r w:rsidRPr="0040200F">
        <w:t xml:space="preserve">2008 IEEE Symposium on Security </w:t>
      </w:r>
      <w:r w:rsidRPr="004832F9">
        <w:t>and</w:t>
      </w:r>
      <w:r w:rsidRPr="0040200F">
        <w:t xml:space="preserve"> </w:t>
      </w:r>
      <w:r w:rsidRPr="004832F9">
        <w:t>Privacy</w:t>
      </w:r>
      <w:r>
        <w:t xml:space="preserve">: </w:t>
      </w:r>
      <w:r w:rsidRPr="00AF2176">
        <w:t>111-125</w:t>
      </w:r>
      <w:r>
        <w:t xml:space="preserve">. </w:t>
      </w:r>
      <w:r w:rsidRPr="004C1658">
        <w:t>Online,</w:t>
      </w:r>
      <w:r>
        <w:t xml:space="preserve"> zitiert am 202</w:t>
      </w:r>
      <w:r w:rsidR="006B2B45">
        <w:t>3</w:t>
      </w:r>
      <w:r>
        <w:t xml:space="preserve">-11-02; verfügbar unter </w:t>
      </w:r>
      <w:r w:rsidRPr="0040200F">
        <w:t>https://doi.org/10.1109/</w:t>
      </w:r>
      <w:r w:rsidRPr="004832F9">
        <w:t>SP.2008.33</w:t>
      </w:r>
      <w:r w:rsidRPr="0040200F">
        <w:t xml:space="preserve"> </w:t>
      </w:r>
      <w:r>
        <w:t xml:space="preserve">bzw. </w:t>
      </w:r>
      <w:r w:rsidRPr="004832F9">
        <w:t>pdf-Datei</w:t>
      </w:r>
      <w:r>
        <w:t xml:space="preserve"> unter </w:t>
      </w:r>
      <w:hyperlink r:id="rId109" w:history="1">
        <w:r>
          <w:rPr>
            <w:rStyle w:val="Hyperlink"/>
          </w:rPr>
          <w:t>https://www.cs.utexas.edu/~</w:t>
        </w:r>
        <w:r w:rsidRPr="004832F9">
          <w:rPr>
            <w:rStyle w:val="Hyperlink"/>
          </w:rPr>
          <w:t>shmat</w:t>
        </w:r>
        <w:r>
          <w:rPr>
            <w:rStyle w:val="Hyperlink"/>
          </w:rPr>
          <w:t xml:space="preserve">/ </w:t>
        </w:r>
        <w:r w:rsidRPr="004832F9">
          <w:rPr>
            <w:rStyle w:val="Hyperlink"/>
          </w:rPr>
          <w:t>shmat_oak08netflix.pdf</w:t>
        </w:r>
      </w:hyperlink>
    </w:p>
  </w:footnote>
  <w:footnote w:id="102">
    <w:p w14:paraId="07858A56" w14:textId="77777777" w:rsidR="0077385B" w:rsidRDefault="0077385B">
      <w:pPr>
        <w:pStyle w:val="Funotentext"/>
      </w:pPr>
      <w:r>
        <w:rPr>
          <w:rStyle w:val="Funotenzeichen"/>
        </w:rPr>
        <w:footnoteRef/>
      </w:r>
      <w:r>
        <w:t xml:space="preserve"> Siehe z. B. Bericht </w:t>
      </w:r>
      <w:r w:rsidRPr="004832F9">
        <w:t>in</w:t>
      </w:r>
    </w:p>
    <w:p w14:paraId="41F88E17" w14:textId="610EC794" w:rsidR="0077385B" w:rsidRDefault="0077385B" w:rsidP="0077385B">
      <w:pPr>
        <w:pStyle w:val="Funotentext"/>
        <w:numPr>
          <w:ilvl w:val="0"/>
          <w:numId w:val="26"/>
        </w:numPr>
      </w:pPr>
      <w:r>
        <w:t xml:space="preserve">Spektrum der Wissenschaft (2017) </w:t>
      </w:r>
      <w:r w:rsidRPr="004832F9">
        <w:t>Wem</w:t>
      </w:r>
      <w:r w:rsidRPr="0077385B">
        <w:t xml:space="preserve"> gehören meine Gendaten?</w:t>
      </w:r>
      <w:r>
        <w:t xml:space="preserve"> </w:t>
      </w:r>
      <w:r w:rsidRPr="004C1658">
        <w:t>Online,</w:t>
      </w:r>
      <w:r>
        <w:t xml:space="preserve"> zitiert am 202</w:t>
      </w:r>
      <w:r w:rsidR="006B2B45">
        <w:t>3</w:t>
      </w:r>
      <w:r>
        <w:t xml:space="preserve">-11-02; verfügbar unter </w:t>
      </w:r>
      <w:hyperlink r:id="rId110" w:history="1">
        <w:r w:rsidRPr="004832F9">
          <w:rPr>
            <w:rStyle w:val="Hyperlink"/>
          </w:rPr>
          <w:t>https://www.spektrum.de/news/wem-gehoeren-meine-gendaten/1459381</w:t>
        </w:r>
      </w:hyperlink>
    </w:p>
    <w:p w14:paraId="445DF810" w14:textId="5772D904" w:rsidR="0077385B" w:rsidRDefault="0077385B" w:rsidP="0077385B">
      <w:pPr>
        <w:pStyle w:val="Funotentext"/>
        <w:numPr>
          <w:ilvl w:val="0"/>
          <w:numId w:val="26"/>
        </w:numPr>
      </w:pPr>
      <w:r>
        <w:t xml:space="preserve">Deutschlandfunk (2019) </w:t>
      </w:r>
      <w:r w:rsidRPr="004832F9">
        <w:t>Das</w:t>
      </w:r>
      <w:r w:rsidRPr="0077385B">
        <w:t xml:space="preserve"> Geschäft mit menschlichen Genen</w:t>
      </w:r>
      <w:r>
        <w:t xml:space="preserve">. </w:t>
      </w:r>
      <w:r w:rsidRPr="004C1658">
        <w:t>Online,</w:t>
      </w:r>
      <w:r>
        <w:t xml:space="preserve"> zitiert am 202</w:t>
      </w:r>
      <w:r w:rsidR="006B2B45">
        <w:t>3</w:t>
      </w:r>
      <w:r>
        <w:t xml:space="preserve">-11-02; verfügbar unter </w:t>
      </w:r>
      <w:hyperlink r:id="rId111" w:history="1">
        <w:r w:rsidRPr="004832F9">
          <w:rPr>
            <w:rStyle w:val="Hyperlink"/>
          </w:rPr>
          <w:t>https://www.deutschlandfunkkultur.de/gendatenbanken-das-geschaeft-mit-menschlichen-genen-100.html</w:t>
        </w:r>
      </w:hyperlink>
    </w:p>
    <w:p w14:paraId="17FEA72D" w14:textId="601E340E" w:rsidR="00831372" w:rsidRDefault="00831372" w:rsidP="0077385B">
      <w:pPr>
        <w:pStyle w:val="Funotentext"/>
        <w:numPr>
          <w:ilvl w:val="0"/>
          <w:numId w:val="26"/>
        </w:numPr>
      </w:pPr>
      <w:r>
        <w:t xml:space="preserve">Taz (2019) </w:t>
      </w:r>
      <w:r w:rsidRPr="004832F9">
        <w:t>Gefährliches</w:t>
      </w:r>
      <w:r w:rsidRPr="00831372">
        <w:t xml:space="preserve"> Wissen</w:t>
      </w:r>
      <w:r>
        <w:t xml:space="preserve">. </w:t>
      </w:r>
      <w:r w:rsidRPr="004C1658">
        <w:t>Online,</w:t>
      </w:r>
      <w:r>
        <w:t xml:space="preserve"> zitiert am 202</w:t>
      </w:r>
      <w:r w:rsidR="006B2B45">
        <w:t>3</w:t>
      </w:r>
      <w:r>
        <w:t xml:space="preserve">-11-02; verfügbar unter </w:t>
      </w:r>
      <w:hyperlink r:id="rId112" w:history="1">
        <w:r w:rsidRPr="00112B02">
          <w:rPr>
            <w:rStyle w:val="Hyperlink"/>
          </w:rPr>
          <w:t>https://taz.de/Datenschutz-</w:t>
        </w:r>
        <w:r w:rsidRPr="004832F9">
          <w:rPr>
            <w:rStyle w:val="Hyperlink"/>
          </w:rPr>
          <w:t>bei-Gentests</w:t>
        </w:r>
        <w:r w:rsidRPr="00112B02">
          <w:rPr>
            <w:rStyle w:val="Hyperlink"/>
          </w:rPr>
          <w:t>/!5588812</w:t>
        </w:r>
        <w:r w:rsidRPr="004832F9">
          <w:rPr>
            <w:rStyle w:val="Hyperlink"/>
          </w:rPr>
          <w:t>/</w:t>
        </w:r>
      </w:hyperlink>
    </w:p>
  </w:footnote>
  <w:footnote w:id="103">
    <w:p w14:paraId="21384ADE" w14:textId="3F14AA99" w:rsidR="00831372" w:rsidRDefault="00831372">
      <w:pPr>
        <w:pStyle w:val="Funotentext"/>
      </w:pPr>
      <w:r>
        <w:rPr>
          <w:rStyle w:val="Funotenzeichen"/>
        </w:rPr>
        <w:footnoteRef/>
      </w:r>
      <w:r>
        <w:t xml:space="preserve"> Siehe z. B: Berichte aus Oktober 2023:</w:t>
      </w:r>
    </w:p>
    <w:p w14:paraId="4F833954" w14:textId="025EEBC2" w:rsidR="00831372" w:rsidRDefault="00831372" w:rsidP="00831372">
      <w:pPr>
        <w:pStyle w:val="Funotentext"/>
        <w:numPr>
          <w:ilvl w:val="0"/>
          <w:numId w:val="26"/>
        </w:numPr>
      </w:pPr>
      <w:r>
        <w:t xml:space="preserve">Borns IT- und Windows-Blog (2023) </w:t>
      </w:r>
      <w:r w:rsidRPr="00831372">
        <w:t>Kundendaten von Genom-Analyseanbieter 23</w:t>
      </w:r>
      <w:r w:rsidRPr="004832F9">
        <w:t>andMe</w:t>
      </w:r>
      <w:r w:rsidRPr="00831372">
        <w:t xml:space="preserve"> im Netz aufgetaucht</w:t>
      </w:r>
      <w:r>
        <w:t xml:space="preserve">- </w:t>
      </w:r>
      <w:r w:rsidRPr="004832F9">
        <w:t>Online</w:t>
      </w:r>
      <w:r w:rsidRPr="004C1658">
        <w:t>,</w:t>
      </w:r>
      <w:r>
        <w:t xml:space="preserve"> zitiert am 202</w:t>
      </w:r>
      <w:r w:rsidR="006B2B45">
        <w:t>3</w:t>
      </w:r>
      <w:r>
        <w:t xml:space="preserve">-11-02; verfügbar unter </w:t>
      </w:r>
      <w:hyperlink r:id="rId113" w:history="1">
        <w:r>
          <w:rPr>
            <w:rStyle w:val="Hyperlink"/>
          </w:rPr>
          <w:t>https://www.borncity.com/blog/ 2023/10/22/</w:t>
        </w:r>
        <w:r w:rsidRPr="004832F9">
          <w:rPr>
            <w:rStyle w:val="Hyperlink"/>
          </w:rPr>
          <w:t>kundendaten-von-genom-analyseanbieter</w:t>
        </w:r>
        <w:r>
          <w:rPr>
            <w:rStyle w:val="Hyperlink"/>
          </w:rPr>
          <w:t>-23</w:t>
        </w:r>
        <w:r w:rsidRPr="004832F9">
          <w:rPr>
            <w:rStyle w:val="Hyperlink"/>
          </w:rPr>
          <w:t>andme-im-netz-aufgetaucht/</w:t>
        </w:r>
      </w:hyperlink>
    </w:p>
    <w:p w14:paraId="3AC9BC40" w14:textId="67F938A9" w:rsidR="00831372" w:rsidRDefault="00831372" w:rsidP="00831372">
      <w:pPr>
        <w:pStyle w:val="Funotentext"/>
        <w:numPr>
          <w:ilvl w:val="0"/>
          <w:numId w:val="26"/>
        </w:numPr>
      </w:pPr>
      <w:r w:rsidRPr="004832F9">
        <w:t xml:space="preserve">TechCrunch (2023) Hackers advertised 23andMe stolen data two months ago. </w:t>
      </w:r>
      <w:r w:rsidRPr="004C1658">
        <w:t>Online,</w:t>
      </w:r>
      <w:r>
        <w:t xml:space="preserve"> zitiert am 202</w:t>
      </w:r>
      <w:r w:rsidR="006B2B45">
        <w:t>3</w:t>
      </w:r>
      <w:r>
        <w:t xml:space="preserve">-11-02; verfügbar unter </w:t>
      </w:r>
      <w:hyperlink r:id="rId114" w:history="1">
        <w:r w:rsidRPr="00112B02">
          <w:rPr>
            <w:rStyle w:val="Hyperlink"/>
          </w:rPr>
          <w:t>https://techcrunch.com/2023/10/10/hackers-</w:t>
        </w:r>
        <w:r w:rsidRPr="004832F9">
          <w:rPr>
            <w:rStyle w:val="Hyperlink"/>
          </w:rPr>
          <w:t>advertised-23andme-stolen-data-two-months-ago/</w:t>
        </w:r>
      </w:hyperlink>
    </w:p>
    <w:p w14:paraId="37A5C153" w14:textId="50A92167" w:rsidR="00831372" w:rsidRDefault="00831372" w:rsidP="00831372">
      <w:pPr>
        <w:pStyle w:val="Funotentext"/>
        <w:numPr>
          <w:ilvl w:val="0"/>
          <w:numId w:val="26"/>
        </w:numPr>
      </w:pPr>
      <w:r>
        <w:t xml:space="preserve">Heise online (2023) </w:t>
      </w:r>
      <w:r w:rsidRPr="00831372">
        <w:t>23</w:t>
      </w:r>
      <w:r w:rsidRPr="004832F9">
        <w:t>andme</w:t>
      </w:r>
      <w:r w:rsidRPr="00831372">
        <w:t>: Angeblich vier Millionen weitere Genanalyse-Daten geleakt</w:t>
      </w:r>
      <w:r>
        <w:t xml:space="preserve">. </w:t>
      </w:r>
      <w:r w:rsidRPr="004C1658">
        <w:t>Online,</w:t>
      </w:r>
      <w:r>
        <w:t xml:space="preserve"> zitiert am 202</w:t>
      </w:r>
      <w:r w:rsidR="006B2B45">
        <w:t>3</w:t>
      </w:r>
      <w:r>
        <w:t xml:space="preserve">-11-02; verfügbar unter </w:t>
      </w:r>
      <w:hyperlink r:id="rId115" w:history="1">
        <w:r w:rsidRPr="004832F9">
          <w:rPr>
            <w:rStyle w:val="Hyperlink"/>
          </w:rPr>
          <w:t>https://www.heise.de/news/23andme-Angeblich-Genanalyse-Daten-aus-Grossbritannien-und-Deutschland-geleakt-9339051.html</w:t>
        </w:r>
      </w:hyperlink>
    </w:p>
  </w:footnote>
  <w:footnote w:id="104">
    <w:p w14:paraId="26B735EA" w14:textId="77777777" w:rsidR="007B24B9" w:rsidRDefault="007B24B9" w:rsidP="007B24B9">
      <w:pPr>
        <w:pStyle w:val="Funotentext"/>
      </w:pPr>
      <w:r>
        <w:rPr>
          <w:rStyle w:val="Funotenzeichen"/>
        </w:rPr>
        <w:footnoteRef/>
      </w:r>
      <w:r>
        <w:t xml:space="preserve">Gierschmann S. (2021) Gestaltungsmöglichkeiten durch systematisches und risikobasiertes Vorgehen – </w:t>
      </w:r>
      <w:r w:rsidRPr="004832F9">
        <w:t>Was</w:t>
      </w:r>
      <w:r>
        <w:t xml:space="preserve"> ist schon anonym? </w:t>
      </w:r>
      <w:r w:rsidRPr="004832F9">
        <w:t>ZD</w:t>
      </w:r>
      <w:r>
        <w:t>: 482-486</w:t>
      </w:r>
    </w:p>
  </w:footnote>
  <w:footnote w:id="105">
    <w:p w14:paraId="5D9C1392" w14:textId="764DF69A" w:rsidR="007B24B9" w:rsidRDefault="007B24B9" w:rsidP="007B24B9">
      <w:pPr>
        <w:pStyle w:val="Funotentext"/>
      </w:pPr>
      <w:r>
        <w:rPr>
          <w:rStyle w:val="Funotenzeichen"/>
        </w:rPr>
        <w:footnoteRef/>
      </w:r>
      <w:r>
        <w:t xml:space="preserve">EuGH: </w:t>
      </w:r>
      <w:r w:rsidRPr="004C1658">
        <w:t>Urt</w:t>
      </w:r>
      <w:r>
        <w:t xml:space="preserve">. v. 2016-10-19, Az. C-582/14. </w:t>
      </w:r>
      <w:r w:rsidRPr="004832F9">
        <w:t>Online,</w:t>
      </w:r>
      <w:r>
        <w:t xml:space="preserve"> zitiert am </w:t>
      </w:r>
      <w:r w:rsidR="006B2B45">
        <w:t>2023-10</w:t>
      </w:r>
      <w:r>
        <w:t xml:space="preserve">-14; verfügbar unter </w:t>
      </w:r>
      <w:hyperlink r:id="rId116">
        <w:r>
          <w:rPr>
            <w:rStyle w:val="Internetverknpfung"/>
          </w:rPr>
          <w:t>https://dejure.org/2016</w:t>
        </w:r>
        <w:r w:rsidRPr="004832F9">
          <w:rPr>
            <w:rStyle w:val="Internetverknpfung"/>
          </w:rPr>
          <w:t>,33959</w:t>
        </w:r>
      </w:hyperlink>
      <w:r>
        <w:t xml:space="preserve"> bzw. Volltext unter </w:t>
      </w:r>
      <w:hyperlink r:id="rId117">
        <w:r>
          <w:rPr>
            <w:rStyle w:val="Internetverknpfung"/>
          </w:rPr>
          <w:t xml:space="preserve">https://curia.europa.eu/juris/ </w:t>
        </w:r>
        <w:r w:rsidRPr="004832F9">
          <w:rPr>
            <w:rStyle w:val="Internetverknpfung"/>
          </w:rPr>
          <w:t>document</w:t>
        </w:r>
        <w:r>
          <w:rPr>
            <w:rStyle w:val="Internetverknpfung"/>
          </w:rPr>
          <w:t>/</w:t>
        </w:r>
        <w:r w:rsidRPr="004832F9">
          <w:rPr>
            <w:rStyle w:val="Internetverknpfung"/>
          </w:rPr>
          <w:t>document.jsf?text</w:t>
        </w:r>
        <w:r>
          <w:rPr>
            <w:rStyle w:val="Internetverknpfung"/>
          </w:rPr>
          <w:t>=&amp;</w:t>
        </w:r>
        <w:r w:rsidRPr="004832F9">
          <w:rPr>
            <w:rStyle w:val="Internetverknpfung"/>
          </w:rPr>
          <w:t>docid</w:t>
        </w:r>
        <w:r>
          <w:rPr>
            <w:rStyle w:val="Internetverknpfung"/>
          </w:rPr>
          <w:t>=184668&amp;</w:t>
        </w:r>
        <w:r w:rsidRPr="004832F9">
          <w:rPr>
            <w:rStyle w:val="Internetverknpfung"/>
          </w:rPr>
          <w:t>pageIndex</w:t>
        </w:r>
        <w:r>
          <w:rPr>
            <w:rStyle w:val="Internetverknpfung"/>
          </w:rPr>
          <w:t>=0&amp;</w:t>
        </w:r>
        <w:r w:rsidRPr="004832F9">
          <w:rPr>
            <w:rStyle w:val="Internetverknpfung"/>
          </w:rPr>
          <w:t>doclang</w:t>
        </w:r>
        <w:r>
          <w:rPr>
            <w:rStyle w:val="Internetverknpfung"/>
          </w:rPr>
          <w:t>=DE&amp;mode=</w:t>
        </w:r>
        <w:r w:rsidRPr="004832F9">
          <w:rPr>
            <w:rStyle w:val="Internetverknpfung"/>
          </w:rPr>
          <w:t>req</w:t>
        </w:r>
        <w:r>
          <w:rPr>
            <w:rStyle w:val="Internetverknpfung"/>
          </w:rPr>
          <w:t xml:space="preserve">&amp;dir=&amp; </w:t>
        </w:r>
        <w:r w:rsidRPr="004832F9">
          <w:rPr>
            <w:rStyle w:val="Internetverknpfung"/>
          </w:rPr>
          <w:t>occ</w:t>
        </w:r>
        <w:r>
          <w:rPr>
            <w:rStyle w:val="Internetverknpfung"/>
          </w:rPr>
          <w:t>=</w:t>
        </w:r>
        <w:r w:rsidRPr="004832F9">
          <w:rPr>
            <w:rStyle w:val="Internetverknpfung"/>
          </w:rPr>
          <w:t>first</w:t>
        </w:r>
        <w:r>
          <w:rPr>
            <w:rStyle w:val="Internetverknpfung"/>
          </w:rPr>
          <w:t>&amp;</w:t>
        </w:r>
        <w:r w:rsidRPr="004832F9">
          <w:rPr>
            <w:rStyle w:val="Internetverknpfung"/>
          </w:rPr>
          <w:t>part</w:t>
        </w:r>
        <w:r>
          <w:rPr>
            <w:rStyle w:val="Internetverknpfung"/>
          </w:rPr>
          <w:t>=</w:t>
        </w:r>
        <w:r w:rsidRPr="004832F9">
          <w:rPr>
            <w:rStyle w:val="Internetverknpfung"/>
          </w:rPr>
          <w:t>1</w:t>
        </w:r>
      </w:hyperlink>
    </w:p>
  </w:footnote>
  <w:footnote w:id="106">
    <w:p w14:paraId="47A79F68" w14:textId="21FFB9EE" w:rsidR="007B24B9" w:rsidRDefault="007B24B9" w:rsidP="007B24B9">
      <w:pPr>
        <w:pStyle w:val="Funotentext"/>
      </w:pPr>
      <w:r>
        <w:rPr>
          <w:rStyle w:val="Funotenzeichen"/>
        </w:rPr>
        <w:footnoteRef/>
      </w:r>
      <w:r>
        <w:t xml:space="preserve">EDSA: Leitlinien 04/2020 für die Verwendung von Standortdaten und Tools zur Kontaktnachverfolgung im Zusammenhang mit dem Ausbruch von COVID-19. </w:t>
      </w:r>
      <w:r w:rsidRPr="004832F9">
        <w:t>Online,</w:t>
      </w:r>
      <w:r>
        <w:t xml:space="preserve"> zitiert am </w:t>
      </w:r>
      <w:r w:rsidR="006B2B45">
        <w:t>2023-10</w:t>
      </w:r>
      <w:r>
        <w:t xml:space="preserve">-14; verfügbar unter </w:t>
      </w:r>
      <w:hyperlink r:id="rId118">
        <w:r>
          <w:rPr>
            <w:rStyle w:val="Internetverknpfung"/>
          </w:rPr>
          <w:t xml:space="preserve">https://edpb.europa.eu/our-work-tools/our-documents/guidelines/ </w:t>
        </w:r>
        <w:r w:rsidRPr="004832F9">
          <w:rPr>
            <w:rStyle w:val="Internetverknpfung"/>
          </w:rPr>
          <w:t>guidelines-042020-use-location-data-and-contact-tracing_de</w:t>
        </w:r>
      </w:hyperlink>
    </w:p>
  </w:footnote>
  <w:footnote w:id="107">
    <w:p w14:paraId="03119655" w14:textId="438826DC" w:rsidR="00D37709" w:rsidRDefault="00D37709" w:rsidP="00D37709">
      <w:pPr>
        <w:pStyle w:val="Funotentext"/>
      </w:pPr>
      <w:r>
        <w:rPr>
          <w:rStyle w:val="Funotenzeichen"/>
        </w:rPr>
        <w:footnoteRef/>
      </w:r>
      <w:r>
        <w:t xml:space="preserve"> Wissenschaftliche Ansätze zur berechnung der Wahrscheinlichkeit finden sich beispielsweise in: Rocher L, </w:t>
      </w:r>
      <w:r w:rsidRPr="00D37709">
        <w:t>Hendrickx</w:t>
      </w:r>
      <w:r>
        <w:t xml:space="preserve"> JM, </w:t>
      </w:r>
      <w:r w:rsidRPr="00D37709">
        <w:t>de Montjoye</w:t>
      </w:r>
      <w:r>
        <w:t xml:space="preserve"> Y. (2019) Estimating the success of re-identifications in incomplete datasets using generative models. </w:t>
      </w:r>
      <w:r w:rsidRPr="00D37709">
        <w:t>Nat Commun 10</w:t>
      </w:r>
      <w:r>
        <w:t>:</w:t>
      </w:r>
      <w:r w:rsidRPr="00D37709">
        <w:t xml:space="preserve"> 3069</w:t>
      </w:r>
      <w:r>
        <w:t xml:space="preserve">. </w:t>
      </w:r>
      <w:r w:rsidRPr="00D37709">
        <w:t>https://doi.org/10.1038/s41467-019-10933-3</w:t>
      </w:r>
    </w:p>
  </w:footnote>
  <w:footnote w:id="108">
    <w:p w14:paraId="292D1E8B" w14:textId="110FC631" w:rsidR="00AE4EA7" w:rsidRDefault="00000000">
      <w:pPr>
        <w:pStyle w:val="Funotentext"/>
      </w:pPr>
      <w:r>
        <w:rPr>
          <w:rStyle w:val="Funotenzeichen"/>
        </w:rPr>
        <w:footnoteRef/>
      </w:r>
      <w:r>
        <w:t xml:space="preserve"> </w:t>
      </w:r>
      <w:r w:rsidRPr="004832F9">
        <w:t>Hochfellner</w:t>
      </w:r>
      <w:r>
        <w:t xml:space="preserve"> et al. (2012) </w:t>
      </w:r>
      <w:r w:rsidRPr="004832F9">
        <w:t>FDZ-Methodenreporte</w:t>
      </w:r>
      <w:r>
        <w:t xml:space="preserve">: Datenschutz am Forschungsdatenzentrum. (Hrsg.: Bundesagentur für Arbeit). Online, zitiert am </w:t>
      </w:r>
      <w:r w:rsidR="006B2B45">
        <w:t>2023-10</w:t>
      </w:r>
      <w:r>
        <w:t xml:space="preserve">-14; verfügbar unter </w:t>
      </w:r>
      <w:hyperlink r:id="rId119">
        <w:r>
          <w:rPr>
            <w:rStyle w:val="Internetverknpfung"/>
          </w:rPr>
          <w:t>http://doku.iab.de/fdz/reporte/ 2012/</w:t>
        </w:r>
        <w:r w:rsidRPr="004832F9">
          <w:rPr>
            <w:rStyle w:val="Internetverknpfung"/>
          </w:rPr>
          <w:t>MR_06-12.pdf</w:t>
        </w:r>
      </w:hyperlink>
    </w:p>
  </w:footnote>
  <w:footnote w:id="109">
    <w:p w14:paraId="396F9FC0" w14:textId="77777777" w:rsidR="00AE4EA7" w:rsidRDefault="00000000">
      <w:pPr>
        <w:pStyle w:val="Funotentext"/>
      </w:pPr>
      <w:r>
        <w:rPr>
          <w:rStyle w:val="Funotenzeichen"/>
        </w:rPr>
        <w:footnoteRef/>
      </w:r>
      <w:r>
        <w:t xml:space="preserve"> Stefan </w:t>
      </w:r>
      <w:r w:rsidRPr="004832F9">
        <w:t>Drackert</w:t>
      </w:r>
      <w:r>
        <w:t xml:space="preserve"> (2014) </w:t>
      </w:r>
      <w:r w:rsidRPr="004832F9">
        <w:t>Die</w:t>
      </w:r>
      <w:r>
        <w:t xml:space="preserve"> Risiken der Verarbeitung personenbezogener Daten - </w:t>
      </w:r>
      <w:r w:rsidRPr="004832F9">
        <w:t>Eine</w:t>
      </w:r>
      <w:r>
        <w:t xml:space="preserve"> Untersuchung zu den Grundlagen des Datenschutzrechts. </w:t>
      </w:r>
      <w:r w:rsidRPr="004832F9">
        <w:t>Duncker</w:t>
      </w:r>
      <w:r>
        <w:t xml:space="preserve"> &amp; </w:t>
      </w:r>
      <w:r w:rsidRPr="004832F9">
        <w:t>Humblot</w:t>
      </w:r>
      <w:r>
        <w:t xml:space="preserve"> GmbH. ISBN '978-3-428-1 4730-4</w:t>
      </w:r>
    </w:p>
  </w:footnote>
  <w:footnote w:id="110">
    <w:p w14:paraId="16A20CD9" w14:textId="08F18838" w:rsidR="006D01EC" w:rsidRDefault="006D01EC">
      <w:pPr>
        <w:pStyle w:val="Funotentext"/>
      </w:pPr>
      <w:r>
        <w:rPr>
          <w:rStyle w:val="Funotenzeichen"/>
        </w:rPr>
        <w:footnoteRef/>
      </w:r>
      <w:r>
        <w:t xml:space="preserve"> Siehe </w:t>
      </w:r>
      <w:r w:rsidRPr="004832F9">
        <w:t>z.</w:t>
      </w:r>
      <w:r w:rsidR="004832F9" w:rsidRPr="004832F9">
        <w:t> </w:t>
      </w:r>
      <w:r w:rsidRPr="004832F9">
        <w:t>B.</w:t>
      </w:r>
      <w:r>
        <w:t xml:space="preserve"> auch </w:t>
      </w:r>
      <w:r w:rsidRPr="006D01EC">
        <w:t xml:space="preserve">Personal Data </w:t>
      </w:r>
      <w:r w:rsidRPr="004832F9">
        <w:t>Protection</w:t>
      </w:r>
      <w:r w:rsidRPr="006D01EC">
        <w:t xml:space="preserve"> </w:t>
      </w:r>
      <w:r w:rsidRPr="004832F9">
        <w:t>CommsissionSingapur</w:t>
      </w:r>
      <w:r>
        <w:t xml:space="preserve"> (2018) G</w:t>
      </w:r>
      <w:r w:rsidRPr="006D01EC">
        <w:t xml:space="preserve">uide </w:t>
      </w:r>
      <w:r w:rsidRPr="004832F9">
        <w:t>to</w:t>
      </w:r>
      <w:r w:rsidRPr="006D01EC">
        <w:t xml:space="preserve"> </w:t>
      </w:r>
      <w:r w:rsidRPr="004832F9">
        <w:t>basic</w:t>
      </w:r>
      <w:r w:rsidRPr="006D01EC">
        <w:t xml:space="preserve"> </w:t>
      </w:r>
      <w:r w:rsidRPr="004832F9">
        <w:t>data</w:t>
      </w:r>
      <w:r w:rsidRPr="006D01EC">
        <w:t xml:space="preserve"> </w:t>
      </w:r>
      <w:r w:rsidRPr="004832F9">
        <w:t>anonymisation</w:t>
      </w:r>
      <w:r w:rsidRPr="006D01EC">
        <w:t xml:space="preserve"> </w:t>
      </w:r>
      <w:r w:rsidRPr="004832F9">
        <w:t>techniques</w:t>
      </w:r>
      <w:r>
        <w:t xml:space="preserve">. S. 30.ff. </w:t>
      </w:r>
      <w:r w:rsidRPr="004832F9">
        <w:t>Online</w:t>
      </w:r>
      <w:r>
        <w:t xml:space="preserve">, zitiert am </w:t>
      </w:r>
      <w:r w:rsidR="006B2B45">
        <w:t>2023-10</w:t>
      </w:r>
      <w:r>
        <w:t xml:space="preserve">-14; verfügbar unter </w:t>
      </w:r>
      <w:hyperlink r:id="rId120" w:history="1">
        <w:r w:rsidRPr="00372B81">
          <w:rPr>
            <w:rStyle w:val="Hyperlink"/>
          </w:rPr>
          <w:t>https://www.pdpc.gov.sg/-/media/Files/PDPC/PDF-Files/Other-Guides/Guide-to-Anonymisation_v1-(250118)</w:t>
        </w:r>
        <w:r w:rsidRPr="004832F9">
          <w:rPr>
            <w:rStyle w:val="Hyperlink"/>
          </w:rPr>
          <w:t>.pdf?la</w:t>
        </w:r>
        <w:r w:rsidRPr="00372B81">
          <w:rPr>
            <w:rStyle w:val="Hyperlink"/>
          </w:rPr>
          <w:t>=</w:t>
        </w:r>
        <w:r w:rsidRPr="004832F9">
          <w:rPr>
            <w:rStyle w:val="Hyperlink"/>
          </w:rPr>
          <w:t>en</w:t>
        </w:r>
      </w:hyperlink>
    </w:p>
  </w:footnote>
  <w:footnote w:id="111">
    <w:p w14:paraId="0A505A6D" w14:textId="144840A3" w:rsidR="00AE4EA7" w:rsidRDefault="00000000">
      <w:pPr>
        <w:pStyle w:val="Funotentext"/>
      </w:pPr>
      <w:r>
        <w:rPr>
          <w:rStyle w:val="Funotenzeichen"/>
        </w:rPr>
        <w:footnoteRef/>
      </w:r>
      <w:r>
        <w:t xml:space="preserve"> Konferenz der unabhängigen Datenschutzbehörden des Bundes und der Länder (Datenschutzkonferenz - </w:t>
      </w:r>
      <w:r w:rsidRPr="004832F9">
        <w:t>DSK</w:t>
      </w:r>
      <w:r>
        <w:t xml:space="preserve">): Kurzpapier 18 „Risiko für die Rechte und Freiheiten natürlicher Personen“. Online, zitiert am </w:t>
      </w:r>
      <w:r w:rsidR="006B2B45">
        <w:t>2023-10</w:t>
      </w:r>
      <w:r>
        <w:t xml:space="preserve">-14; verfügbar unter </w:t>
      </w:r>
      <w:hyperlink r:id="rId121">
        <w:r w:rsidRPr="004832F9">
          <w:rPr>
            <w:rStyle w:val="Internetverknpfung"/>
          </w:rPr>
          <w:t>https://www.datenschutzkonferenz-online.de/media/kp/dsk_kpnr_18.pdf</w:t>
        </w:r>
      </w:hyperlink>
    </w:p>
  </w:footnote>
  <w:footnote w:id="112">
    <w:p w14:paraId="4EF30513" w14:textId="2DEF5623" w:rsidR="00D27765" w:rsidRDefault="00D27765">
      <w:pPr>
        <w:pStyle w:val="Funotentext"/>
      </w:pPr>
      <w:r>
        <w:rPr>
          <w:rStyle w:val="Funotenzeichen"/>
        </w:rPr>
        <w:footnoteRef/>
      </w:r>
      <w:r>
        <w:t xml:space="preserve"> Li N, Li T, </w:t>
      </w:r>
      <w:r w:rsidRPr="004832F9">
        <w:t>Venkatasubramanian</w:t>
      </w:r>
      <w:r>
        <w:t xml:space="preserve"> S. (2007) </w:t>
      </w:r>
      <w:r w:rsidRPr="004832F9">
        <w:t>t-Closeness</w:t>
      </w:r>
      <w:r w:rsidRPr="00D27765">
        <w:t xml:space="preserve">: </w:t>
      </w:r>
      <w:r w:rsidRPr="004832F9">
        <w:t>Privacy</w:t>
      </w:r>
      <w:r w:rsidRPr="00D27765">
        <w:t xml:space="preserve"> </w:t>
      </w:r>
      <w:r w:rsidRPr="004832F9">
        <w:t>Beyond</w:t>
      </w:r>
      <w:r w:rsidRPr="00D27765">
        <w:t xml:space="preserve"> </w:t>
      </w:r>
      <w:r w:rsidRPr="004832F9">
        <w:t>k-Anonymity</w:t>
      </w:r>
      <w:r w:rsidRPr="00D27765">
        <w:t xml:space="preserve"> </w:t>
      </w:r>
      <w:r w:rsidRPr="004832F9">
        <w:t>and</w:t>
      </w:r>
      <w:r w:rsidRPr="00D27765">
        <w:t xml:space="preserve"> l-Diversity</w:t>
      </w:r>
      <w:r>
        <w:t xml:space="preserve">. </w:t>
      </w:r>
      <w:r w:rsidRPr="00D27765">
        <w:t>IEEE 23</w:t>
      </w:r>
      <w:r w:rsidRPr="004832F9">
        <w:t>rd</w:t>
      </w:r>
      <w:r w:rsidRPr="00D27765">
        <w:t xml:space="preserve"> </w:t>
      </w:r>
      <w:r w:rsidRPr="004832F9">
        <w:t>International</w:t>
      </w:r>
      <w:r w:rsidRPr="00D27765">
        <w:t xml:space="preserve"> Conference on Data Engineering. </w:t>
      </w:r>
      <w:hyperlink r:id="rId122" w:history="1">
        <w:r w:rsidRPr="00003763">
          <w:rPr>
            <w:rStyle w:val="Hyperlink"/>
          </w:rPr>
          <w:t>https://doi.org/10</w:t>
        </w:r>
        <w:r w:rsidRPr="004832F9">
          <w:rPr>
            <w:rStyle w:val="Hyperlink"/>
          </w:rPr>
          <w:t>.1109%</w:t>
        </w:r>
        <w:r w:rsidRPr="00003763">
          <w:rPr>
            <w:rStyle w:val="Hyperlink"/>
          </w:rPr>
          <w:t>2</w:t>
        </w:r>
        <w:r w:rsidRPr="004832F9">
          <w:rPr>
            <w:rStyle w:val="Hyperlink"/>
          </w:rPr>
          <w:t>FICDE.2007.367856</w:t>
        </w:r>
      </w:hyperlink>
    </w:p>
  </w:footnote>
  <w:footnote w:id="113">
    <w:p w14:paraId="00D5A07C" w14:textId="1ADAD086" w:rsidR="00B544F6" w:rsidRDefault="00B544F6">
      <w:pPr>
        <w:pStyle w:val="Funotentext"/>
      </w:pPr>
      <w:r>
        <w:rPr>
          <w:rStyle w:val="Funotenzeichen"/>
        </w:rPr>
        <w:footnoteRef/>
      </w:r>
      <w:r>
        <w:t xml:space="preserve"> </w:t>
      </w:r>
      <w:r w:rsidRPr="00B544F6">
        <w:t>Artikel-29-Datenschutzgruppe</w:t>
      </w:r>
      <w:r>
        <w:t xml:space="preserve"> (2014) </w:t>
      </w:r>
      <w:r w:rsidRPr="00B544F6">
        <w:t>Stellungnahme 5/2014 zu Anonymisierungstechniken</w:t>
      </w:r>
      <w:r>
        <w:t xml:space="preserve">. S. 22. Online, zitiert am </w:t>
      </w:r>
      <w:r w:rsidR="006B2B45">
        <w:t>2023-10</w:t>
      </w:r>
      <w:r>
        <w:t xml:space="preserve">-14; verfügbar unter </w:t>
      </w:r>
      <w:hyperlink r:id="rId123" w:anchor="maincontentSec4" w:history="1">
        <w:r w:rsidRPr="004832F9">
          <w:rPr>
            <w:rStyle w:val="Hyperlink"/>
          </w:rPr>
          <w:t>https://ec.europa.eu/justice/article-29/documentation/opinion-recommendation/index_en.htm#maincontentSec4</w:t>
        </w:r>
      </w:hyperlink>
    </w:p>
  </w:footnote>
  <w:footnote w:id="114">
    <w:p w14:paraId="5309E6F2" w14:textId="09ED39EA" w:rsidR="00462357" w:rsidRDefault="00462357">
      <w:pPr>
        <w:pStyle w:val="Funotentext"/>
      </w:pPr>
      <w:r>
        <w:rPr>
          <w:rStyle w:val="Funotenzeichen"/>
        </w:rPr>
        <w:footnoteRef/>
      </w:r>
      <w:r>
        <w:t xml:space="preserve"> Ausführliche Betrachtung, wenn auch noch unter der Definition des Personenbezugs unter Geltung des BDSG aus dem Jahr 2016, in der Dissertation: </w:t>
      </w:r>
      <w:r w:rsidRPr="004832F9">
        <w:t>Küpper</w:t>
      </w:r>
      <w:r>
        <w:t xml:space="preserve"> J. „</w:t>
      </w:r>
      <w:r w:rsidRPr="00462357">
        <w:t>Personenbezug von Gruppendaten? Eine Untersuchung am Beispiel von Scoring und Geo-Gruppendaten</w:t>
      </w:r>
      <w:r>
        <w:t xml:space="preserve">“. </w:t>
      </w:r>
      <w:r w:rsidRPr="00462357">
        <w:t>Herbert Utz Verlag</w:t>
      </w:r>
      <w:r>
        <w:t xml:space="preserve">, 1. Auflage 2016. </w:t>
      </w:r>
      <w:r w:rsidRPr="00462357">
        <w:t>ISBN 978-3-8316-4597-8</w:t>
      </w:r>
    </w:p>
  </w:footnote>
  <w:footnote w:id="115">
    <w:p w14:paraId="7EBB0241" w14:textId="51433FA4" w:rsidR="00661DFB" w:rsidRDefault="00661DFB">
      <w:pPr>
        <w:pStyle w:val="Funotentext"/>
      </w:pPr>
      <w:r>
        <w:rPr>
          <w:rStyle w:val="Funotenzeichen"/>
        </w:rPr>
        <w:footnoteRef/>
      </w:r>
      <w:r w:rsidRPr="00661DFB">
        <w:rPr>
          <w:lang w:val="en-US"/>
        </w:rPr>
        <w:t xml:space="preserve"> Xia X, Tao Y. (2006) Anatomy: simple and effective privacy preservation. Proceedings of the 32nd international conference on Very large data bases: 139–150. </w:t>
      </w:r>
      <w:hyperlink r:id="rId124" w:history="1">
        <w:r w:rsidRPr="00D00419">
          <w:rPr>
            <w:rStyle w:val="Hyperlink"/>
          </w:rPr>
          <w:t>https://dl.acm.org/doi/10.5555/1182635.1164141</w:t>
        </w:r>
      </w:hyperlink>
    </w:p>
  </w:footnote>
  <w:footnote w:id="116">
    <w:p w14:paraId="47A9BAA0" w14:textId="77777777" w:rsidR="00AE4EA7" w:rsidRDefault="00000000">
      <w:pPr>
        <w:pStyle w:val="Funotentext"/>
      </w:pPr>
      <w:r>
        <w:rPr>
          <w:rStyle w:val="Funotenzeichen"/>
        </w:rPr>
        <w:footnoteRef/>
      </w:r>
      <w:r>
        <w:t xml:space="preserve"> Siehe auch DIN EN ISO 25237:2017: </w:t>
      </w:r>
      <w:r w:rsidRPr="004832F9">
        <w:t>Medizinische</w:t>
      </w:r>
      <w:r>
        <w:t xml:space="preserve"> Informatik – Pseudonymisierung. Erhältlich z. B. online beim </w:t>
      </w:r>
      <w:r w:rsidRPr="004832F9">
        <w:t>Beuth-Verlag</w:t>
      </w:r>
      <w:r>
        <w:t xml:space="preserve"> unter </w:t>
      </w:r>
      <w:hyperlink r:id="rId125">
        <w:r>
          <w:rPr>
            <w:rStyle w:val="Internetverknpfung"/>
          </w:rPr>
          <w:t>https://www.beuth.de/de/norm/din-en-iso-25237/258588981</w:t>
        </w:r>
      </w:hyperlink>
    </w:p>
  </w:footnote>
  <w:footnote w:id="117">
    <w:p w14:paraId="55695A59" w14:textId="77777777" w:rsidR="00AE4EA7" w:rsidRDefault="00000000">
      <w:pPr>
        <w:pStyle w:val="Funotentext"/>
      </w:pPr>
      <w:r>
        <w:rPr>
          <w:rStyle w:val="Funotenzeichen"/>
        </w:rPr>
        <w:footnoteRef/>
      </w:r>
      <w:r>
        <w:t xml:space="preserve"> Beispiele bzgl. </w:t>
      </w:r>
      <w:r w:rsidRPr="004832F9">
        <w:t>Policy</w:t>
      </w:r>
      <w:r>
        <w:t xml:space="preserve"> findet man z. B.</w:t>
      </w:r>
    </w:p>
    <w:p w14:paraId="45BBFA73" w14:textId="46199380" w:rsidR="00AE4EA7" w:rsidRDefault="00000000">
      <w:pPr>
        <w:pStyle w:val="Funotentext"/>
        <w:numPr>
          <w:ilvl w:val="0"/>
          <w:numId w:val="22"/>
        </w:numPr>
        <w:ind w:left="567"/>
        <w:rPr>
          <w:lang w:val="en-US"/>
        </w:rPr>
      </w:pPr>
      <w:r>
        <w:rPr>
          <w:lang w:val="en-US"/>
        </w:rPr>
        <w:t xml:space="preserve">NHS Business Services Authority: Pseudonymisation and anonymisation of data .policy. Online, zitiert am </w:t>
      </w:r>
      <w:r w:rsidR="006B2B45">
        <w:rPr>
          <w:lang w:val="en-US"/>
        </w:rPr>
        <w:t>2023-10</w:t>
      </w:r>
      <w:r>
        <w:rPr>
          <w:lang w:val="en-US"/>
        </w:rPr>
        <w:t xml:space="preserve">-14; verfügbar unter </w:t>
      </w:r>
      <w:hyperlink r:id="rId126">
        <w:r>
          <w:rPr>
            <w:rStyle w:val="Internetverknpfung"/>
            <w:lang w:val="en-US"/>
          </w:rPr>
          <w:t>https://studylib.net/doc/8201785/pseudonymisation-and-anonymisation-of-data-policy</w:t>
        </w:r>
      </w:hyperlink>
    </w:p>
    <w:p w14:paraId="5783D9C1" w14:textId="4B75506B" w:rsidR="00AE4EA7" w:rsidRDefault="00000000">
      <w:pPr>
        <w:pStyle w:val="Funotentext"/>
        <w:numPr>
          <w:ilvl w:val="0"/>
          <w:numId w:val="22"/>
        </w:numPr>
      </w:pPr>
      <w:r>
        <w:rPr>
          <w:lang w:val="en-US"/>
        </w:rPr>
        <w:t xml:space="preserve">Mayo Clinic: De-identification and Re-identification of Protected Health Information. </w:t>
      </w:r>
      <w:r>
        <w:t xml:space="preserve">Online, zitiert am </w:t>
      </w:r>
      <w:r w:rsidR="006B2B45">
        <w:t>2023-10</w:t>
      </w:r>
      <w:r>
        <w:t xml:space="preserve">-14; verfügbar unter </w:t>
      </w:r>
      <w:hyperlink r:id="rId127">
        <w:r>
          <w:rPr>
            <w:rStyle w:val="Internetverknpfung"/>
          </w:rPr>
          <w:t>https://www.mayoclinic.org/documents/deidentification-jax-pdf/doc-20079518</w:t>
        </w:r>
      </w:hyperlink>
    </w:p>
    <w:p w14:paraId="7845A1FE" w14:textId="4135F863" w:rsidR="00AE4EA7" w:rsidRDefault="00000000">
      <w:pPr>
        <w:pStyle w:val="Funotentext"/>
        <w:numPr>
          <w:ilvl w:val="0"/>
          <w:numId w:val="22"/>
        </w:numPr>
      </w:pPr>
      <w:r w:rsidRPr="004832F9">
        <w:t>Sanofi</w:t>
      </w:r>
      <w:r w:rsidRPr="004C1658">
        <w:t xml:space="preserve">: </w:t>
      </w:r>
      <w:r w:rsidRPr="004832F9">
        <w:t>Clinical</w:t>
      </w:r>
      <w:r w:rsidRPr="004C1658">
        <w:t xml:space="preserve"> Trial Data Sharing Data </w:t>
      </w:r>
      <w:r w:rsidRPr="004832F9">
        <w:t>De-Identification</w:t>
      </w:r>
      <w:r w:rsidRPr="004C1658">
        <w:t xml:space="preserve"> Guidelines. </w:t>
      </w:r>
      <w:r>
        <w:t xml:space="preserve">Online, zitiert am </w:t>
      </w:r>
      <w:r w:rsidR="006B2B45">
        <w:t>2023-10</w:t>
      </w:r>
      <w:r>
        <w:t xml:space="preserve">-14; verfügbar unter </w:t>
      </w:r>
      <w:hyperlink r:id="rId128">
        <w:r w:rsidRPr="004832F9">
          <w:rPr>
            <w:rStyle w:val="Internetverknpfung"/>
          </w:rPr>
          <w:t>https://www.clinicalstudydatarequest.com/Documents/Sanofi-DeIdentification-Guide.pdf</w:t>
        </w:r>
      </w:hyperlink>
    </w:p>
  </w:footnote>
  <w:footnote w:id="118">
    <w:p w14:paraId="3E3EAE79" w14:textId="5689E6DC" w:rsidR="00FB7264" w:rsidRDefault="00FB7264">
      <w:pPr>
        <w:pStyle w:val="Funotentext"/>
      </w:pPr>
      <w:r>
        <w:rPr>
          <w:rStyle w:val="Funotenzeichen"/>
        </w:rPr>
        <w:footnoteRef/>
      </w:r>
      <w:r w:rsidRPr="00174C5E">
        <w:rPr>
          <w:lang w:val="en-US"/>
        </w:rPr>
        <w:t xml:space="preserve"> Digital Imaging and Communications in Medicine (DICOM. </w:t>
      </w:r>
      <w:r w:rsidRPr="00FB7264">
        <w:t>Online, zitiert am 2023-11-02; verfügbar unter</w:t>
      </w:r>
      <w:r w:rsidRPr="00174C5E">
        <w:t xml:space="preserve"> </w:t>
      </w:r>
      <w:hyperlink r:id="rId129" w:history="1">
        <w:r w:rsidRPr="00174C5E">
          <w:rPr>
            <w:rStyle w:val="Hyperlink"/>
          </w:rPr>
          <w:t>https://www.dicomstandard.org/</w:t>
        </w:r>
      </w:hyperlink>
      <w:r w:rsidRPr="00174C5E">
        <w:t xml:space="preserve"> </w:t>
      </w:r>
      <w:r w:rsidRPr="00FB7264">
        <w:t xml:space="preserve">bzw. der Standard selbst unter </w:t>
      </w:r>
      <w:hyperlink r:id="rId130" w:history="1">
        <w:r w:rsidRPr="008444FB">
          <w:rPr>
            <w:rStyle w:val="Hyperlink"/>
          </w:rPr>
          <w:t>https://www.dicomstandard.org/current</w:t>
        </w:r>
      </w:hyperlink>
    </w:p>
  </w:footnote>
  <w:footnote w:id="119">
    <w:p w14:paraId="6A66FBF0" w14:textId="23CF63B2" w:rsidR="00FB7264" w:rsidRDefault="00FB7264">
      <w:pPr>
        <w:pStyle w:val="Funotentext"/>
      </w:pPr>
      <w:r>
        <w:rPr>
          <w:rStyle w:val="Funotenzeichen"/>
        </w:rPr>
        <w:footnoteRef/>
      </w:r>
      <w:r>
        <w:t xml:space="preserve"> </w:t>
      </w:r>
      <w:r w:rsidRPr="00FB7264">
        <w:t xml:space="preserve">DICOM Supplement 55 (2002) Attribute Level </w:t>
      </w:r>
      <w:r w:rsidRPr="004832F9">
        <w:t>Confidentiality</w:t>
      </w:r>
      <w:r w:rsidRPr="00FB7264">
        <w:t xml:space="preserve"> (</w:t>
      </w:r>
      <w:r w:rsidRPr="004832F9">
        <w:t>including</w:t>
      </w:r>
      <w:r w:rsidRPr="00FB7264">
        <w:t xml:space="preserve"> </w:t>
      </w:r>
      <w:r w:rsidRPr="004832F9">
        <w:t>De-identification</w:t>
      </w:r>
      <w:r w:rsidRPr="00FB7264">
        <w:t>)</w:t>
      </w:r>
      <w:r>
        <w:t xml:space="preserve">. </w:t>
      </w:r>
      <w:r w:rsidRPr="00FB7264">
        <w:t>Online, zitiert am 2023-11-02; verfügbar unter</w:t>
      </w:r>
      <w:r>
        <w:t xml:space="preserve"> </w:t>
      </w:r>
      <w:hyperlink r:id="rId131" w:history="1">
        <w:r w:rsidRPr="004832F9">
          <w:rPr>
            <w:rStyle w:val="Hyperlink"/>
          </w:rPr>
          <w:t>https://www.dicomstandard.org/News-dir/ftsup/docs/sups/sup55.pdf</w:t>
        </w:r>
      </w:hyperlink>
    </w:p>
  </w:footnote>
  <w:footnote w:id="120">
    <w:p w14:paraId="6FA06312" w14:textId="670905CD" w:rsidR="00CA19C4" w:rsidRDefault="00CA19C4">
      <w:pPr>
        <w:pStyle w:val="Funotentext"/>
      </w:pPr>
      <w:r>
        <w:rPr>
          <w:rStyle w:val="Funotenzeichen"/>
        </w:rPr>
        <w:footnoteRef/>
      </w:r>
      <w:r>
        <w:t xml:space="preserve"> Braun A, </w:t>
      </w:r>
      <w:r w:rsidRPr="00CA19C4">
        <w:t>Elsässer</w:t>
      </w:r>
      <w:r>
        <w:t xml:space="preserve"> N, </w:t>
      </w:r>
      <w:r w:rsidRPr="00CA19C4">
        <w:t>Willems</w:t>
      </w:r>
      <w:r>
        <w:t xml:space="preserve"> L. (2023) </w:t>
      </w:r>
      <w:r w:rsidRPr="004832F9">
        <w:t>Disfluencies</w:t>
      </w:r>
      <w:r w:rsidRPr="00CA19C4">
        <w:t xml:space="preserve"> </w:t>
      </w:r>
      <w:r w:rsidRPr="004832F9">
        <w:t>Revisited</w:t>
      </w:r>
      <w:r>
        <w:t xml:space="preserve"> - </w:t>
      </w:r>
      <w:r w:rsidRPr="00CA19C4">
        <w:t xml:space="preserve">Are </w:t>
      </w:r>
      <w:r w:rsidRPr="004832F9">
        <w:t>They</w:t>
      </w:r>
      <w:r w:rsidRPr="00CA19C4">
        <w:t xml:space="preserve"> </w:t>
      </w:r>
      <w:r w:rsidRPr="004832F9">
        <w:t>Speaker-Specific</w:t>
      </w:r>
      <w:r w:rsidRPr="00CA19C4">
        <w:t>?</w:t>
      </w:r>
      <w:r>
        <w:t xml:space="preserve"> </w:t>
      </w:r>
      <w:r w:rsidRPr="004832F9">
        <w:t>Languages</w:t>
      </w:r>
      <w:r w:rsidRPr="00CA19C4">
        <w:t xml:space="preserve"> 8(3)</w:t>
      </w:r>
      <w:r>
        <w:t>:</w:t>
      </w:r>
      <w:r w:rsidRPr="00CA19C4">
        <w:t xml:space="preserve"> 155</w:t>
      </w:r>
      <w:r>
        <w:t xml:space="preserve">. </w:t>
      </w:r>
      <w:hyperlink r:id="rId132" w:history="1">
        <w:r w:rsidRPr="004020F3">
          <w:rPr>
            <w:rStyle w:val="Hyperlink"/>
          </w:rPr>
          <w:t>https://doi.org/10.3390/</w:t>
        </w:r>
        <w:r w:rsidRPr="004832F9">
          <w:rPr>
            <w:rStyle w:val="Hyperlink"/>
          </w:rPr>
          <w:t>languages8030155</w:t>
        </w:r>
      </w:hyperlink>
    </w:p>
  </w:footnote>
  <w:footnote w:id="121">
    <w:p w14:paraId="31A510D8" w14:textId="1D5CB136" w:rsidR="005A0F8F" w:rsidRDefault="005A0F8F">
      <w:pPr>
        <w:pStyle w:val="Funotentext"/>
      </w:pPr>
      <w:r>
        <w:rPr>
          <w:rStyle w:val="Funotenzeichen"/>
        </w:rPr>
        <w:footnoteRef/>
      </w:r>
      <w:r>
        <w:t xml:space="preserve"> Z. B. Beispiel:</w:t>
      </w:r>
    </w:p>
    <w:p w14:paraId="657A53B7" w14:textId="733D8667" w:rsidR="00045A16" w:rsidRDefault="005A0F8F" w:rsidP="00045A16">
      <w:pPr>
        <w:pStyle w:val="Funotentext"/>
        <w:numPr>
          <w:ilvl w:val="0"/>
          <w:numId w:val="22"/>
        </w:numPr>
      </w:pPr>
      <w:r w:rsidRPr="004832F9">
        <w:t xml:space="preserve">DeepPrivacy2 - A Toolbox for Realistic Image Anonymization. </w:t>
      </w:r>
      <w:r w:rsidRPr="00FB7264">
        <w:t>Online, zitiert am 2023-11-02; verfügbar unter</w:t>
      </w:r>
      <w:r>
        <w:t xml:space="preserve"> </w:t>
      </w:r>
      <w:hyperlink r:id="rId133" w:history="1">
        <w:r w:rsidR="00045A16" w:rsidRPr="00E13A85">
          <w:rPr>
            <w:rStyle w:val="Hyperlink"/>
          </w:rPr>
          <w:t>https://github.com/hukkelas/deep</w:t>
        </w:r>
        <w:r w:rsidR="00045A16" w:rsidRPr="004832F9">
          <w:rPr>
            <w:rStyle w:val="Hyperlink"/>
          </w:rPr>
          <w:t>_privacy2</w:t>
        </w:r>
      </w:hyperlink>
    </w:p>
    <w:p w14:paraId="3FC197D7" w14:textId="1A1C73AD" w:rsidR="005A0F8F" w:rsidRDefault="005A0F8F" w:rsidP="005A0F8F">
      <w:pPr>
        <w:pStyle w:val="Funotentext"/>
        <w:numPr>
          <w:ilvl w:val="0"/>
          <w:numId w:val="22"/>
        </w:numPr>
      </w:pPr>
      <w:r w:rsidRPr="004832F9">
        <w:t xml:space="preserve">Deface: Video anonymization by face detection. </w:t>
      </w:r>
      <w:r w:rsidRPr="00FB7264">
        <w:t>Online, zitiert am 2023-11-02; verfügbar unter</w:t>
      </w:r>
      <w:r>
        <w:t xml:space="preserve"> </w:t>
      </w:r>
      <w:hyperlink r:id="rId134" w:history="1">
        <w:r w:rsidRPr="00B82BEB">
          <w:rPr>
            <w:rStyle w:val="Hyperlink"/>
          </w:rPr>
          <w:t>https://github.com/ORB-HD/</w:t>
        </w:r>
        <w:r w:rsidRPr="004832F9">
          <w:rPr>
            <w:rStyle w:val="Hyperlink"/>
          </w:rPr>
          <w:t>deface</w:t>
        </w:r>
      </w:hyperlink>
    </w:p>
  </w:footnote>
  <w:footnote w:id="122">
    <w:p w14:paraId="7CCFFF9B" w14:textId="3107067B" w:rsidR="00D234C9" w:rsidRDefault="00D234C9" w:rsidP="00D234C9">
      <w:pPr>
        <w:pStyle w:val="Funotentext"/>
      </w:pPr>
      <w:r>
        <w:rPr>
          <w:rStyle w:val="Funotenzeichen"/>
        </w:rPr>
        <w:footnoteRef/>
      </w:r>
      <w:r w:rsidRPr="00D234C9">
        <w:t>EuGH</w:t>
      </w:r>
      <w:r>
        <w:t xml:space="preserve"> Urt. v. 2020-07-</w:t>
      </w:r>
      <w:r w:rsidRPr="00D234C9">
        <w:t>09</w:t>
      </w:r>
      <w:r>
        <w:t>, Az. </w:t>
      </w:r>
      <w:r w:rsidRPr="00D234C9">
        <w:t xml:space="preserve"> C-272/19</w:t>
      </w:r>
      <w:r>
        <w:t xml:space="preserve">, Leitsatz: </w:t>
      </w:r>
      <w:r w:rsidRPr="00D234C9">
        <w:t>Art.</w:t>
      </w:r>
      <w:r>
        <w:t> </w:t>
      </w:r>
      <w:r w:rsidRPr="00D234C9">
        <w:t>4 Nr.</w:t>
      </w:r>
      <w:r>
        <w:t xml:space="preserve"> </w:t>
      </w:r>
      <w:r w:rsidRPr="00D234C9">
        <w:t>7</w:t>
      </w:r>
      <w:r>
        <w:t xml:space="preserve"> DS-GVO </w:t>
      </w:r>
      <w:r w:rsidRPr="00D234C9">
        <w:t xml:space="preserve">ist dahin auszulegen, dass </w:t>
      </w:r>
      <w:r>
        <w:t xml:space="preserve">wer </w:t>
      </w:r>
      <w:r w:rsidRPr="00D234C9">
        <w:t>allein oder gemeinsam mit anderen über die Zwecke und Mittel der Verarbeitung entscheidet, als „Verantwortlicher“ im Sinne dieser Bestimmung einzustufen ist</w:t>
      </w:r>
      <w:r>
        <w:t xml:space="preserve">. </w:t>
      </w:r>
      <w:r w:rsidRPr="00FB7264">
        <w:t>Online, zitiert am 2023-1</w:t>
      </w:r>
      <w:r>
        <w:t>2</w:t>
      </w:r>
      <w:r w:rsidRPr="00FB7264">
        <w:t>-</w:t>
      </w:r>
      <w:r>
        <w:t>1</w:t>
      </w:r>
      <w:r w:rsidRPr="00FB7264">
        <w:t>2; verfügbar unter</w:t>
      </w:r>
      <w:r>
        <w:t xml:space="preserve"> </w:t>
      </w:r>
      <w:hyperlink r:id="rId135" w:history="1">
        <w:r w:rsidRPr="004832F9">
          <w:rPr>
            <w:rStyle w:val="Hyperlink"/>
          </w:rPr>
          <w:t>https://eur-lex.europa.eu/legal-content/DE/TXT/?uri=CELEX%3A62019CJ0272&amp;qid=1702720547526</w:t>
        </w:r>
      </w:hyperlink>
    </w:p>
  </w:footnote>
  <w:footnote w:id="123">
    <w:p w14:paraId="313D37EB" w14:textId="56457F1F" w:rsidR="001E0F4E" w:rsidRDefault="001E0F4E">
      <w:pPr>
        <w:pStyle w:val="Funotentext"/>
      </w:pPr>
      <w:r>
        <w:rPr>
          <w:rStyle w:val="Funotenzeichen"/>
        </w:rPr>
        <w:footnoteRef/>
      </w:r>
      <w:r>
        <w:t xml:space="preserve"> </w:t>
      </w:r>
      <w:r w:rsidRPr="001E0F4E">
        <w:t xml:space="preserve">EuGH </w:t>
      </w:r>
      <w:r>
        <w:t xml:space="preserve">Az. </w:t>
      </w:r>
      <w:r w:rsidRPr="001E0F4E">
        <w:t>C-413/23 P</w:t>
      </w:r>
      <w:r>
        <w:t xml:space="preserve">. </w:t>
      </w:r>
      <w:r w:rsidRPr="00FB7264">
        <w:t>Online, zitiert am 2023-1</w:t>
      </w:r>
      <w:r>
        <w:t>2</w:t>
      </w:r>
      <w:r w:rsidRPr="00FB7264">
        <w:t>-</w:t>
      </w:r>
      <w:r>
        <w:t>16</w:t>
      </w:r>
      <w:r w:rsidRPr="00FB7264">
        <w:t xml:space="preserve">; verfügbar </w:t>
      </w:r>
      <w:r w:rsidRPr="004832F9">
        <w:t>unter</w:t>
      </w:r>
    </w:p>
    <w:p w14:paraId="6C116AD9" w14:textId="6A126170" w:rsidR="001E0F4E" w:rsidRDefault="001E0F4E" w:rsidP="001E0F4E">
      <w:pPr>
        <w:pStyle w:val="Funotentext"/>
        <w:numPr>
          <w:ilvl w:val="0"/>
          <w:numId w:val="22"/>
        </w:numPr>
        <w:tabs>
          <w:tab w:val="clear" w:pos="0"/>
          <w:tab w:val="num" w:pos="567"/>
        </w:tabs>
        <w:ind w:left="567"/>
      </w:pPr>
      <w:r w:rsidRPr="001E0F4E">
        <w:t>Verfahrensmitteilung</w:t>
      </w:r>
      <w:r>
        <w:t>:</w:t>
      </w:r>
      <w:r w:rsidRPr="001E0F4E">
        <w:t xml:space="preserve"> </w:t>
      </w:r>
      <w:hyperlink r:id="rId136" w:history="1">
        <w:r w:rsidRPr="00917AD4">
          <w:rPr>
            <w:rStyle w:val="Hyperlink"/>
          </w:rPr>
          <w:t>https://curia.europa.eu/juris/document/document.jsf?text=&amp;docid=276483&amp;pageIndex=0&amp;doclang=DE&amp;mode=req&amp;dir=&amp;occ=first&amp;part=1</w:t>
        </w:r>
      </w:hyperlink>
    </w:p>
    <w:p w14:paraId="3D5C309D" w14:textId="1A8E3877" w:rsidR="001E0F4E" w:rsidRDefault="001E0F4E" w:rsidP="001E0F4E">
      <w:pPr>
        <w:pStyle w:val="Funotentext"/>
        <w:numPr>
          <w:ilvl w:val="0"/>
          <w:numId w:val="22"/>
        </w:numPr>
        <w:tabs>
          <w:tab w:val="clear" w:pos="0"/>
          <w:tab w:val="num" w:pos="567"/>
        </w:tabs>
        <w:ind w:left="567"/>
      </w:pPr>
      <w:r w:rsidRPr="001E0F4E">
        <w:t>Verfahrensdokumentation</w:t>
      </w:r>
      <w:r>
        <w:t xml:space="preserve">: </w:t>
      </w:r>
      <w:hyperlink r:id="rId137" w:history="1">
        <w:r w:rsidRPr="00917AD4">
          <w:rPr>
            <w:rStyle w:val="Hyperlink"/>
          </w:rPr>
          <w:t>https://curia.europa.eu/juris/document/document.jsf?text=&amp;docid=276483&amp;pageIndex=0&amp;doclang=DE&amp;mode=req&amp;dir=&amp;occ=first&amp;part=1</w:t>
        </w:r>
      </w:hyperlink>
    </w:p>
  </w:footnote>
  <w:footnote w:id="124">
    <w:p w14:paraId="79D8E6BA" w14:textId="3CABC43E" w:rsidR="001E0F4E" w:rsidRDefault="001E0F4E">
      <w:pPr>
        <w:pStyle w:val="Funotentext"/>
      </w:pPr>
      <w:r>
        <w:rPr>
          <w:rStyle w:val="Funotenzeichen"/>
        </w:rPr>
        <w:footnoteRef/>
      </w:r>
      <w:r>
        <w:t xml:space="preserve"> </w:t>
      </w:r>
      <w:r w:rsidRPr="001E0F4E">
        <w:t>EuGH</w:t>
      </w:r>
      <w:r>
        <w:t xml:space="preserve"> Urt. v- 2023-10-</w:t>
      </w:r>
      <w:r w:rsidRPr="001E0F4E">
        <w:t>26</w:t>
      </w:r>
      <w:r>
        <w:t>, Az. </w:t>
      </w:r>
      <w:r w:rsidRPr="001E0F4E">
        <w:t xml:space="preserve"> C-307/22</w:t>
      </w:r>
      <w:r>
        <w:t xml:space="preserve">. Rn. 44. </w:t>
      </w:r>
      <w:r w:rsidRPr="00FB7264">
        <w:t>Online, zitiert am 2023-1</w:t>
      </w:r>
      <w:r>
        <w:t>2</w:t>
      </w:r>
      <w:r w:rsidRPr="00FB7264">
        <w:t>-</w:t>
      </w:r>
      <w:r>
        <w:t>16</w:t>
      </w:r>
      <w:r w:rsidRPr="00FB7264">
        <w:t>; verfügbar unter</w:t>
      </w:r>
      <w:r>
        <w:t xml:space="preserve"> </w:t>
      </w:r>
      <w:hyperlink r:id="rId138" w:history="1">
        <w:r w:rsidRPr="004832F9">
          <w:rPr>
            <w:rStyle w:val="Hyperlink"/>
          </w:rPr>
          <w:t>https://eur-lex.europa.eu/legal-content/de/TXT/?uri=CELEX:62022CJ0307</w:t>
        </w:r>
      </w:hyperlink>
    </w:p>
  </w:footnote>
  <w:footnote w:id="125">
    <w:p w14:paraId="7D127D43" w14:textId="2F5BAB0A" w:rsidR="001E0F4E" w:rsidRDefault="001E0F4E">
      <w:pPr>
        <w:pStyle w:val="Funotentext"/>
      </w:pPr>
      <w:r>
        <w:rPr>
          <w:rStyle w:val="Funotenzeichen"/>
        </w:rPr>
        <w:footnoteRef/>
      </w:r>
      <w:r>
        <w:t xml:space="preserve"> </w:t>
      </w:r>
      <w:r w:rsidRPr="001E0F4E">
        <w:t>EDSA: Leitlinien 04/2020 für die Verwendung von Standortdaten und Tools zur Kontaktnachverfolgung im Zusammenhang mit dem Ausbruch von COVID-19.</w:t>
      </w:r>
      <w:r>
        <w:t xml:space="preserve"> Rn. 15.</w:t>
      </w:r>
      <w:r w:rsidRPr="001E0F4E">
        <w:t xml:space="preserve"> </w:t>
      </w:r>
      <w:r w:rsidRPr="004832F9">
        <w:t>Online,</w:t>
      </w:r>
      <w:r w:rsidRPr="001E0F4E">
        <w:t xml:space="preserve"> zitiert am 2023-1</w:t>
      </w:r>
      <w:r>
        <w:t>2</w:t>
      </w:r>
      <w:r w:rsidRPr="001E0F4E">
        <w:t>-1</w:t>
      </w:r>
      <w:r>
        <w:t>6</w:t>
      </w:r>
      <w:r w:rsidRPr="001E0F4E">
        <w:t xml:space="preserve">; verfügbar </w:t>
      </w:r>
      <w:r>
        <w:t xml:space="preserve">unter </w:t>
      </w:r>
      <w:hyperlink r:id="rId139">
        <w:r>
          <w:rPr>
            <w:rStyle w:val="Internetverknpfung"/>
          </w:rPr>
          <w:t xml:space="preserve">https://edpb.europa.eu/our-work-tools/our-documents/guidelines/ </w:t>
        </w:r>
        <w:r w:rsidRPr="004832F9">
          <w:rPr>
            <w:rStyle w:val="Internetverknpfung"/>
          </w:rPr>
          <w:t>guidelines-042020-use-location-data-and-contact-tracing_de</w:t>
        </w:r>
      </w:hyperlink>
    </w:p>
  </w:footnote>
  <w:footnote w:id="126">
    <w:p w14:paraId="1A566B6A" w14:textId="4E19F3C5" w:rsidR="001E0F4E" w:rsidRDefault="001E0F4E">
      <w:pPr>
        <w:pStyle w:val="Funotentext"/>
      </w:pPr>
      <w:r>
        <w:rPr>
          <w:rStyle w:val="Funotenzeichen"/>
        </w:rPr>
        <w:footnoteRef/>
      </w:r>
      <w:r>
        <w:t xml:space="preserve"> </w:t>
      </w:r>
      <w:r w:rsidRPr="001E0F4E">
        <w:t>EuGH</w:t>
      </w:r>
      <w:r>
        <w:t xml:space="preserve"> Urt. v. 2023-11-</w:t>
      </w:r>
      <w:r w:rsidRPr="001E0F4E">
        <w:t>09</w:t>
      </w:r>
      <w:r>
        <w:t>, Az. </w:t>
      </w:r>
      <w:r w:rsidRPr="001E0F4E">
        <w:t xml:space="preserve"> C-319/22</w:t>
      </w:r>
      <w:r>
        <w:t xml:space="preserve">. </w:t>
      </w:r>
      <w:r w:rsidRPr="001E0F4E">
        <w:t>Online, zitiert am 2023-1</w:t>
      </w:r>
      <w:r>
        <w:t>2</w:t>
      </w:r>
      <w:r w:rsidRPr="001E0F4E">
        <w:t>-1</w:t>
      </w:r>
      <w:r>
        <w:t>6</w:t>
      </w:r>
      <w:r w:rsidRPr="001E0F4E">
        <w:t xml:space="preserve">; verfügbar </w:t>
      </w:r>
      <w:r>
        <w:t xml:space="preserve">unter </w:t>
      </w:r>
      <w:hyperlink r:id="rId140" w:history="1">
        <w:r w:rsidRPr="004832F9">
          <w:rPr>
            <w:rStyle w:val="Hyperlink"/>
          </w:rPr>
          <w:t>https://eur-lex.europa.eu/legal-content/de/TXT/?uri=CELEX:62022CJ0319</w:t>
        </w:r>
      </w:hyperlink>
    </w:p>
  </w:footnote>
  <w:footnote w:id="127">
    <w:p w14:paraId="229F2503" w14:textId="2B6CE4AB" w:rsidR="001E0F4E" w:rsidRDefault="001E0F4E">
      <w:pPr>
        <w:pStyle w:val="Funotentext"/>
      </w:pPr>
      <w:r>
        <w:rPr>
          <w:rStyle w:val="Funotenzeichen"/>
        </w:rPr>
        <w:footnoteRef/>
      </w:r>
      <w:r>
        <w:t xml:space="preserve"> </w:t>
      </w:r>
      <w:r w:rsidRPr="001E0F4E">
        <w:t>EuGH</w:t>
      </w:r>
      <w:r>
        <w:t xml:space="preserve"> Urt. v. 2016-10-</w:t>
      </w:r>
      <w:r w:rsidRPr="001E0F4E">
        <w:t>19</w:t>
      </w:r>
      <w:r>
        <w:t>, Az.</w:t>
      </w:r>
      <w:r w:rsidRPr="001E0F4E">
        <w:t xml:space="preserve"> C-582/14</w:t>
      </w:r>
      <w:r>
        <w:t xml:space="preserve">. </w:t>
      </w:r>
      <w:r w:rsidRPr="001E0F4E">
        <w:t>Online, zitiert am 2023-1</w:t>
      </w:r>
      <w:r>
        <w:t>2</w:t>
      </w:r>
      <w:r w:rsidRPr="001E0F4E">
        <w:t>-1</w:t>
      </w:r>
      <w:r>
        <w:t>6</w:t>
      </w:r>
      <w:r w:rsidRPr="001E0F4E">
        <w:t xml:space="preserve">; verfügbar </w:t>
      </w:r>
      <w:r>
        <w:t xml:space="preserve">unter </w:t>
      </w:r>
      <w:hyperlink r:id="rId141" w:history="1">
        <w:r w:rsidRPr="004832F9">
          <w:rPr>
            <w:rStyle w:val="Hyperlink"/>
          </w:rPr>
          <w:t>https://eur-lex.europa.eu/legal-content/DE/TXT/?uri=CELEX%3A62014CJ0582&amp;qid=1702730387859</w:t>
        </w:r>
      </w:hyperlink>
    </w:p>
  </w:footnote>
  <w:footnote w:id="128">
    <w:p w14:paraId="454553A9" w14:textId="77777777" w:rsidR="00521649" w:rsidRDefault="00521649" w:rsidP="00521649">
      <w:pPr>
        <w:pStyle w:val="Funotentext"/>
      </w:pPr>
      <w:r>
        <w:rPr>
          <w:rStyle w:val="Funotenzeichen"/>
        </w:rPr>
        <w:footnoteRef/>
      </w:r>
      <w:r>
        <w:t xml:space="preserve">Vgl.: </w:t>
      </w:r>
      <w:r w:rsidRPr="00045A16">
        <w:t>Bundesbeauftragte für den Datenschutz und die Informationsfreiheit (BfDI)</w:t>
      </w:r>
      <w:r>
        <w:t xml:space="preserve">: </w:t>
      </w:r>
      <w:r w:rsidRPr="00045A16">
        <w:t>Positionspapier</w:t>
      </w:r>
      <w:r w:rsidRPr="007508D4">
        <w:rPr>
          <w:b/>
          <w:bCs/>
        </w:rPr>
        <w:t xml:space="preserve"> </w:t>
      </w:r>
      <w:r w:rsidRPr="007508D4">
        <w:t>zur Anonymisierung unter der DSGVO</w:t>
      </w:r>
      <w:r>
        <w:t xml:space="preserve"> </w:t>
      </w:r>
      <w:r w:rsidRPr="007508D4">
        <w:t xml:space="preserve">unter besonderer </w:t>
      </w:r>
      <w:r w:rsidRPr="004832F9">
        <w:t>Berücksichtigung</w:t>
      </w:r>
      <w:r w:rsidRPr="007508D4">
        <w:t xml:space="preserve"> der TK-Branche</w:t>
      </w:r>
      <w:r>
        <w:t xml:space="preserve">, S. 5, </w:t>
      </w:r>
      <w:r w:rsidRPr="004832F9">
        <w:t>Pkt</w:t>
      </w:r>
      <w:r>
        <w:t xml:space="preserve">. 3. Stand: 2020-06-29. </w:t>
      </w:r>
      <w:r w:rsidRPr="004832F9">
        <w:t>Online,</w:t>
      </w:r>
      <w:r w:rsidRPr="00FB7264">
        <w:t xml:space="preserve"> zitiert am 2023-1</w:t>
      </w:r>
      <w:r>
        <w:t>2</w:t>
      </w:r>
      <w:r w:rsidRPr="00FB7264">
        <w:t>-</w:t>
      </w:r>
      <w:r>
        <w:t>12</w:t>
      </w:r>
      <w:r w:rsidRPr="00FB7264">
        <w:t>; verfügbar unter</w:t>
      </w:r>
      <w:r>
        <w:t xml:space="preserve"> </w:t>
      </w:r>
      <w:hyperlink r:id="rId142" w:history="1">
        <w:r>
          <w:rPr>
            <w:rStyle w:val="Hyperlink"/>
          </w:rPr>
          <w:t>https://www.bfdi.bund.de/SharedDocs/Downloads/ DE/Konsultationsverfahren/1</w:t>
        </w:r>
        <w:r w:rsidRPr="004832F9">
          <w:rPr>
            <w:rStyle w:val="Hyperlink"/>
          </w:rPr>
          <w:t>_Anonymisierung</w:t>
        </w:r>
        <w:r>
          <w:rPr>
            <w:rStyle w:val="Hyperlink"/>
          </w:rPr>
          <w:t>/</w:t>
        </w:r>
        <w:r w:rsidRPr="004832F9">
          <w:rPr>
            <w:rStyle w:val="Hyperlink"/>
          </w:rPr>
          <w:t>Positionspapier-Anonymisierung.html</w:t>
        </w:r>
      </w:hyperlink>
      <w:r>
        <w:t xml:space="preserve"> bzw. </w:t>
      </w:r>
      <w:r w:rsidRPr="004832F9">
        <w:t>pdf-Datei</w:t>
      </w:r>
      <w:r>
        <w:t xml:space="preserve"> unter </w:t>
      </w:r>
      <w:hyperlink r:id="rId143" w:history="1">
        <w:r w:rsidRPr="004832F9">
          <w:rPr>
            <w:rStyle w:val="Hyperlink"/>
          </w:rPr>
          <w:t>https://www.bfdi.bund.de/SharedDocs/Downloads/DE/Konsultationsverfahren/1_Anonymisierung/Positionspapier-Anonymisierung.pdf?__blob=publicationFile&amp;v=6</w:t>
        </w:r>
      </w:hyperlink>
    </w:p>
  </w:footnote>
  <w:footnote w:id="129">
    <w:p w14:paraId="2F3D564C" w14:textId="3430E44C" w:rsidR="00F7250D" w:rsidRDefault="00F7250D" w:rsidP="00F7250D">
      <w:pPr>
        <w:pStyle w:val="Funotentext"/>
      </w:pPr>
      <w:r>
        <w:rPr>
          <w:rStyle w:val="Funotenzeichen"/>
        </w:rPr>
        <w:footnoteRef/>
      </w:r>
      <w:r>
        <w:t xml:space="preserve"> </w:t>
      </w:r>
      <w:r w:rsidRPr="004832F9">
        <w:t>Roßnagel</w:t>
      </w:r>
      <w:r>
        <w:t xml:space="preserve"> A. (2021) Datenlöschung und Anonymisierung. Verhältnis der beiden Datenschutzinstrumente nach DS-GVO. </w:t>
      </w:r>
      <w:r w:rsidRPr="004832F9">
        <w:t>ZD</w:t>
      </w:r>
      <w:r>
        <w:t>: 188-192</w:t>
      </w:r>
    </w:p>
  </w:footnote>
  <w:footnote w:id="130">
    <w:p w14:paraId="6B134FDE" w14:textId="7C8B5F1E" w:rsidR="00433CB2" w:rsidRDefault="00433CB2">
      <w:pPr>
        <w:pStyle w:val="Funotentext"/>
      </w:pPr>
      <w:r>
        <w:rPr>
          <w:rStyle w:val="Funotenzeichen"/>
        </w:rPr>
        <w:footnoteRef/>
      </w:r>
      <w:r>
        <w:t xml:space="preserve"> Beispiele:</w:t>
      </w:r>
    </w:p>
    <w:p w14:paraId="15DF8052" w14:textId="076D5BB1" w:rsidR="00433CB2" w:rsidRDefault="00CF5AE3" w:rsidP="00433CB2">
      <w:pPr>
        <w:pStyle w:val="Funotentext"/>
        <w:numPr>
          <w:ilvl w:val="0"/>
          <w:numId w:val="22"/>
        </w:numPr>
      </w:pPr>
      <w:r>
        <w:t>Anonymisierung</w:t>
      </w:r>
      <w:r w:rsidR="00433CB2">
        <w:t xml:space="preserve"> = Löschung</w:t>
      </w:r>
    </w:p>
    <w:p w14:paraId="2FC85BA0" w14:textId="11AA6871" w:rsidR="00CF5AE3" w:rsidRPr="004832F9" w:rsidRDefault="00CF5AE3" w:rsidP="00433CB2">
      <w:pPr>
        <w:pStyle w:val="Funotentext"/>
        <w:numPr>
          <w:ilvl w:val="1"/>
          <w:numId w:val="22"/>
        </w:numPr>
      </w:pPr>
      <w:r w:rsidRPr="00CF5AE3">
        <w:t>Österreichische Datenschutzbehörde</w:t>
      </w:r>
      <w:r>
        <w:t>, Beschluss vom</w:t>
      </w:r>
      <w:r w:rsidRPr="00CF5AE3">
        <w:t xml:space="preserve"> 5.</w:t>
      </w:r>
      <w:r>
        <w:t xml:space="preserve"> Dezember </w:t>
      </w:r>
      <w:r w:rsidRPr="00CF5AE3">
        <w:t>2018</w:t>
      </w:r>
      <w:r>
        <w:t xml:space="preserve">, Geschäftszahl </w:t>
      </w:r>
      <w:r w:rsidRPr="004832F9">
        <w:t>DSB-D123.270</w:t>
      </w:r>
      <w:r w:rsidRPr="00CF5AE3">
        <w:t>/0009-DSB/2018</w:t>
      </w:r>
      <w:r>
        <w:t xml:space="preserve">. Online, zitiert am 2023-11-02; verfügbar unter </w:t>
      </w:r>
      <w:hyperlink r:id="rId144" w:history="1">
        <w:r>
          <w:rPr>
            <w:rStyle w:val="Hyperlink"/>
          </w:rPr>
          <w:t xml:space="preserve">https://www.ris.bka. </w:t>
        </w:r>
        <w:r w:rsidRPr="004832F9">
          <w:rPr>
            <w:rStyle w:val="Hyperlink"/>
          </w:rPr>
          <w:t>gv.at/Dokumente/Dsk/DSBT_20181205_DSB_D123_270_0009_DSB_2018_00/DSBT_20181205_DSB_D123_270_0009_DSB_2018_00.html</w:t>
        </w:r>
      </w:hyperlink>
    </w:p>
    <w:p w14:paraId="6E078374" w14:textId="2576134A" w:rsidR="00CF5AE3" w:rsidRDefault="00CF5AE3" w:rsidP="00CF5AE3">
      <w:pPr>
        <w:pStyle w:val="Funotentext"/>
        <w:numPr>
          <w:ilvl w:val="1"/>
          <w:numId w:val="22"/>
        </w:numPr>
      </w:pPr>
      <w:r w:rsidRPr="00CF5AE3">
        <w:t>Hornung</w:t>
      </w:r>
      <w:r>
        <w:t xml:space="preserve"> G, </w:t>
      </w:r>
      <w:r w:rsidRPr="00CF5AE3">
        <w:t>Wagner</w:t>
      </w:r>
      <w:r>
        <w:t xml:space="preserve"> B. (2020) Anonymisierung als datenschutzrelevante Verarbeitung? Rechtliche Anforderungen und Grenzen für die Anonymisierung personenbezogener Daten. </w:t>
      </w:r>
      <w:r w:rsidRPr="004832F9">
        <w:t>ZD</w:t>
      </w:r>
      <w:r>
        <w:t>: 223-228</w:t>
      </w:r>
    </w:p>
    <w:p w14:paraId="2D77454A" w14:textId="02E032BF" w:rsidR="00433CB2" w:rsidRDefault="00433CB2" w:rsidP="00433CB2">
      <w:pPr>
        <w:pStyle w:val="Funotentext"/>
        <w:numPr>
          <w:ilvl w:val="1"/>
          <w:numId w:val="22"/>
        </w:numPr>
      </w:pPr>
      <w:r w:rsidRPr="00433CB2">
        <w:t>Stürmer</w:t>
      </w:r>
      <w:r>
        <w:t xml:space="preserve"> V. (2020) Löschen durch Anonymisieren? Mögliche Erfüllung der Löschpflicht nach Art. 17 DS-GVO. </w:t>
      </w:r>
      <w:r w:rsidRPr="004832F9">
        <w:t>ZD</w:t>
      </w:r>
      <w:r>
        <w:t>: 626-631</w:t>
      </w:r>
    </w:p>
    <w:p w14:paraId="056F7996" w14:textId="77777777" w:rsidR="00CF5AE3" w:rsidRDefault="00CF5AE3" w:rsidP="00CF5AE3">
      <w:pPr>
        <w:pStyle w:val="Funotentext"/>
        <w:numPr>
          <w:ilvl w:val="1"/>
          <w:numId w:val="22"/>
        </w:numPr>
      </w:pPr>
      <w:r w:rsidRPr="00CF5AE3">
        <w:t>Gierschmann</w:t>
      </w:r>
      <w:r>
        <w:t xml:space="preserve"> S. (2021) </w:t>
      </w:r>
    </w:p>
    <w:p w14:paraId="73CE6A93" w14:textId="27AF107B" w:rsidR="00CF5AE3" w:rsidRDefault="00CF5AE3" w:rsidP="00CF5AE3">
      <w:pPr>
        <w:pStyle w:val="Funotentext"/>
        <w:numPr>
          <w:ilvl w:val="1"/>
          <w:numId w:val="22"/>
        </w:numPr>
      </w:pPr>
      <w:r>
        <w:t xml:space="preserve">Gestaltungsmöglichkeiten durch systematisches und risikobasiertes Vorgehen – </w:t>
      </w:r>
      <w:r w:rsidRPr="004832F9">
        <w:t>Was</w:t>
      </w:r>
      <w:r>
        <w:t xml:space="preserve"> ist schon anonym? Planung und Bewertung der Risiken der Anonymisierung. </w:t>
      </w:r>
      <w:r w:rsidRPr="004832F9">
        <w:t>ZD</w:t>
      </w:r>
      <w:r>
        <w:t>: 482-486</w:t>
      </w:r>
    </w:p>
    <w:p w14:paraId="71047A59" w14:textId="51C409A2" w:rsidR="00433CB2" w:rsidRDefault="00433CB2" w:rsidP="00433CB2">
      <w:pPr>
        <w:pStyle w:val="Funotentext"/>
        <w:numPr>
          <w:ilvl w:val="0"/>
          <w:numId w:val="22"/>
        </w:numPr>
      </w:pPr>
      <w:r>
        <w:t>Anonymisierung</w:t>
      </w:r>
      <w:r w:rsidRPr="004832F9">
        <w:t xml:space="preserve"> </w:t>
      </w:r>
      <w:r w:rsidRPr="004832F9">
        <w:rPr>
          <w:rFonts w:cstheme="minorHAnsi"/>
        </w:rPr>
        <w:t>≠</w:t>
      </w:r>
      <w:r>
        <w:t xml:space="preserve"> Löschung</w:t>
      </w:r>
    </w:p>
    <w:p w14:paraId="1440766A" w14:textId="1AB1BEE7" w:rsidR="00433CB2" w:rsidRDefault="00433CB2" w:rsidP="00433CB2">
      <w:pPr>
        <w:pStyle w:val="Funotentext"/>
        <w:numPr>
          <w:ilvl w:val="1"/>
          <w:numId w:val="22"/>
        </w:numPr>
      </w:pPr>
      <w:r w:rsidRPr="004832F9">
        <w:t>Roßnagel</w:t>
      </w:r>
      <w:r w:rsidRPr="00433CB2">
        <w:t xml:space="preserve"> A. (2021) Datenlöschung und Anonymisierung. Verhältnis der beiden Datenschutzinstrumente nach DS-GVO. </w:t>
      </w:r>
      <w:r w:rsidRPr="004832F9">
        <w:t>ZD</w:t>
      </w:r>
      <w:r w:rsidRPr="00433CB2">
        <w:t>: 188-192</w:t>
      </w:r>
    </w:p>
    <w:p w14:paraId="251E6BFC" w14:textId="1751CEDB" w:rsidR="00CF5AE3" w:rsidRDefault="00CF5AE3" w:rsidP="00CF5AE3">
      <w:pPr>
        <w:pStyle w:val="Funotentext"/>
        <w:numPr>
          <w:ilvl w:val="1"/>
          <w:numId w:val="22"/>
        </w:numPr>
      </w:pPr>
      <w:r w:rsidRPr="004832F9">
        <w:t>Thüsing</w:t>
      </w:r>
      <w:r>
        <w:t xml:space="preserve"> G, </w:t>
      </w:r>
      <w:r w:rsidRPr="004832F9">
        <w:t>Rombey</w:t>
      </w:r>
      <w:r>
        <w:t xml:space="preserve"> S. (2021) Anonymisierung an sich ist keine rechtfertigungsbedürftige Datenverarbeitung. Eine Auslegung von Art. 4 Nr. 2 DS-GVO nach den Methoden des EuGH. </w:t>
      </w:r>
      <w:r w:rsidRPr="004832F9">
        <w:t>ZD</w:t>
      </w:r>
      <w:r>
        <w:t>: 548-553</w:t>
      </w:r>
    </w:p>
  </w:footnote>
  <w:footnote w:id="131">
    <w:p w14:paraId="5EE7B8C8" w14:textId="228D62C5" w:rsidR="00CF5AE3" w:rsidRDefault="00CF5AE3">
      <w:pPr>
        <w:pStyle w:val="Funotentext"/>
      </w:pPr>
      <w:r>
        <w:rPr>
          <w:rStyle w:val="Funotenzeichen"/>
        </w:rPr>
        <w:footnoteRef/>
      </w:r>
      <w:r>
        <w:t xml:space="preserve"> </w:t>
      </w:r>
      <w:r w:rsidRPr="00CF5AE3">
        <w:t>Richtlinie 2002/58/EG des Europäischen Parlaments und des Rates vom 12. Juli 2002 über die Verarbeitung personenbezogener Daten und den Schutz der Privatsphäre in der elektronischen Kommunikation</w:t>
      </w:r>
      <w:r>
        <w:t xml:space="preserve">, Art. 6 Abs. 1. Online, zitiert am 2023-11-02; verfügbar unter </w:t>
      </w:r>
      <w:hyperlink r:id="rId145" w:history="1">
        <w:r>
          <w:rPr>
            <w:rStyle w:val="Hyperlink"/>
          </w:rPr>
          <w:t>https://eur-lex.europa.eu/legal-content/ DE/TXT/?</w:t>
        </w:r>
        <w:r w:rsidRPr="004832F9">
          <w:rPr>
            <w:rStyle w:val="Hyperlink"/>
          </w:rPr>
          <w:t>uri</w:t>
        </w:r>
        <w:r>
          <w:rPr>
            <w:rStyle w:val="Hyperlink"/>
          </w:rPr>
          <w:t>=</w:t>
        </w:r>
        <w:r w:rsidRPr="004832F9">
          <w:rPr>
            <w:rStyle w:val="Hyperlink"/>
          </w:rPr>
          <w:t>CELEX:32002L0058</w:t>
        </w:r>
      </w:hyperlink>
    </w:p>
  </w:footnote>
  <w:footnote w:id="132">
    <w:p w14:paraId="1DBF8070" w14:textId="026CA7FA" w:rsidR="009A5E81" w:rsidRDefault="009A5E81">
      <w:pPr>
        <w:pStyle w:val="Funotentext"/>
      </w:pPr>
      <w:r>
        <w:rPr>
          <w:rStyle w:val="Funotenzeichen"/>
        </w:rPr>
        <w:footnoteRef/>
      </w:r>
      <w:r>
        <w:t xml:space="preserve"> </w:t>
      </w:r>
      <w:r w:rsidRPr="009A5E81">
        <w:t xml:space="preserve">EuGH </w:t>
      </w:r>
      <w:r>
        <w:t>Urt. v. 2023-12-14, Az. </w:t>
      </w:r>
      <w:r w:rsidRPr="009A5E81">
        <w:t>C-340/21</w:t>
      </w:r>
      <w:r>
        <w:t xml:space="preserve">. Online, zitiert am 2023-12-14; verfügbar unter </w:t>
      </w:r>
      <w:hyperlink r:id="rId146" w:history="1">
        <w:r w:rsidRPr="004832F9">
          <w:rPr>
            <w:rStyle w:val="Hyperlink"/>
          </w:rPr>
          <w:t>https://eur-lex.europa.eu/legal-content/DE/TXT/?uri=CELEX%3A62021CJ0340</w:t>
        </w:r>
      </w:hyperlink>
    </w:p>
  </w:footnote>
  <w:footnote w:id="133">
    <w:p w14:paraId="36A9140E" w14:textId="17FCC233" w:rsidR="006B7547" w:rsidRDefault="006B7547">
      <w:pPr>
        <w:pStyle w:val="Funotentext"/>
      </w:pPr>
      <w:r>
        <w:rPr>
          <w:rStyle w:val="Funotenzeichen"/>
        </w:rPr>
        <w:footnoteRef/>
      </w:r>
      <w:r w:rsidRPr="004832F9">
        <w:rPr>
          <w:lang w:val="en-US"/>
        </w:rPr>
        <w:t xml:space="preserve"> Pramanik et al. (2021) </w:t>
      </w:r>
      <w:r w:rsidRPr="006B7547">
        <w:rPr>
          <w:lang w:val="en-US"/>
        </w:rPr>
        <w:t>Privacy preserving big data analytics: A critical analysis of state-of-the-art.</w:t>
      </w:r>
      <w:r w:rsidRPr="004832F9">
        <w:rPr>
          <w:lang w:val="en-US"/>
        </w:rPr>
        <w:t xml:space="preserve"> </w:t>
      </w:r>
      <w:r w:rsidRPr="006B7547">
        <w:t xml:space="preserve">WIREs: e1387-e1392. </w:t>
      </w:r>
      <w:hyperlink r:id="rId147" w:history="1">
        <w:r w:rsidRPr="00DF3CEB">
          <w:rPr>
            <w:rStyle w:val="Hyperlink"/>
          </w:rPr>
          <w:t>https://doi.org/10.1002/widm.1387</w:t>
        </w:r>
      </w:hyperlink>
    </w:p>
  </w:footnote>
  <w:footnote w:id="134">
    <w:p w14:paraId="6552A055" w14:textId="77777777" w:rsidR="00ED5B8F" w:rsidRDefault="00ED5B8F" w:rsidP="00ED5B8F">
      <w:pPr>
        <w:pStyle w:val="Funotentext"/>
      </w:pPr>
      <w:r>
        <w:rPr>
          <w:rStyle w:val="Funotenzeichen"/>
        </w:rPr>
        <w:footnoteRef/>
      </w:r>
      <w:r>
        <w:t xml:space="preserve"> </w:t>
      </w:r>
      <w:r w:rsidRPr="002A7B67">
        <w:t xml:space="preserve">BVerfG, </w:t>
      </w:r>
      <w:r>
        <w:t>Urt. v. 1978-08-</w:t>
      </w:r>
      <w:r w:rsidRPr="002A7B67">
        <w:t>08</w:t>
      </w:r>
      <w:r>
        <w:t>, Az. </w:t>
      </w:r>
      <w:r w:rsidRPr="002A7B67">
        <w:t xml:space="preserve">2 </w:t>
      </w:r>
      <w:r w:rsidRPr="004832F9">
        <w:t>BvL</w:t>
      </w:r>
      <w:r w:rsidRPr="002A7B67">
        <w:t xml:space="preserve"> 8/77</w:t>
      </w:r>
      <w:r>
        <w:t xml:space="preserve">. </w:t>
      </w:r>
      <w:r w:rsidRPr="002A7B67">
        <w:t>Online, zitiert am 2023-1</w:t>
      </w:r>
      <w:r>
        <w:t>2</w:t>
      </w:r>
      <w:r w:rsidRPr="002A7B67">
        <w:t>-</w:t>
      </w:r>
      <w:r>
        <w:t>29</w:t>
      </w:r>
      <w:r w:rsidRPr="002A7B67">
        <w:t>; verfügbar unter</w:t>
      </w:r>
      <w:r>
        <w:t xml:space="preserve"> </w:t>
      </w:r>
      <w:hyperlink r:id="rId148" w:history="1">
        <w:r w:rsidRPr="003D453A">
          <w:rPr>
            <w:rStyle w:val="Hyperlink"/>
          </w:rPr>
          <w:t>https://dejure.org/1978</w:t>
        </w:r>
        <w:r w:rsidRPr="004832F9">
          <w:rPr>
            <w:rStyle w:val="Hyperlink"/>
          </w:rPr>
          <w:t>,1</w:t>
        </w:r>
      </w:hyperlink>
      <w:r>
        <w:t xml:space="preserve">, Volltext unter </w:t>
      </w:r>
      <w:hyperlink r:id="rId149" w:history="1">
        <w:r w:rsidRPr="002A7B67">
          <w:rPr>
            <w:rStyle w:val="Hyperlink"/>
          </w:rPr>
          <w:t>https://openjur.de/u/166332</w:t>
        </w:r>
        <w:r w:rsidRPr="004832F9">
          <w:rPr>
            <w:rStyle w:val="Hyperlink"/>
          </w:rPr>
          <w:t>.html</w:t>
        </w:r>
      </w:hyperlink>
      <w:r>
        <w:t xml:space="preserve"> </w:t>
      </w:r>
    </w:p>
  </w:footnote>
  <w:footnote w:id="135">
    <w:p w14:paraId="43B0AF47" w14:textId="77777777" w:rsidR="00ED5B8F" w:rsidRDefault="00ED5B8F" w:rsidP="00ED5B8F">
      <w:pPr>
        <w:pStyle w:val="Funotentext"/>
      </w:pPr>
      <w:r>
        <w:rPr>
          <w:rStyle w:val="Funotenzeichen"/>
        </w:rPr>
        <w:footnoteRef/>
      </w:r>
      <w:r>
        <w:t xml:space="preserve"> </w:t>
      </w:r>
      <w:r w:rsidRPr="00ED5B8F">
        <w:t>Bundesministerium der Justiz (</w:t>
      </w:r>
      <w:r w:rsidRPr="004832F9">
        <w:t>BMJ</w:t>
      </w:r>
      <w:r w:rsidRPr="00ED5B8F">
        <w:t>)</w:t>
      </w:r>
      <w:r>
        <w:t xml:space="preserve">: </w:t>
      </w:r>
      <w:r w:rsidRPr="00ED5B8F">
        <w:t>Handbuch der Rechtsförmlichkeit</w:t>
      </w:r>
      <w:r>
        <w:t xml:space="preserve">. Stand 2008-09-22. </w:t>
      </w:r>
      <w:r w:rsidRPr="002A7B67">
        <w:t>Online, zitiert am 2023-1</w:t>
      </w:r>
      <w:r>
        <w:t>2</w:t>
      </w:r>
      <w:r w:rsidRPr="002A7B67">
        <w:t>-</w:t>
      </w:r>
      <w:r>
        <w:t>29</w:t>
      </w:r>
      <w:r w:rsidRPr="002A7B67">
        <w:t>; verfügbar unter</w:t>
      </w:r>
      <w:r>
        <w:t xml:space="preserve"> </w:t>
      </w:r>
      <w:hyperlink r:id="rId150" w:history="1">
        <w:r>
          <w:rPr>
            <w:rStyle w:val="Hyperlink"/>
          </w:rPr>
          <w:t xml:space="preserve">https://www.bmj.de/SharedDocs/Publikationen/DE/Fachpublikationen/ </w:t>
        </w:r>
        <w:r w:rsidRPr="004832F9">
          <w:rPr>
            <w:rStyle w:val="Hyperlink"/>
          </w:rPr>
          <w:t>Handbuch_der_Rechtsfoermlichkeit.html?nn</w:t>
        </w:r>
        <w:r>
          <w:rPr>
            <w:rStyle w:val="Hyperlink"/>
          </w:rPr>
          <w:t>=</w:t>
        </w:r>
        <w:r w:rsidRPr="004832F9">
          <w:rPr>
            <w:rStyle w:val="Hyperlink"/>
          </w:rPr>
          <w:t>17134</w:t>
        </w:r>
      </w:hyperlink>
    </w:p>
  </w:footnote>
  <w:footnote w:id="136">
    <w:p w14:paraId="7F9B0DD9" w14:textId="77777777" w:rsidR="00ED5B8F" w:rsidRDefault="00ED5B8F" w:rsidP="00ED5B8F">
      <w:pPr>
        <w:pStyle w:val="Funotentext"/>
      </w:pPr>
      <w:r>
        <w:rPr>
          <w:rStyle w:val="Funotenzeichen"/>
        </w:rPr>
        <w:footnoteRef/>
      </w:r>
      <w:r>
        <w:t xml:space="preserve"> </w:t>
      </w:r>
      <w:r w:rsidRPr="00ED5B8F">
        <w:t>Gesetz über die friedliche Verwendung der Kernenergie und den Schutz gegen ihre Gefahren (Atomgesetz)</w:t>
      </w:r>
      <w:r>
        <w:t xml:space="preserve">: </w:t>
      </w:r>
      <w:r w:rsidRPr="00ED5B8F">
        <w:t>§</w:t>
      </w:r>
      <w:r>
        <w:t> </w:t>
      </w:r>
      <w:r w:rsidRPr="00ED5B8F">
        <w:t>7 Genehmigung von Anlagen</w:t>
      </w:r>
      <w:r>
        <w:t xml:space="preserve">. </w:t>
      </w:r>
      <w:r w:rsidRPr="002A7B67">
        <w:t>Online, zitiert am 2023-1</w:t>
      </w:r>
      <w:r>
        <w:t>2</w:t>
      </w:r>
      <w:r w:rsidRPr="002A7B67">
        <w:t>-</w:t>
      </w:r>
      <w:r>
        <w:t>29</w:t>
      </w:r>
      <w:r w:rsidRPr="002A7B67">
        <w:t>; verfügbar unter</w:t>
      </w:r>
      <w:r>
        <w:t xml:space="preserve"> </w:t>
      </w:r>
      <w:hyperlink r:id="rId151" w:history="1">
        <w:r w:rsidRPr="004832F9">
          <w:rPr>
            <w:rStyle w:val="Hyperlink"/>
          </w:rPr>
          <w:t>https://www.gesetze-im-internet.de/atg/__7.html</w:t>
        </w:r>
      </w:hyperlink>
    </w:p>
  </w:footnote>
  <w:footnote w:id="137">
    <w:p w14:paraId="3B854F24" w14:textId="72AA7F1E" w:rsidR="00ED5B8F" w:rsidRDefault="00ED5B8F" w:rsidP="00ED5B8F">
      <w:pPr>
        <w:pStyle w:val="Funotentext"/>
      </w:pPr>
      <w:r>
        <w:rPr>
          <w:rStyle w:val="Funotenzeichen"/>
        </w:rPr>
        <w:footnoteRef/>
      </w:r>
      <w:r>
        <w:t xml:space="preserve"> </w:t>
      </w:r>
      <w:r w:rsidRPr="00ED5B8F">
        <w:t>Gesetz zum Schutz vor schädlichen Umwelteinwirkungen durch Luftverunreinigungen, Geräusche, Erschütterungen und ähnliche Vorgänge (</w:t>
      </w:r>
      <w:r w:rsidRPr="004832F9">
        <w:t>Bundes-Immissionsschutzgesetz</w:t>
      </w:r>
      <w:r w:rsidRPr="00ED5B8F">
        <w:t xml:space="preserve"> - </w:t>
      </w:r>
      <w:r w:rsidRPr="004832F9">
        <w:t>BImSchG</w:t>
      </w:r>
      <w:r w:rsidRPr="00ED5B8F">
        <w:t>)</w:t>
      </w:r>
      <w:r>
        <w:t xml:space="preserve">: </w:t>
      </w:r>
      <w:r w:rsidRPr="00ED5B8F">
        <w:t>§</w:t>
      </w:r>
      <w:r>
        <w:t> </w:t>
      </w:r>
      <w:r w:rsidRPr="00ED5B8F">
        <w:t>3 Begriffsbestimmungen</w:t>
      </w:r>
      <w:r>
        <w:t xml:space="preserve">. </w:t>
      </w:r>
      <w:r w:rsidRPr="002A7B67">
        <w:t>Online, zitiert am 2023-1</w:t>
      </w:r>
      <w:r>
        <w:t>2</w:t>
      </w:r>
      <w:r w:rsidRPr="002A7B67">
        <w:t>-</w:t>
      </w:r>
      <w:r>
        <w:t>29</w:t>
      </w:r>
      <w:r w:rsidRPr="002A7B67">
        <w:t>; verfügbar unter</w:t>
      </w:r>
      <w:r>
        <w:t xml:space="preserve"> </w:t>
      </w:r>
      <w:hyperlink r:id="rId152" w:history="1">
        <w:r w:rsidRPr="004832F9">
          <w:rPr>
            <w:rStyle w:val="Hyperlink"/>
          </w:rPr>
          <w:t>https://www.gesetze-im-internet.de/bimschg/__3.html</w:t>
        </w:r>
      </w:hyperlink>
    </w:p>
  </w:footnote>
  <w:footnote w:id="138">
    <w:p w14:paraId="0439DC31" w14:textId="23EECD92" w:rsidR="00ED5B8F" w:rsidRDefault="00ED5B8F" w:rsidP="00ED5B8F">
      <w:pPr>
        <w:pStyle w:val="Funotentext"/>
      </w:pPr>
      <w:r>
        <w:rPr>
          <w:rStyle w:val="Funotenzeichen"/>
        </w:rPr>
        <w:footnoteRef/>
      </w:r>
      <w:r>
        <w:t xml:space="preserve"> </w:t>
      </w:r>
      <w:r w:rsidRPr="00ED5B8F">
        <w:t xml:space="preserve">Gesetz zur Ordnung des Wasserhaushalts 1) 2) (Wasserhaushaltsgesetz </w:t>
      </w:r>
      <w:r>
        <w:t>–</w:t>
      </w:r>
      <w:r w:rsidRPr="00ED5B8F">
        <w:t xml:space="preserve"> WHG)</w:t>
      </w:r>
      <w:r>
        <w:t xml:space="preserve">: </w:t>
      </w:r>
      <w:r w:rsidRPr="00ED5B8F">
        <w:t>§</w:t>
      </w:r>
      <w:r>
        <w:t> </w:t>
      </w:r>
      <w:r w:rsidRPr="00ED5B8F">
        <w:t>3 Begriffsbestimmungen</w:t>
      </w:r>
      <w:r>
        <w:t xml:space="preserve">. </w:t>
      </w:r>
      <w:r w:rsidRPr="002A7B67">
        <w:t>Online, zitiert am 2023-1</w:t>
      </w:r>
      <w:r>
        <w:t>2</w:t>
      </w:r>
      <w:r w:rsidRPr="002A7B67">
        <w:t>-</w:t>
      </w:r>
      <w:r>
        <w:t>29</w:t>
      </w:r>
      <w:r w:rsidRPr="002A7B67">
        <w:t>; verfügbar unter</w:t>
      </w:r>
      <w:r>
        <w:t xml:space="preserve"> </w:t>
      </w:r>
      <w:hyperlink r:id="rId153" w:history="1">
        <w:r w:rsidRPr="004832F9">
          <w:rPr>
            <w:rStyle w:val="Hyperlink"/>
          </w:rPr>
          <w:t>https://www.gesetze-im-internet.de/whg_2009/__3.html</w:t>
        </w:r>
      </w:hyperlink>
    </w:p>
  </w:footnote>
  <w:footnote w:id="139">
    <w:p w14:paraId="3AC0FB8C" w14:textId="6AEE5C7D" w:rsidR="00ED5B8F" w:rsidRDefault="00ED5B8F" w:rsidP="00ED5B8F">
      <w:pPr>
        <w:pStyle w:val="Funotentext"/>
      </w:pPr>
      <w:r>
        <w:rPr>
          <w:rStyle w:val="Funotenzeichen"/>
        </w:rPr>
        <w:footnoteRef/>
      </w:r>
      <w:r>
        <w:t xml:space="preserve"> </w:t>
      </w:r>
      <w:r w:rsidRPr="00ED5B8F">
        <w:t xml:space="preserve">Gesetz zur Förderung der Kreislaufwirtschaft und Sicherung der umweltverträglichen Bewirtschaftung von Abfällen (Kreislaufwirtschaftsgesetz </w:t>
      </w:r>
      <w:r>
        <w:t>–</w:t>
      </w:r>
      <w:r w:rsidRPr="00ED5B8F">
        <w:t xml:space="preserve"> </w:t>
      </w:r>
      <w:r w:rsidRPr="004832F9">
        <w:t>KrWG</w:t>
      </w:r>
      <w:r w:rsidRPr="00ED5B8F">
        <w:t>)</w:t>
      </w:r>
      <w:r>
        <w:t xml:space="preserve">: </w:t>
      </w:r>
      <w:r w:rsidRPr="00ED5B8F">
        <w:t>§</w:t>
      </w:r>
      <w:r>
        <w:t> </w:t>
      </w:r>
      <w:r w:rsidRPr="00ED5B8F">
        <w:t>3 Begriffsbestimmungen</w:t>
      </w:r>
      <w:r>
        <w:t xml:space="preserve">. </w:t>
      </w:r>
      <w:r w:rsidRPr="002A7B67">
        <w:t>Online, zitiert am 2023-1</w:t>
      </w:r>
      <w:r>
        <w:t>2</w:t>
      </w:r>
      <w:r w:rsidRPr="002A7B67">
        <w:t>-</w:t>
      </w:r>
      <w:r>
        <w:t>29</w:t>
      </w:r>
      <w:r w:rsidRPr="002A7B67">
        <w:t>; verfügbar unter</w:t>
      </w:r>
      <w:r>
        <w:t xml:space="preserve"> </w:t>
      </w:r>
      <w:hyperlink r:id="rId154" w:history="1">
        <w:r w:rsidRPr="004832F9">
          <w:rPr>
            <w:rStyle w:val="Hyperlink"/>
          </w:rPr>
          <w:t>https://www.gesetze-im-internet.de/krwg/__3.html</w:t>
        </w:r>
      </w:hyperlink>
    </w:p>
  </w:footnote>
  <w:footnote w:id="140">
    <w:p w14:paraId="1F533BD0" w14:textId="5C7D86AD" w:rsidR="00ED5B8F" w:rsidRDefault="00ED5B8F">
      <w:pPr>
        <w:pStyle w:val="Funotentext"/>
      </w:pPr>
      <w:r>
        <w:rPr>
          <w:rStyle w:val="Funotenzeichen"/>
        </w:rPr>
        <w:footnoteRef/>
      </w:r>
      <w:r>
        <w:t xml:space="preserve"> </w:t>
      </w:r>
      <w:r w:rsidRPr="003C4656">
        <w:t>Richtlinie 2010/75/EU des Europäischen Parlaments und des Rates vom 24. November 2010 über Industrieemissionen (integrierte Vermeidung und Verminderung der Umweltverschmutzung)</w:t>
      </w:r>
      <w:r>
        <w:t xml:space="preserve">. Online, zitiert am 2017-09-04; </w:t>
      </w:r>
      <w:r w:rsidRPr="004832F9">
        <w:t>Verfügbar</w:t>
      </w:r>
      <w:r>
        <w:t xml:space="preserve"> unter </w:t>
      </w:r>
      <w:hyperlink r:id="rId155" w:anchor="d1e600-17-1" w:history="1">
        <w:r>
          <w:rPr>
            <w:rStyle w:val="Hyperlink"/>
          </w:rPr>
          <w:t xml:space="preserve">https://eur-lex.europa.eu/legal-content/DE/TXT/HTML/?uri= </w:t>
        </w:r>
        <w:r w:rsidRPr="004832F9">
          <w:rPr>
            <w:rStyle w:val="Hyperlink"/>
          </w:rPr>
          <w:t>CELEX:32010L0075</w:t>
        </w:r>
        <w:r>
          <w:rPr>
            <w:rStyle w:val="Hyperlink"/>
          </w:rPr>
          <w:t>#</w:t>
        </w:r>
        <w:r w:rsidRPr="004832F9">
          <w:rPr>
            <w:rStyle w:val="Hyperlink"/>
          </w:rPr>
          <w:t>d1e600-17-1</w:t>
        </w:r>
      </w:hyperlink>
    </w:p>
  </w:footnote>
  <w:footnote w:id="141">
    <w:p w14:paraId="32200D3C" w14:textId="555AB1EE" w:rsidR="0072629C" w:rsidRDefault="0072629C" w:rsidP="0072629C">
      <w:pPr>
        <w:pStyle w:val="Funotentext"/>
      </w:pPr>
      <w:r>
        <w:rPr>
          <w:rStyle w:val="Funotenzeichen"/>
        </w:rPr>
        <w:footnoteRef/>
      </w:r>
      <w:r>
        <w:t xml:space="preserve"> Ein </w:t>
      </w:r>
      <w:r w:rsidR="006F0B0E">
        <w:t>B</w:t>
      </w:r>
      <w:r>
        <w:t xml:space="preserve">eispiel ist die </w:t>
      </w:r>
      <w:r w:rsidRPr="004832F9">
        <w:t>TI-Infrastruktur</w:t>
      </w:r>
      <w:r>
        <w:t xml:space="preserve"> der </w:t>
      </w:r>
      <w:r w:rsidRPr="004832F9">
        <w:t>gematik</w:t>
      </w:r>
      <w:r>
        <w:t xml:space="preserve">, in der ein Großteil der Sicherheit während der Kommunikation durch den Einsatz von </w:t>
      </w:r>
      <w:r w:rsidRPr="0072629C">
        <w:t xml:space="preserve">Transport Layer Security </w:t>
      </w:r>
      <w:r>
        <w:t>(</w:t>
      </w:r>
      <w:r w:rsidRPr="004832F9">
        <w:t>TLS</w:t>
      </w:r>
      <w:r>
        <w:t xml:space="preserve">) abgesichert wird. Siehe die diversen Implementierungsleitfäden unter </w:t>
      </w:r>
      <w:hyperlink r:id="rId156" w:history="1">
        <w:r>
          <w:rPr>
            <w:rStyle w:val="Hyperlink"/>
          </w:rPr>
          <w:t xml:space="preserve">https://fachportal.gematik.de/schnelleinstieg/downloadcenter/ </w:t>
        </w:r>
        <w:r w:rsidRPr="004832F9">
          <w:rPr>
            <w:rStyle w:val="Hyperlink"/>
          </w:rPr>
          <w:t>implementierungsleitfaeden</w:t>
        </w:r>
      </w:hyperlink>
      <w:r>
        <w:t xml:space="preserve"> oder auch die übergreifende Spezifikation Verwendung </w:t>
      </w:r>
      <w:r w:rsidRPr="004832F9">
        <w:t>kryptographischer</w:t>
      </w:r>
      <w:r>
        <w:t xml:space="preserve"> Algorithmen in der Telematikinfrastruktur, abrufbar unter </w:t>
      </w:r>
      <w:hyperlink r:id="rId157" w:history="1">
        <w:r w:rsidRPr="004832F9">
          <w:rPr>
            <w:rStyle w:val="Hyperlink"/>
          </w:rPr>
          <w:t>https://fachportal.gematik.de/fachportal-import/files/gemSpec_Krypt_V2.28.0.pdf</w:t>
        </w:r>
      </w:hyperlink>
    </w:p>
  </w:footnote>
  <w:footnote w:id="142">
    <w:p w14:paraId="7AC02A26" w14:textId="31FBCD41" w:rsidR="004F79DB" w:rsidRDefault="004F79DB" w:rsidP="004F79DB">
      <w:pPr>
        <w:pStyle w:val="Funotentext"/>
      </w:pPr>
      <w:r>
        <w:rPr>
          <w:rStyle w:val="Funotenzeichen"/>
        </w:rPr>
        <w:footnoteRef/>
      </w:r>
      <w:r>
        <w:t xml:space="preserve"> </w:t>
      </w:r>
      <w:r w:rsidRPr="004F79DB">
        <w:t>Bundesamt für Sicherheit in der Informationstechnik</w:t>
      </w:r>
      <w:r>
        <w:t xml:space="preserve"> (BSI): Kryptografie quantensicher gestalten - Grundlagen, Entwicklungen, Empfehlungen. Stand 2021-12-16. </w:t>
      </w:r>
      <w:r w:rsidRPr="004832F9">
        <w:t>Online,</w:t>
      </w:r>
      <w:r>
        <w:t xml:space="preserve"> zitiert am 2023-12-01; verfügbar unter </w:t>
      </w:r>
      <w:hyperlink r:id="rId158" w:history="1">
        <w:r w:rsidRPr="004F79DB">
          <w:rPr>
            <w:rStyle w:val="Hyperlink"/>
          </w:rPr>
          <w:t>https://www.bsi.bund.de/DE/Service-Navi/Presse/Alle-Meldungen-News/Meldungen/Leitfaden_quanten-sichere_Kryptografie_211216.html</w:t>
        </w:r>
      </w:hyperlink>
      <w:r>
        <w:t xml:space="preserve"> bzw. </w:t>
      </w:r>
      <w:r w:rsidRPr="004832F9">
        <w:t>pdf-Datei</w:t>
      </w:r>
      <w:r>
        <w:t xml:space="preserve"> unter </w:t>
      </w:r>
      <w:hyperlink r:id="rId159" w:history="1">
        <w:r w:rsidRPr="004F79DB">
          <w:rPr>
            <w:rStyle w:val="Hyperlink"/>
          </w:rPr>
          <w:t>https://www.bsi.bund.de/SharedDocs/Downloads/ DE/BSI/Publikationen/</w:t>
        </w:r>
        <w:r w:rsidRPr="004832F9">
          <w:rPr>
            <w:rStyle w:val="Hyperlink"/>
          </w:rPr>
          <w:t>Broschueren</w:t>
        </w:r>
        <w:r w:rsidRPr="004F79DB">
          <w:rPr>
            <w:rStyle w:val="Hyperlink"/>
          </w:rPr>
          <w:t>/Kryptografie-quantensicher-</w:t>
        </w:r>
        <w:r w:rsidRPr="004832F9">
          <w:rPr>
            <w:rStyle w:val="Hyperlink"/>
          </w:rPr>
          <w:t>gestalten.pdf?__blob</w:t>
        </w:r>
        <w:r w:rsidRPr="004F79DB">
          <w:rPr>
            <w:rStyle w:val="Hyperlink"/>
          </w:rPr>
          <w:t>=</w:t>
        </w:r>
        <w:r w:rsidRPr="004832F9">
          <w:rPr>
            <w:rStyle w:val="Hyperlink"/>
          </w:rPr>
          <w:t>publicationFile</w:t>
        </w:r>
        <w:r w:rsidRPr="004F79DB">
          <w:rPr>
            <w:rStyle w:val="Hyperlink"/>
          </w:rPr>
          <w:t>&amp;v=</w:t>
        </w:r>
        <w:r w:rsidRPr="004832F9">
          <w:rPr>
            <w:rStyle w:val="Hyperlink"/>
          </w:rPr>
          <w:t>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5E364" w14:textId="77777777" w:rsidR="004832F9" w:rsidRDefault="004832F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6BAAF" w14:textId="77777777" w:rsidR="004832F9" w:rsidRDefault="004832F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80A01" w14:textId="77777777" w:rsidR="004832F9" w:rsidRDefault="004832F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3E80E" w14:textId="77777777" w:rsidR="00AE4EA7" w:rsidRDefault="00AE4EA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52E1B"/>
    <w:multiLevelType w:val="multilevel"/>
    <w:tmpl w:val="16F07A28"/>
    <w:lvl w:ilvl="0">
      <w:numFmt w:val="bullet"/>
      <w:lvlText w:val="-"/>
      <w:lvlJc w:val="left"/>
      <w:pPr>
        <w:tabs>
          <w:tab w:val="num" w:pos="0"/>
        </w:tabs>
        <w:ind w:left="720" w:hanging="360"/>
      </w:pPr>
      <w:rPr>
        <w:rFonts w:ascii="Calibri" w:eastAsiaTheme="minorHAnsi" w:hAnsi="Calibri"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8183FDC"/>
    <w:multiLevelType w:val="hybridMultilevel"/>
    <w:tmpl w:val="DF926224"/>
    <w:lvl w:ilvl="0" w:tplc="83BC3A46">
      <w:numFmt w:val="bullet"/>
      <w:lvlText w:val="-"/>
      <w:lvlJc w:val="left"/>
      <w:pPr>
        <w:ind w:left="720" w:hanging="360"/>
      </w:pPr>
      <w:rPr>
        <w:rFonts w:ascii="Calibri" w:eastAsiaTheme="minorHAnsi" w:hAnsi="Calibri" w:cs="Calibri" w:hint="default"/>
      </w:rPr>
    </w:lvl>
    <w:lvl w:ilvl="1" w:tplc="0407000F">
      <w:start w:val="1"/>
      <w:numFmt w:val="decimal"/>
      <w:lvlText w:val="%2."/>
      <w:lvlJc w:val="left"/>
      <w:pPr>
        <w:ind w:left="1440" w:hanging="360"/>
      </w:p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07334C7"/>
    <w:multiLevelType w:val="multilevel"/>
    <w:tmpl w:val="59FE00AE"/>
    <w:lvl w:ilvl="0">
      <w:start w:val="8"/>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3" w15:restartNumberingAfterBreak="0">
    <w:nsid w:val="10ED7796"/>
    <w:multiLevelType w:val="hybridMultilevel"/>
    <w:tmpl w:val="EE8C2AF0"/>
    <w:lvl w:ilvl="0" w:tplc="4AB0C074">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0C0432"/>
    <w:multiLevelType w:val="multilevel"/>
    <w:tmpl w:val="23721D40"/>
    <w:lvl w:ilvl="0">
      <w:start w:val="1"/>
      <w:numFmt w:val="lowerRoman"/>
      <w:lvlText w:val="%1."/>
      <w:lvlJc w:val="righ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15:restartNumberingAfterBreak="0">
    <w:nsid w:val="134D320D"/>
    <w:multiLevelType w:val="multilevel"/>
    <w:tmpl w:val="803AB046"/>
    <w:lvl w:ilvl="0">
      <w:start w:val="6"/>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6" w15:restartNumberingAfterBreak="0">
    <w:nsid w:val="16416565"/>
    <w:multiLevelType w:val="multilevel"/>
    <w:tmpl w:val="26085B58"/>
    <w:lvl w:ilvl="0">
      <w:start w:val="12"/>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7" w15:restartNumberingAfterBreak="0">
    <w:nsid w:val="180950F5"/>
    <w:multiLevelType w:val="multilevel"/>
    <w:tmpl w:val="EDCEA922"/>
    <w:lvl w:ilvl="0">
      <w:start w:val="10"/>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8" w15:restartNumberingAfterBreak="0">
    <w:nsid w:val="18D00ACC"/>
    <w:multiLevelType w:val="multilevel"/>
    <w:tmpl w:val="5CD48EA4"/>
    <w:lvl w:ilvl="0">
      <w:start w:val="13"/>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9" w15:restartNumberingAfterBreak="0">
    <w:nsid w:val="1BBC427C"/>
    <w:multiLevelType w:val="hybridMultilevel"/>
    <w:tmpl w:val="9EA47608"/>
    <w:lvl w:ilvl="0" w:tplc="4AB0C074">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C4542E"/>
    <w:multiLevelType w:val="hybridMultilevel"/>
    <w:tmpl w:val="70F61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3C2C58"/>
    <w:multiLevelType w:val="hybridMultilevel"/>
    <w:tmpl w:val="FB8813F4"/>
    <w:lvl w:ilvl="0" w:tplc="816231BA">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612973"/>
    <w:multiLevelType w:val="hybridMultilevel"/>
    <w:tmpl w:val="3B8CF1CE"/>
    <w:lvl w:ilvl="0" w:tplc="1A524016">
      <w:numFmt w:val="bullet"/>
      <w:lvlText w:val="-"/>
      <w:lvlJc w:val="left"/>
      <w:pPr>
        <w:ind w:left="720" w:hanging="360"/>
      </w:pPr>
      <w:rPr>
        <w:rFonts w:ascii="Calibri" w:eastAsiaTheme="minorHAnsi" w:hAnsi="Calibri" w:cs="Calibri" w:hint="default"/>
      </w:rPr>
    </w:lvl>
    <w:lvl w:ilvl="1" w:tplc="0407000F">
      <w:start w:val="1"/>
      <w:numFmt w:val="decimal"/>
      <w:lvlText w:val="%2."/>
      <w:lvlJc w:val="left"/>
      <w:pPr>
        <w:ind w:left="1440" w:hanging="360"/>
      </w:p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5450747"/>
    <w:multiLevelType w:val="multilevel"/>
    <w:tmpl w:val="D07A57D0"/>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6B11755"/>
    <w:multiLevelType w:val="multilevel"/>
    <w:tmpl w:val="9154DF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278973B4"/>
    <w:multiLevelType w:val="hybridMultilevel"/>
    <w:tmpl w:val="FBFA2A4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84E6EC5"/>
    <w:multiLevelType w:val="multilevel"/>
    <w:tmpl w:val="91CCA50A"/>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7" w15:restartNumberingAfterBreak="0">
    <w:nsid w:val="2AAD7758"/>
    <w:multiLevelType w:val="multilevel"/>
    <w:tmpl w:val="96826A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AB47969"/>
    <w:multiLevelType w:val="hybridMultilevel"/>
    <w:tmpl w:val="E612C11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2F6326A2"/>
    <w:multiLevelType w:val="multilevel"/>
    <w:tmpl w:val="E69EBA72"/>
    <w:lvl w:ilvl="0">
      <w:start w:val="11"/>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20" w15:restartNumberingAfterBreak="0">
    <w:nsid w:val="31B40830"/>
    <w:multiLevelType w:val="multilevel"/>
    <w:tmpl w:val="7E46E1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32052EC9"/>
    <w:multiLevelType w:val="hybridMultilevel"/>
    <w:tmpl w:val="FB6033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2BD4A85"/>
    <w:multiLevelType w:val="multilevel"/>
    <w:tmpl w:val="58508092"/>
    <w:lvl w:ilvl="0">
      <w:start w:val="7"/>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23" w15:restartNumberingAfterBreak="0">
    <w:nsid w:val="33161E5A"/>
    <w:multiLevelType w:val="multilevel"/>
    <w:tmpl w:val="176E27F0"/>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15:restartNumberingAfterBreak="0">
    <w:nsid w:val="35C15D36"/>
    <w:multiLevelType w:val="hybridMultilevel"/>
    <w:tmpl w:val="757EDB02"/>
    <w:lvl w:ilvl="0" w:tplc="C6CCFB6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91228AE"/>
    <w:multiLevelType w:val="multilevel"/>
    <w:tmpl w:val="9078F714"/>
    <w:lvl w:ilvl="0">
      <w:start w:val="8"/>
      <w:numFmt w:val="bullet"/>
      <w:lvlText w:val="-"/>
      <w:lvlJc w:val="left"/>
      <w:pPr>
        <w:tabs>
          <w:tab w:val="num" w:pos="0"/>
        </w:tabs>
        <w:ind w:left="360" w:hanging="360"/>
      </w:pPr>
      <w:rPr>
        <w:rFonts w:ascii="Calibri" w:eastAsiaTheme="minorHAnsi" w:hAnsi="Calibri" w:cstheme="minorBidi" w:hint="default"/>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6" w15:restartNumberingAfterBreak="0">
    <w:nsid w:val="39BF13B0"/>
    <w:multiLevelType w:val="hybridMultilevel"/>
    <w:tmpl w:val="DE3A02FC"/>
    <w:lvl w:ilvl="0" w:tplc="0407001B">
      <w:start w:val="1"/>
      <w:numFmt w:val="low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7" w15:restartNumberingAfterBreak="0">
    <w:nsid w:val="3BC24FD3"/>
    <w:multiLevelType w:val="multilevel"/>
    <w:tmpl w:val="1C64782A"/>
    <w:lvl w:ilvl="0">
      <w:start w:val="2"/>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40A126EA"/>
    <w:multiLevelType w:val="multilevel"/>
    <w:tmpl w:val="9822F0F0"/>
    <w:lvl w:ilvl="0">
      <w:start w:val="14"/>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29" w15:restartNumberingAfterBreak="0">
    <w:nsid w:val="425441F3"/>
    <w:multiLevelType w:val="hybridMultilevel"/>
    <w:tmpl w:val="1D688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31422FB"/>
    <w:multiLevelType w:val="multilevel"/>
    <w:tmpl w:val="D4069810"/>
    <w:lvl w:ilvl="0">
      <w:start w:val="5"/>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31" w15:restartNumberingAfterBreak="0">
    <w:nsid w:val="45E5344E"/>
    <w:multiLevelType w:val="multilevel"/>
    <w:tmpl w:val="B260A11E"/>
    <w:lvl w:ilvl="0">
      <w:start w:val="1"/>
      <w:numFmt w:val="bullet"/>
      <w:lvlText w:val=""/>
      <w:lvlJc w:val="left"/>
      <w:pPr>
        <w:tabs>
          <w:tab w:val="num" w:pos="0"/>
        </w:tabs>
        <w:ind w:left="775" w:hanging="360"/>
      </w:pPr>
      <w:rPr>
        <w:rFonts w:ascii="Symbol" w:hAnsi="Symbol" w:cs="Symbol" w:hint="default"/>
      </w:rPr>
    </w:lvl>
    <w:lvl w:ilvl="1">
      <w:start w:val="1"/>
      <w:numFmt w:val="bullet"/>
      <w:lvlText w:val="o"/>
      <w:lvlJc w:val="left"/>
      <w:pPr>
        <w:tabs>
          <w:tab w:val="num" w:pos="0"/>
        </w:tabs>
        <w:ind w:left="1495" w:hanging="360"/>
      </w:pPr>
      <w:rPr>
        <w:rFonts w:ascii="Courier New" w:hAnsi="Courier New" w:cs="Courier New" w:hint="default"/>
      </w:rPr>
    </w:lvl>
    <w:lvl w:ilvl="2">
      <w:start w:val="1"/>
      <w:numFmt w:val="bullet"/>
      <w:lvlText w:val=""/>
      <w:lvlJc w:val="left"/>
      <w:pPr>
        <w:tabs>
          <w:tab w:val="num" w:pos="0"/>
        </w:tabs>
        <w:ind w:left="2215" w:hanging="360"/>
      </w:pPr>
      <w:rPr>
        <w:rFonts w:ascii="Wingdings" w:hAnsi="Wingdings" w:cs="Wingdings" w:hint="default"/>
      </w:rPr>
    </w:lvl>
    <w:lvl w:ilvl="3">
      <w:start w:val="1"/>
      <w:numFmt w:val="bullet"/>
      <w:lvlText w:val=""/>
      <w:lvlJc w:val="left"/>
      <w:pPr>
        <w:tabs>
          <w:tab w:val="num" w:pos="0"/>
        </w:tabs>
        <w:ind w:left="2935" w:hanging="360"/>
      </w:pPr>
      <w:rPr>
        <w:rFonts w:ascii="Symbol" w:hAnsi="Symbol" w:cs="Symbol" w:hint="default"/>
      </w:rPr>
    </w:lvl>
    <w:lvl w:ilvl="4">
      <w:start w:val="1"/>
      <w:numFmt w:val="bullet"/>
      <w:lvlText w:val="o"/>
      <w:lvlJc w:val="left"/>
      <w:pPr>
        <w:tabs>
          <w:tab w:val="num" w:pos="0"/>
        </w:tabs>
        <w:ind w:left="3655" w:hanging="360"/>
      </w:pPr>
      <w:rPr>
        <w:rFonts w:ascii="Courier New" w:hAnsi="Courier New" w:cs="Courier New" w:hint="default"/>
      </w:rPr>
    </w:lvl>
    <w:lvl w:ilvl="5">
      <w:start w:val="1"/>
      <w:numFmt w:val="bullet"/>
      <w:lvlText w:val=""/>
      <w:lvlJc w:val="left"/>
      <w:pPr>
        <w:tabs>
          <w:tab w:val="num" w:pos="0"/>
        </w:tabs>
        <w:ind w:left="4375" w:hanging="360"/>
      </w:pPr>
      <w:rPr>
        <w:rFonts w:ascii="Wingdings" w:hAnsi="Wingdings" w:cs="Wingdings" w:hint="default"/>
      </w:rPr>
    </w:lvl>
    <w:lvl w:ilvl="6">
      <w:start w:val="1"/>
      <w:numFmt w:val="bullet"/>
      <w:lvlText w:val=""/>
      <w:lvlJc w:val="left"/>
      <w:pPr>
        <w:tabs>
          <w:tab w:val="num" w:pos="0"/>
        </w:tabs>
        <w:ind w:left="5095" w:hanging="360"/>
      </w:pPr>
      <w:rPr>
        <w:rFonts w:ascii="Symbol" w:hAnsi="Symbol" w:cs="Symbol" w:hint="default"/>
      </w:rPr>
    </w:lvl>
    <w:lvl w:ilvl="7">
      <w:start w:val="1"/>
      <w:numFmt w:val="bullet"/>
      <w:lvlText w:val="o"/>
      <w:lvlJc w:val="left"/>
      <w:pPr>
        <w:tabs>
          <w:tab w:val="num" w:pos="0"/>
        </w:tabs>
        <w:ind w:left="5815" w:hanging="360"/>
      </w:pPr>
      <w:rPr>
        <w:rFonts w:ascii="Courier New" w:hAnsi="Courier New" w:cs="Courier New" w:hint="default"/>
      </w:rPr>
    </w:lvl>
    <w:lvl w:ilvl="8">
      <w:start w:val="1"/>
      <w:numFmt w:val="bullet"/>
      <w:lvlText w:val=""/>
      <w:lvlJc w:val="left"/>
      <w:pPr>
        <w:tabs>
          <w:tab w:val="num" w:pos="0"/>
        </w:tabs>
        <w:ind w:left="6535" w:hanging="360"/>
      </w:pPr>
      <w:rPr>
        <w:rFonts w:ascii="Wingdings" w:hAnsi="Wingdings" w:cs="Wingdings" w:hint="default"/>
      </w:rPr>
    </w:lvl>
  </w:abstractNum>
  <w:abstractNum w:abstractNumId="32" w15:restartNumberingAfterBreak="0">
    <w:nsid w:val="460619CA"/>
    <w:multiLevelType w:val="multilevel"/>
    <w:tmpl w:val="3508FE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473C0F4E"/>
    <w:multiLevelType w:val="hybridMultilevel"/>
    <w:tmpl w:val="3032361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76C41FD"/>
    <w:multiLevelType w:val="hybridMultilevel"/>
    <w:tmpl w:val="9A30883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BA37DC0"/>
    <w:multiLevelType w:val="multilevel"/>
    <w:tmpl w:val="F154B5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4D450640"/>
    <w:multiLevelType w:val="hybridMultilevel"/>
    <w:tmpl w:val="7E5E568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4DEB0829"/>
    <w:multiLevelType w:val="multilevel"/>
    <w:tmpl w:val="A0BA72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F09480A"/>
    <w:multiLevelType w:val="multilevel"/>
    <w:tmpl w:val="8BBAEB14"/>
    <w:lvl w:ilvl="0">
      <w:start w:val="15"/>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39" w15:restartNumberingAfterBreak="0">
    <w:nsid w:val="4F953FCC"/>
    <w:multiLevelType w:val="multilevel"/>
    <w:tmpl w:val="F4DE7872"/>
    <w:lvl w:ilvl="0">
      <w:start w:val="11"/>
      <w:numFmt w:val="bullet"/>
      <w:lvlText w:val="-"/>
      <w:lvlJc w:val="left"/>
      <w:pPr>
        <w:tabs>
          <w:tab w:val="num" w:pos="0"/>
        </w:tabs>
        <w:ind w:left="720" w:hanging="360"/>
      </w:pPr>
      <w:rPr>
        <w:rFonts w:ascii="Calibri" w:eastAsiaTheme="minorHAnsi" w:hAnsi="Calibri" w:cstheme="minorBidi" w:hint="default"/>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508960D3"/>
    <w:multiLevelType w:val="multilevel"/>
    <w:tmpl w:val="833E5C4A"/>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51F56C9A"/>
    <w:multiLevelType w:val="multilevel"/>
    <w:tmpl w:val="22A68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544F2E4A"/>
    <w:multiLevelType w:val="hybridMultilevel"/>
    <w:tmpl w:val="05F84B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5D766B5"/>
    <w:multiLevelType w:val="hybridMultilevel"/>
    <w:tmpl w:val="FE0830E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575F2DC3"/>
    <w:multiLevelType w:val="multilevel"/>
    <w:tmpl w:val="A80668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58CA0DAB"/>
    <w:multiLevelType w:val="hybridMultilevel"/>
    <w:tmpl w:val="02D2874E"/>
    <w:lvl w:ilvl="0" w:tplc="9A08A8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B43739B"/>
    <w:multiLevelType w:val="multilevel"/>
    <w:tmpl w:val="A3965508"/>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47" w15:restartNumberingAfterBreak="0">
    <w:nsid w:val="5BC54B7F"/>
    <w:multiLevelType w:val="multilevel"/>
    <w:tmpl w:val="FD4E42C4"/>
    <w:lvl w:ilvl="0">
      <w:numFmt w:val="bullet"/>
      <w:lvlText w:val="-"/>
      <w:lvlJc w:val="left"/>
      <w:pPr>
        <w:tabs>
          <w:tab w:val="num" w:pos="0"/>
        </w:tabs>
        <w:ind w:left="720" w:hanging="360"/>
      </w:pPr>
      <w:rPr>
        <w:rFonts w:ascii="Calibri" w:eastAsiaTheme="minorHAnsi" w:hAnsi="Calibri"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CB30417"/>
    <w:multiLevelType w:val="multilevel"/>
    <w:tmpl w:val="09E26C5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9" w15:restartNumberingAfterBreak="0">
    <w:nsid w:val="60446DAD"/>
    <w:multiLevelType w:val="hybridMultilevel"/>
    <w:tmpl w:val="9D765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0991AEA"/>
    <w:multiLevelType w:val="hybridMultilevel"/>
    <w:tmpl w:val="B762D5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0BB3467"/>
    <w:multiLevelType w:val="hybridMultilevel"/>
    <w:tmpl w:val="5720E0E0"/>
    <w:lvl w:ilvl="0" w:tplc="C6CCFB6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11367BE"/>
    <w:multiLevelType w:val="multilevel"/>
    <w:tmpl w:val="85106154"/>
    <w:lvl w:ilvl="0">
      <w:start w:val="1"/>
      <w:numFmt w:val="decimal"/>
      <w:pStyle w:val="berschrift1"/>
      <w:lvlText w:val="%1"/>
      <w:lvlJc w:val="left"/>
      <w:pPr>
        <w:tabs>
          <w:tab w:val="num" w:pos="0"/>
        </w:tabs>
        <w:ind w:left="432" w:hanging="432"/>
      </w:pPr>
    </w:lvl>
    <w:lvl w:ilvl="1">
      <w:start w:val="1"/>
      <w:numFmt w:val="decimal"/>
      <w:pStyle w:val="berschrift2"/>
      <w:lvlText w:val="%1.%2"/>
      <w:lvlJc w:val="left"/>
      <w:pPr>
        <w:tabs>
          <w:tab w:val="num" w:pos="0"/>
        </w:tabs>
        <w:ind w:left="576" w:hanging="576"/>
      </w:pPr>
    </w:lvl>
    <w:lvl w:ilvl="2">
      <w:start w:val="1"/>
      <w:numFmt w:val="decimal"/>
      <w:pStyle w:val="berschrift3"/>
      <w:lvlText w:val="%1.%2.%3"/>
      <w:lvlJc w:val="left"/>
      <w:pPr>
        <w:tabs>
          <w:tab w:val="num" w:pos="0"/>
        </w:tabs>
        <w:ind w:left="720" w:hanging="720"/>
      </w:pPr>
    </w:lvl>
    <w:lvl w:ilvl="3">
      <w:start w:val="1"/>
      <w:numFmt w:val="decimal"/>
      <w:pStyle w:val="berschrift4"/>
      <w:lvlText w:val="%1.%2.%3.%4"/>
      <w:lvlJc w:val="left"/>
      <w:pPr>
        <w:tabs>
          <w:tab w:val="num" w:pos="0"/>
        </w:tabs>
        <w:ind w:left="864" w:hanging="864"/>
      </w:pPr>
    </w:lvl>
    <w:lvl w:ilvl="4">
      <w:start w:val="1"/>
      <w:numFmt w:val="decimal"/>
      <w:pStyle w:val="berschrift5"/>
      <w:lvlText w:val="%1.%2.%3.%4.%5"/>
      <w:lvlJc w:val="left"/>
      <w:pPr>
        <w:tabs>
          <w:tab w:val="num" w:pos="0"/>
        </w:tabs>
        <w:ind w:left="1008" w:hanging="1008"/>
      </w:pPr>
    </w:lvl>
    <w:lvl w:ilvl="5">
      <w:start w:val="1"/>
      <w:numFmt w:val="decimal"/>
      <w:pStyle w:val="berschrift6"/>
      <w:lvlText w:val="%1.%2.%3.%4.%5.%6"/>
      <w:lvlJc w:val="left"/>
      <w:pPr>
        <w:tabs>
          <w:tab w:val="num" w:pos="0"/>
        </w:tabs>
        <w:ind w:left="1152" w:hanging="1152"/>
      </w:pPr>
    </w:lvl>
    <w:lvl w:ilvl="6">
      <w:start w:val="1"/>
      <w:numFmt w:val="decimal"/>
      <w:pStyle w:val="berschrift7"/>
      <w:lvlText w:val="%1.%2.%3.%4.%5.%6.%7"/>
      <w:lvlJc w:val="left"/>
      <w:pPr>
        <w:tabs>
          <w:tab w:val="num" w:pos="0"/>
        </w:tabs>
        <w:ind w:left="1296" w:hanging="1296"/>
      </w:pPr>
    </w:lvl>
    <w:lvl w:ilvl="7">
      <w:start w:val="1"/>
      <w:numFmt w:val="decimal"/>
      <w:pStyle w:val="berschrift8"/>
      <w:lvlText w:val="%1.%2.%3.%4.%5.%6.%7.%8"/>
      <w:lvlJc w:val="left"/>
      <w:pPr>
        <w:tabs>
          <w:tab w:val="num" w:pos="0"/>
        </w:tabs>
        <w:ind w:left="1440" w:hanging="1440"/>
      </w:pPr>
    </w:lvl>
    <w:lvl w:ilvl="8">
      <w:start w:val="1"/>
      <w:numFmt w:val="decimal"/>
      <w:pStyle w:val="berschrift9"/>
      <w:lvlText w:val="%1.%2.%3.%4.%5.%6.%7.%8.%9"/>
      <w:lvlJc w:val="left"/>
      <w:pPr>
        <w:tabs>
          <w:tab w:val="num" w:pos="0"/>
        </w:tabs>
        <w:ind w:left="1584" w:hanging="1584"/>
      </w:pPr>
    </w:lvl>
  </w:abstractNum>
  <w:abstractNum w:abstractNumId="53" w15:restartNumberingAfterBreak="0">
    <w:nsid w:val="64F66FDC"/>
    <w:multiLevelType w:val="hybridMultilevel"/>
    <w:tmpl w:val="1FD0C304"/>
    <w:lvl w:ilvl="0" w:tplc="0407000B">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54" w15:restartNumberingAfterBreak="0">
    <w:nsid w:val="652912A6"/>
    <w:multiLevelType w:val="multilevel"/>
    <w:tmpl w:val="EEAAB71A"/>
    <w:lvl w:ilvl="0">
      <w:start w:val="16"/>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55" w15:restartNumberingAfterBreak="0">
    <w:nsid w:val="672F4298"/>
    <w:multiLevelType w:val="multilevel"/>
    <w:tmpl w:val="20920542"/>
    <w:lvl w:ilvl="0">
      <w:start w:val="17"/>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56" w15:restartNumberingAfterBreak="0">
    <w:nsid w:val="6A8965C9"/>
    <w:multiLevelType w:val="multilevel"/>
    <w:tmpl w:val="2512794E"/>
    <w:lvl w:ilvl="0">
      <w:start w:val="12"/>
      <w:numFmt w:val="lowerLetter"/>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3."/>
      <w:lvlJc w:val="right"/>
      <w:pPr>
        <w:tabs>
          <w:tab w:val="num" w:pos="0"/>
        </w:tabs>
        <w:ind w:left="2880" w:hanging="180"/>
      </w:pPr>
      <w:rPr>
        <w:rFonts w:hint="default"/>
      </w:rPr>
    </w:lvl>
    <w:lvl w:ilvl="3">
      <w:start w:val="1"/>
      <w:numFmt w:val="decimal"/>
      <w:lvlText w:val="%4."/>
      <w:lvlJc w:val="left"/>
      <w:pPr>
        <w:tabs>
          <w:tab w:val="num" w:pos="0"/>
        </w:tabs>
        <w:ind w:left="3600" w:hanging="360"/>
      </w:pPr>
      <w:rPr>
        <w:rFonts w:hint="default"/>
      </w:rPr>
    </w:lvl>
    <w:lvl w:ilvl="4">
      <w:start w:val="1"/>
      <w:numFmt w:val="lowerLetter"/>
      <w:lvlText w:val="%5."/>
      <w:lvlJc w:val="left"/>
      <w:pPr>
        <w:tabs>
          <w:tab w:val="num" w:pos="0"/>
        </w:tabs>
        <w:ind w:left="4320" w:hanging="360"/>
      </w:pPr>
      <w:rPr>
        <w:rFonts w:hint="default"/>
      </w:rPr>
    </w:lvl>
    <w:lvl w:ilvl="5">
      <w:start w:val="1"/>
      <w:numFmt w:val="lowerRoman"/>
      <w:lvlText w:val="%6."/>
      <w:lvlJc w:val="right"/>
      <w:pPr>
        <w:tabs>
          <w:tab w:val="num" w:pos="0"/>
        </w:tabs>
        <w:ind w:left="5040" w:hanging="180"/>
      </w:pPr>
      <w:rPr>
        <w:rFonts w:hint="default"/>
      </w:rPr>
    </w:lvl>
    <w:lvl w:ilvl="6">
      <w:start w:val="1"/>
      <w:numFmt w:val="decimal"/>
      <w:lvlText w:val="%7."/>
      <w:lvlJc w:val="left"/>
      <w:pPr>
        <w:tabs>
          <w:tab w:val="num" w:pos="0"/>
        </w:tabs>
        <w:ind w:left="5760" w:hanging="360"/>
      </w:pPr>
      <w:rPr>
        <w:rFonts w:hint="default"/>
      </w:rPr>
    </w:lvl>
    <w:lvl w:ilvl="7">
      <w:start w:val="1"/>
      <w:numFmt w:val="lowerLetter"/>
      <w:lvlText w:val="%8."/>
      <w:lvlJc w:val="left"/>
      <w:pPr>
        <w:tabs>
          <w:tab w:val="num" w:pos="0"/>
        </w:tabs>
        <w:ind w:left="6480" w:hanging="360"/>
      </w:pPr>
      <w:rPr>
        <w:rFonts w:hint="default"/>
      </w:rPr>
    </w:lvl>
    <w:lvl w:ilvl="8">
      <w:start w:val="1"/>
      <w:numFmt w:val="lowerRoman"/>
      <w:lvlText w:val="%9."/>
      <w:lvlJc w:val="right"/>
      <w:pPr>
        <w:tabs>
          <w:tab w:val="num" w:pos="0"/>
        </w:tabs>
        <w:ind w:left="7200" w:hanging="180"/>
      </w:pPr>
      <w:rPr>
        <w:rFonts w:hint="default"/>
      </w:rPr>
    </w:lvl>
  </w:abstractNum>
  <w:abstractNum w:abstractNumId="57" w15:restartNumberingAfterBreak="0">
    <w:nsid w:val="6DE548D9"/>
    <w:multiLevelType w:val="hybridMultilevel"/>
    <w:tmpl w:val="D6BEB066"/>
    <w:lvl w:ilvl="0" w:tplc="485A0E80">
      <w:numFmt w:val="bullet"/>
      <w:lvlText w:val="-"/>
      <w:lvlJc w:val="left"/>
      <w:pPr>
        <w:ind w:left="720" w:hanging="360"/>
      </w:pPr>
      <w:rPr>
        <w:rFonts w:ascii="Calibri" w:eastAsiaTheme="minorHAnsi" w:hAnsi="Calibri" w:cs="Calibri" w:hint="default"/>
      </w:rPr>
    </w:lvl>
    <w:lvl w:ilvl="1" w:tplc="0407000F">
      <w:start w:val="1"/>
      <w:numFmt w:val="decimal"/>
      <w:lvlText w:val="%2."/>
      <w:lvlJc w:val="left"/>
      <w:pPr>
        <w:ind w:left="1440" w:hanging="360"/>
      </w:p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8" w15:restartNumberingAfterBreak="0">
    <w:nsid w:val="72AF7568"/>
    <w:multiLevelType w:val="multilevel"/>
    <w:tmpl w:val="02CED71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o"/>
      <w:lvlJc w:val="left"/>
      <w:pPr>
        <w:tabs>
          <w:tab w:val="num" w:pos="0"/>
        </w:tabs>
        <w:ind w:left="2340" w:hanging="360"/>
      </w:pPr>
      <w:rPr>
        <w:rFonts w:ascii="Courier New" w:hAnsi="Courier New" w:cs="Courier New" w:hint="default"/>
      </w:rPr>
    </w:lvl>
    <w:lvl w:ilvl="3">
      <w:start w:val="1"/>
      <w:numFmt w:val="lowerLetter"/>
      <w:lvlText w:val="%4)"/>
      <w:lvlJc w:val="left"/>
      <w:pPr>
        <w:tabs>
          <w:tab w:val="num" w:pos="0"/>
        </w:tabs>
        <w:ind w:left="2880" w:hanging="360"/>
      </w:pPr>
    </w:lvl>
    <w:lvl w:ilvl="4">
      <w:start w:val="1"/>
      <w:numFmt w:val="bullet"/>
      <w:lvlText w:val="-"/>
      <w:lvlJc w:val="left"/>
      <w:pPr>
        <w:ind w:left="3600" w:hanging="360"/>
      </w:pPr>
      <w:rPr>
        <w:rFonts w:ascii="Calibri" w:hAnsi="Calibri" w:hint="default"/>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74570443"/>
    <w:multiLevelType w:val="hybridMultilevel"/>
    <w:tmpl w:val="31FC1362"/>
    <w:lvl w:ilvl="0" w:tplc="88D48D8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54659BC"/>
    <w:multiLevelType w:val="hybridMultilevel"/>
    <w:tmpl w:val="1BAAD382"/>
    <w:lvl w:ilvl="0" w:tplc="9A08A820">
      <w:numFmt w:val="bullet"/>
      <w:lvlText w:val="-"/>
      <w:lvlJc w:val="left"/>
      <w:pPr>
        <w:ind w:left="720" w:hanging="360"/>
      </w:pPr>
      <w:rPr>
        <w:rFonts w:ascii="Calibri" w:eastAsiaTheme="minorHAnsi" w:hAnsi="Calibri" w:cs="Calibri" w:hint="default"/>
      </w:rPr>
    </w:lvl>
    <w:lvl w:ilvl="1" w:tplc="0407000F">
      <w:start w:val="1"/>
      <w:numFmt w:val="decimal"/>
      <w:lvlText w:val="%2."/>
      <w:lvlJc w:val="left"/>
      <w:pPr>
        <w:ind w:left="1440" w:hanging="360"/>
      </w:p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1" w15:restartNumberingAfterBreak="0">
    <w:nsid w:val="75DE171D"/>
    <w:multiLevelType w:val="multilevel"/>
    <w:tmpl w:val="F4B8C57C"/>
    <w:lvl w:ilvl="0">
      <w:start w:val="1"/>
      <w:numFmt w:val="bullet"/>
      <w:lvlText w:val="→"/>
      <w:lvlJc w:val="left"/>
      <w:pPr>
        <w:tabs>
          <w:tab w:val="num" w:pos="0"/>
        </w:tabs>
        <w:ind w:left="720" w:hanging="360"/>
      </w:pPr>
      <w:rPr>
        <w:rFonts w:ascii="Calibri" w:hAnsi="Calibri" w:cs="Calibri"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o"/>
      <w:lvlJc w:val="left"/>
      <w:pPr>
        <w:tabs>
          <w:tab w:val="num" w:pos="0"/>
        </w:tabs>
        <w:ind w:left="2340" w:hanging="360"/>
      </w:pPr>
      <w:rPr>
        <w:rFonts w:ascii="Courier New" w:hAnsi="Courier New" w:cs="Courier New"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77D333DE"/>
    <w:multiLevelType w:val="multilevel"/>
    <w:tmpl w:val="FA703AB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3" w15:restartNumberingAfterBreak="0">
    <w:nsid w:val="7C59380C"/>
    <w:multiLevelType w:val="hybridMultilevel"/>
    <w:tmpl w:val="0292FD80"/>
    <w:lvl w:ilvl="0" w:tplc="EEF270E8">
      <w:start w:val="1"/>
      <w:numFmt w:val="lowerLetter"/>
      <w:lvlText w:val="%1)"/>
      <w:lvlJc w:val="left"/>
      <w:pPr>
        <w:ind w:left="1071" w:hanging="711"/>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7F873377"/>
    <w:multiLevelType w:val="multilevel"/>
    <w:tmpl w:val="2DEC31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7FAF4175"/>
    <w:multiLevelType w:val="multilevel"/>
    <w:tmpl w:val="DCB6DC70"/>
    <w:lvl w:ilvl="0">
      <w:start w:val="1"/>
      <w:numFmt w:val="lowerLetter"/>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77685229">
    <w:abstractNumId w:val="52"/>
  </w:num>
  <w:num w:numId="2" w16cid:durableId="488447013">
    <w:abstractNumId w:val="58"/>
  </w:num>
  <w:num w:numId="3" w16cid:durableId="1343818680">
    <w:abstractNumId w:val="48"/>
  </w:num>
  <w:num w:numId="4" w16cid:durableId="754089353">
    <w:abstractNumId w:val="62"/>
  </w:num>
  <w:num w:numId="5" w16cid:durableId="1524899619">
    <w:abstractNumId w:val="47"/>
  </w:num>
  <w:num w:numId="6" w16cid:durableId="845172929">
    <w:abstractNumId w:val="61"/>
  </w:num>
  <w:num w:numId="7" w16cid:durableId="1330596502">
    <w:abstractNumId w:val="31"/>
  </w:num>
  <w:num w:numId="8" w16cid:durableId="832530072">
    <w:abstractNumId w:val="20"/>
  </w:num>
  <w:num w:numId="9" w16cid:durableId="1616056426">
    <w:abstractNumId w:val="37"/>
  </w:num>
  <w:num w:numId="10" w16cid:durableId="103229999">
    <w:abstractNumId w:val="40"/>
  </w:num>
  <w:num w:numId="11" w16cid:durableId="1274242344">
    <w:abstractNumId w:val="13"/>
  </w:num>
  <w:num w:numId="12" w16cid:durableId="313678948">
    <w:abstractNumId w:val="17"/>
  </w:num>
  <w:num w:numId="13" w16cid:durableId="675963947">
    <w:abstractNumId w:val="44"/>
  </w:num>
  <w:num w:numId="14" w16cid:durableId="1463579588">
    <w:abstractNumId w:val="39"/>
  </w:num>
  <w:num w:numId="15" w16cid:durableId="1610359838">
    <w:abstractNumId w:val="65"/>
  </w:num>
  <w:num w:numId="16" w16cid:durableId="369956072">
    <w:abstractNumId w:val="14"/>
  </w:num>
  <w:num w:numId="17" w16cid:durableId="1755324123">
    <w:abstractNumId w:val="0"/>
  </w:num>
  <w:num w:numId="18" w16cid:durableId="228535407">
    <w:abstractNumId w:val="35"/>
  </w:num>
  <w:num w:numId="19" w16cid:durableId="2126071823">
    <w:abstractNumId w:val="4"/>
  </w:num>
  <w:num w:numId="20" w16cid:durableId="42797260">
    <w:abstractNumId w:val="16"/>
  </w:num>
  <w:num w:numId="21" w16cid:durableId="1515536849">
    <w:abstractNumId w:val="32"/>
  </w:num>
  <w:num w:numId="22" w16cid:durableId="916280165">
    <w:abstractNumId w:val="25"/>
  </w:num>
  <w:num w:numId="23" w16cid:durableId="1734086523">
    <w:abstractNumId w:val="64"/>
  </w:num>
  <w:num w:numId="24" w16cid:durableId="1925215455">
    <w:abstractNumId w:val="41"/>
  </w:num>
  <w:num w:numId="25" w16cid:durableId="1771466237">
    <w:abstractNumId w:val="23"/>
  </w:num>
  <w:num w:numId="26" w16cid:durableId="514074197">
    <w:abstractNumId w:val="27"/>
  </w:num>
  <w:num w:numId="27" w16cid:durableId="1151141972">
    <w:abstractNumId w:val="46"/>
  </w:num>
  <w:num w:numId="28" w16cid:durableId="1325008422">
    <w:abstractNumId w:val="33"/>
  </w:num>
  <w:num w:numId="29" w16cid:durableId="569199260">
    <w:abstractNumId w:val="60"/>
    <w:lvlOverride w:ilvl="0"/>
    <w:lvlOverride w:ilvl="1">
      <w:startOverride w:val="1"/>
    </w:lvlOverride>
    <w:lvlOverride w:ilvl="2"/>
    <w:lvlOverride w:ilvl="3"/>
    <w:lvlOverride w:ilvl="4"/>
    <w:lvlOverride w:ilvl="5"/>
    <w:lvlOverride w:ilvl="6"/>
    <w:lvlOverride w:ilvl="7"/>
    <w:lvlOverride w:ilvl="8"/>
  </w:num>
  <w:num w:numId="30" w16cid:durableId="689375452">
    <w:abstractNumId w:val="57"/>
    <w:lvlOverride w:ilvl="0"/>
    <w:lvlOverride w:ilvl="1">
      <w:startOverride w:val="1"/>
    </w:lvlOverride>
    <w:lvlOverride w:ilvl="2"/>
    <w:lvlOverride w:ilvl="3"/>
    <w:lvlOverride w:ilvl="4"/>
    <w:lvlOverride w:ilvl="5"/>
    <w:lvlOverride w:ilvl="6"/>
    <w:lvlOverride w:ilvl="7"/>
    <w:lvlOverride w:ilvl="8"/>
  </w:num>
  <w:num w:numId="31" w16cid:durableId="1664821204">
    <w:abstractNumId w:val="1"/>
    <w:lvlOverride w:ilvl="0"/>
    <w:lvlOverride w:ilvl="1">
      <w:startOverride w:val="1"/>
    </w:lvlOverride>
    <w:lvlOverride w:ilvl="2"/>
    <w:lvlOverride w:ilvl="3"/>
    <w:lvlOverride w:ilvl="4"/>
    <w:lvlOverride w:ilvl="5"/>
    <w:lvlOverride w:ilvl="6"/>
    <w:lvlOverride w:ilvl="7"/>
    <w:lvlOverride w:ilvl="8"/>
  </w:num>
  <w:num w:numId="32" w16cid:durableId="936476127">
    <w:abstractNumId w:val="12"/>
    <w:lvlOverride w:ilvl="0"/>
    <w:lvlOverride w:ilvl="1">
      <w:startOverride w:val="1"/>
    </w:lvlOverride>
    <w:lvlOverride w:ilvl="2"/>
    <w:lvlOverride w:ilvl="3"/>
    <w:lvlOverride w:ilvl="4"/>
    <w:lvlOverride w:ilvl="5"/>
    <w:lvlOverride w:ilvl="6"/>
    <w:lvlOverride w:ilvl="7"/>
    <w:lvlOverride w:ilvl="8"/>
  </w:num>
  <w:num w:numId="33" w16cid:durableId="1887253359">
    <w:abstractNumId w:val="43"/>
  </w:num>
  <w:num w:numId="34" w16cid:durableId="2064480629">
    <w:abstractNumId w:val="59"/>
  </w:num>
  <w:num w:numId="35" w16cid:durableId="468984793">
    <w:abstractNumId w:val="21"/>
  </w:num>
  <w:num w:numId="36" w16cid:durableId="480773302">
    <w:abstractNumId w:val="45"/>
  </w:num>
  <w:num w:numId="37" w16cid:durableId="832259098">
    <w:abstractNumId w:val="34"/>
  </w:num>
  <w:num w:numId="38" w16cid:durableId="1542281430">
    <w:abstractNumId w:val="53"/>
  </w:num>
  <w:num w:numId="39" w16cid:durableId="232325229">
    <w:abstractNumId w:val="63"/>
  </w:num>
  <w:num w:numId="40" w16cid:durableId="1123839661">
    <w:abstractNumId w:val="29"/>
  </w:num>
  <w:num w:numId="41" w16cid:durableId="1893035556">
    <w:abstractNumId w:val="9"/>
  </w:num>
  <w:num w:numId="42" w16cid:durableId="1979723208">
    <w:abstractNumId w:val="11"/>
  </w:num>
  <w:num w:numId="43" w16cid:durableId="730889105">
    <w:abstractNumId w:val="36"/>
  </w:num>
  <w:num w:numId="44" w16cid:durableId="618344569">
    <w:abstractNumId w:val="42"/>
  </w:num>
  <w:num w:numId="45" w16cid:durableId="1228809254">
    <w:abstractNumId w:val="3"/>
  </w:num>
  <w:num w:numId="46" w16cid:durableId="138310255">
    <w:abstractNumId w:val="50"/>
  </w:num>
  <w:num w:numId="47" w16cid:durableId="1592422654">
    <w:abstractNumId w:val="15"/>
  </w:num>
  <w:num w:numId="48" w16cid:durableId="332683689">
    <w:abstractNumId w:val="51"/>
  </w:num>
  <w:num w:numId="49" w16cid:durableId="1175071063">
    <w:abstractNumId w:val="1"/>
  </w:num>
  <w:num w:numId="50" w16cid:durableId="1412702964">
    <w:abstractNumId w:val="24"/>
  </w:num>
  <w:num w:numId="51" w16cid:durableId="1649897916">
    <w:abstractNumId w:val="10"/>
  </w:num>
  <w:num w:numId="52" w16cid:durableId="845873856">
    <w:abstractNumId w:val="18"/>
  </w:num>
  <w:num w:numId="53" w16cid:durableId="1949576910">
    <w:abstractNumId w:val="49"/>
  </w:num>
  <w:num w:numId="54" w16cid:durableId="1625387622">
    <w:abstractNumId w:val="6"/>
  </w:num>
  <w:num w:numId="55" w16cid:durableId="423458495">
    <w:abstractNumId w:val="30"/>
  </w:num>
  <w:num w:numId="56" w16cid:durableId="1704087747">
    <w:abstractNumId w:val="8"/>
  </w:num>
  <w:num w:numId="57" w16cid:durableId="2136948613">
    <w:abstractNumId w:val="5"/>
  </w:num>
  <w:num w:numId="58" w16cid:durableId="1397359864">
    <w:abstractNumId w:val="28"/>
  </w:num>
  <w:num w:numId="59" w16cid:durableId="2042196660">
    <w:abstractNumId w:val="22"/>
  </w:num>
  <w:num w:numId="60" w16cid:durableId="1904245606">
    <w:abstractNumId w:val="38"/>
  </w:num>
  <w:num w:numId="61" w16cid:durableId="1208176558">
    <w:abstractNumId w:val="2"/>
  </w:num>
  <w:num w:numId="62" w16cid:durableId="2067489717">
    <w:abstractNumId w:val="54"/>
  </w:num>
  <w:num w:numId="63" w16cid:durableId="266810677">
    <w:abstractNumId w:val="56"/>
  </w:num>
  <w:num w:numId="64" w16cid:durableId="186523462">
    <w:abstractNumId w:val="55"/>
  </w:num>
  <w:num w:numId="65" w16cid:durableId="169566087">
    <w:abstractNumId w:val="7"/>
  </w:num>
  <w:num w:numId="66" w16cid:durableId="792790840">
    <w:abstractNumId w:val="19"/>
  </w:num>
  <w:num w:numId="67" w16cid:durableId="293222217">
    <w:abstractNumId w:val="2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EA7"/>
    <w:rsid w:val="0000446A"/>
    <w:rsid w:val="00027508"/>
    <w:rsid w:val="00027701"/>
    <w:rsid w:val="00045A16"/>
    <w:rsid w:val="00046BC6"/>
    <w:rsid w:val="00047FFE"/>
    <w:rsid w:val="00052850"/>
    <w:rsid w:val="00061296"/>
    <w:rsid w:val="00062293"/>
    <w:rsid w:val="00070E8C"/>
    <w:rsid w:val="0007457B"/>
    <w:rsid w:val="000875AD"/>
    <w:rsid w:val="000927BB"/>
    <w:rsid w:val="0009446A"/>
    <w:rsid w:val="000B08C5"/>
    <w:rsid w:val="000D12B1"/>
    <w:rsid w:val="000F0600"/>
    <w:rsid w:val="000F21BC"/>
    <w:rsid w:val="00101F9A"/>
    <w:rsid w:val="00111EC1"/>
    <w:rsid w:val="00116C6D"/>
    <w:rsid w:val="00157EA8"/>
    <w:rsid w:val="001611B6"/>
    <w:rsid w:val="00174C5E"/>
    <w:rsid w:val="00176A64"/>
    <w:rsid w:val="0018713B"/>
    <w:rsid w:val="001930E4"/>
    <w:rsid w:val="001A59D2"/>
    <w:rsid w:val="001C13A4"/>
    <w:rsid w:val="001C4FA0"/>
    <w:rsid w:val="001C645C"/>
    <w:rsid w:val="001D3122"/>
    <w:rsid w:val="001E0F4E"/>
    <w:rsid w:val="0020186F"/>
    <w:rsid w:val="00201F22"/>
    <w:rsid w:val="0020465B"/>
    <w:rsid w:val="00216B82"/>
    <w:rsid w:val="002227A5"/>
    <w:rsid w:val="0023017A"/>
    <w:rsid w:val="00232822"/>
    <w:rsid w:val="002559E5"/>
    <w:rsid w:val="00267C4E"/>
    <w:rsid w:val="00281DEF"/>
    <w:rsid w:val="002846F8"/>
    <w:rsid w:val="0029411D"/>
    <w:rsid w:val="002A377A"/>
    <w:rsid w:val="002A7B67"/>
    <w:rsid w:val="002B799F"/>
    <w:rsid w:val="002C5FB1"/>
    <w:rsid w:val="002E1918"/>
    <w:rsid w:val="002E4B9A"/>
    <w:rsid w:val="002F1126"/>
    <w:rsid w:val="002F3A21"/>
    <w:rsid w:val="002F58B0"/>
    <w:rsid w:val="002F6AB4"/>
    <w:rsid w:val="002F753E"/>
    <w:rsid w:val="0030489D"/>
    <w:rsid w:val="0030590C"/>
    <w:rsid w:val="00305A54"/>
    <w:rsid w:val="00306A58"/>
    <w:rsid w:val="00311345"/>
    <w:rsid w:val="0031283D"/>
    <w:rsid w:val="00316C83"/>
    <w:rsid w:val="003212CA"/>
    <w:rsid w:val="0033733F"/>
    <w:rsid w:val="003377AF"/>
    <w:rsid w:val="00347C0E"/>
    <w:rsid w:val="00351A11"/>
    <w:rsid w:val="00367235"/>
    <w:rsid w:val="00372FA4"/>
    <w:rsid w:val="0037314C"/>
    <w:rsid w:val="00383094"/>
    <w:rsid w:val="003976E6"/>
    <w:rsid w:val="003A2828"/>
    <w:rsid w:val="003C3E4B"/>
    <w:rsid w:val="003D4CDB"/>
    <w:rsid w:val="003E47F0"/>
    <w:rsid w:val="003F2D85"/>
    <w:rsid w:val="00400DCF"/>
    <w:rsid w:val="0040200F"/>
    <w:rsid w:val="00403723"/>
    <w:rsid w:val="00404AB5"/>
    <w:rsid w:val="004079CF"/>
    <w:rsid w:val="00421E45"/>
    <w:rsid w:val="00425B51"/>
    <w:rsid w:val="00425FDB"/>
    <w:rsid w:val="00433CB2"/>
    <w:rsid w:val="00450675"/>
    <w:rsid w:val="00452D32"/>
    <w:rsid w:val="00462357"/>
    <w:rsid w:val="00463704"/>
    <w:rsid w:val="004705E0"/>
    <w:rsid w:val="00473C2C"/>
    <w:rsid w:val="004832F9"/>
    <w:rsid w:val="00496737"/>
    <w:rsid w:val="00497C33"/>
    <w:rsid w:val="004A443C"/>
    <w:rsid w:val="004B2BA0"/>
    <w:rsid w:val="004B5890"/>
    <w:rsid w:val="004C1658"/>
    <w:rsid w:val="004C284E"/>
    <w:rsid w:val="004C752D"/>
    <w:rsid w:val="004D05D2"/>
    <w:rsid w:val="004D0B3D"/>
    <w:rsid w:val="004E74C6"/>
    <w:rsid w:val="004F290A"/>
    <w:rsid w:val="004F4854"/>
    <w:rsid w:val="004F79DB"/>
    <w:rsid w:val="0051608C"/>
    <w:rsid w:val="00521649"/>
    <w:rsid w:val="00521889"/>
    <w:rsid w:val="00577042"/>
    <w:rsid w:val="00586EE2"/>
    <w:rsid w:val="005919CA"/>
    <w:rsid w:val="00592CFF"/>
    <w:rsid w:val="005979D4"/>
    <w:rsid w:val="005A0F8F"/>
    <w:rsid w:val="005A44EF"/>
    <w:rsid w:val="005A55DD"/>
    <w:rsid w:val="005B1D56"/>
    <w:rsid w:val="005B7A2F"/>
    <w:rsid w:val="005C5D33"/>
    <w:rsid w:val="005E21FA"/>
    <w:rsid w:val="005E57FD"/>
    <w:rsid w:val="005F36CE"/>
    <w:rsid w:val="005F4526"/>
    <w:rsid w:val="005F4E59"/>
    <w:rsid w:val="00610553"/>
    <w:rsid w:val="006170B8"/>
    <w:rsid w:val="00617602"/>
    <w:rsid w:val="00620905"/>
    <w:rsid w:val="006212E6"/>
    <w:rsid w:val="0062460D"/>
    <w:rsid w:val="006330C9"/>
    <w:rsid w:val="00637DFC"/>
    <w:rsid w:val="00654C89"/>
    <w:rsid w:val="00660202"/>
    <w:rsid w:val="00661DFB"/>
    <w:rsid w:val="00665230"/>
    <w:rsid w:val="00667DEB"/>
    <w:rsid w:val="006831FB"/>
    <w:rsid w:val="006A025E"/>
    <w:rsid w:val="006A2576"/>
    <w:rsid w:val="006A2650"/>
    <w:rsid w:val="006A3796"/>
    <w:rsid w:val="006B2B45"/>
    <w:rsid w:val="006B3BA1"/>
    <w:rsid w:val="006B5E64"/>
    <w:rsid w:val="006B7547"/>
    <w:rsid w:val="006C3D97"/>
    <w:rsid w:val="006D01EC"/>
    <w:rsid w:val="006D1D45"/>
    <w:rsid w:val="006D5146"/>
    <w:rsid w:val="006D7E9C"/>
    <w:rsid w:val="006E3304"/>
    <w:rsid w:val="006E4886"/>
    <w:rsid w:val="006F0B0E"/>
    <w:rsid w:val="006F398D"/>
    <w:rsid w:val="006F562E"/>
    <w:rsid w:val="006F748C"/>
    <w:rsid w:val="00705A98"/>
    <w:rsid w:val="00723031"/>
    <w:rsid w:val="0072629C"/>
    <w:rsid w:val="00736D8C"/>
    <w:rsid w:val="00743DB2"/>
    <w:rsid w:val="00750657"/>
    <w:rsid w:val="00751325"/>
    <w:rsid w:val="00773538"/>
    <w:rsid w:val="0077385B"/>
    <w:rsid w:val="00776C24"/>
    <w:rsid w:val="00777CC3"/>
    <w:rsid w:val="007941FA"/>
    <w:rsid w:val="007A1181"/>
    <w:rsid w:val="007A1A5F"/>
    <w:rsid w:val="007A2D4D"/>
    <w:rsid w:val="007A7A99"/>
    <w:rsid w:val="007B0423"/>
    <w:rsid w:val="007B24B9"/>
    <w:rsid w:val="007B27B3"/>
    <w:rsid w:val="007B342A"/>
    <w:rsid w:val="007C1AF1"/>
    <w:rsid w:val="007C5F84"/>
    <w:rsid w:val="007E6C0A"/>
    <w:rsid w:val="007F605E"/>
    <w:rsid w:val="00802657"/>
    <w:rsid w:val="00822206"/>
    <w:rsid w:val="00831372"/>
    <w:rsid w:val="008429DC"/>
    <w:rsid w:val="008444FB"/>
    <w:rsid w:val="00844B4E"/>
    <w:rsid w:val="00844DC3"/>
    <w:rsid w:val="00870220"/>
    <w:rsid w:val="00874A8B"/>
    <w:rsid w:val="008761F0"/>
    <w:rsid w:val="008815C8"/>
    <w:rsid w:val="00886051"/>
    <w:rsid w:val="008A4C9B"/>
    <w:rsid w:val="008B0365"/>
    <w:rsid w:val="008B6A2F"/>
    <w:rsid w:val="008C3AA9"/>
    <w:rsid w:val="008C4A7F"/>
    <w:rsid w:val="008C6D31"/>
    <w:rsid w:val="008D054C"/>
    <w:rsid w:val="008D0D01"/>
    <w:rsid w:val="008D10FC"/>
    <w:rsid w:val="008D2614"/>
    <w:rsid w:val="008D517C"/>
    <w:rsid w:val="008D5618"/>
    <w:rsid w:val="008D6B6D"/>
    <w:rsid w:val="008D6C57"/>
    <w:rsid w:val="0092129D"/>
    <w:rsid w:val="00927101"/>
    <w:rsid w:val="0093736C"/>
    <w:rsid w:val="009428BC"/>
    <w:rsid w:val="00971658"/>
    <w:rsid w:val="00974CAF"/>
    <w:rsid w:val="00987F59"/>
    <w:rsid w:val="009A0AFC"/>
    <w:rsid w:val="009A5E81"/>
    <w:rsid w:val="009B40DA"/>
    <w:rsid w:val="009C7361"/>
    <w:rsid w:val="009D356D"/>
    <w:rsid w:val="009E0750"/>
    <w:rsid w:val="00A0465D"/>
    <w:rsid w:val="00A14BBB"/>
    <w:rsid w:val="00A22CCF"/>
    <w:rsid w:val="00A336B3"/>
    <w:rsid w:val="00A53A68"/>
    <w:rsid w:val="00A562BF"/>
    <w:rsid w:val="00A64241"/>
    <w:rsid w:val="00A72ADE"/>
    <w:rsid w:val="00A76A77"/>
    <w:rsid w:val="00A81749"/>
    <w:rsid w:val="00A824A4"/>
    <w:rsid w:val="00A84F85"/>
    <w:rsid w:val="00A85B83"/>
    <w:rsid w:val="00AA50BD"/>
    <w:rsid w:val="00AB1685"/>
    <w:rsid w:val="00AE4AEB"/>
    <w:rsid w:val="00AE4EA7"/>
    <w:rsid w:val="00AF1710"/>
    <w:rsid w:val="00AF2176"/>
    <w:rsid w:val="00B13712"/>
    <w:rsid w:val="00B20570"/>
    <w:rsid w:val="00B26000"/>
    <w:rsid w:val="00B463EB"/>
    <w:rsid w:val="00B529C3"/>
    <w:rsid w:val="00B534A4"/>
    <w:rsid w:val="00B537FB"/>
    <w:rsid w:val="00B544F6"/>
    <w:rsid w:val="00B54A71"/>
    <w:rsid w:val="00B63079"/>
    <w:rsid w:val="00B748B3"/>
    <w:rsid w:val="00B75921"/>
    <w:rsid w:val="00B8211C"/>
    <w:rsid w:val="00B921FF"/>
    <w:rsid w:val="00B9317E"/>
    <w:rsid w:val="00B95A88"/>
    <w:rsid w:val="00B979F5"/>
    <w:rsid w:val="00BA0DF1"/>
    <w:rsid w:val="00BA4631"/>
    <w:rsid w:val="00BB7398"/>
    <w:rsid w:val="00BC61D4"/>
    <w:rsid w:val="00BF7B1B"/>
    <w:rsid w:val="00C00F0E"/>
    <w:rsid w:val="00C10BB0"/>
    <w:rsid w:val="00C10F13"/>
    <w:rsid w:val="00C2352F"/>
    <w:rsid w:val="00C4097F"/>
    <w:rsid w:val="00C425F6"/>
    <w:rsid w:val="00C43725"/>
    <w:rsid w:val="00C707CA"/>
    <w:rsid w:val="00C738BE"/>
    <w:rsid w:val="00C9149F"/>
    <w:rsid w:val="00C91ACB"/>
    <w:rsid w:val="00CA188B"/>
    <w:rsid w:val="00CA19C4"/>
    <w:rsid w:val="00CA30A0"/>
    <w:rsid w:val="00CD3F55"/>
    <w:rsid w:val="00CE1662"/>
    <w:rsid w:val="00CE2140"/>
    <w:rsid w:val="00CE7680"/>
    <w:rsid w:val="00CF5AE3"/>
    <w:rsid w:val="00D01FC3"/>
    <w:rsid w:val="00D102B5"/>
    <w:rsid w:val="00D11DA2"/>
    <w:rsid w:val="00D1441A"/>
    <w:rsid w:val="00D21A21"/>
    <w:rsid w:val="00D234C9"/>
    <w:rsid w:val="00D27765"/>
    <w:rsid w:val="00D37709"/>
    <w:rsid w:val="00D432DA"/>
    <w:rsid w:val="00D65AC1"/>
    <w:rsid w:val="00D720C3"/>
    <w:rsid w:val="00D72568"/>
    <w:rsid w:val="00D8063F"/>
    <w:rsid w:val="00D827C8"/>
    <w:rsid w:val="00D84386"/>
    <w:rsid w:val="00D84B6C"/>
    <w:rsid w:val="00D8689E"/>
    <w:rsid w:val="00D87A3C"/>
    <w:rsid w:val="00D943A8"/>
    <w:rsid w:val="00D97F03"/>
    <w:rsid w:val="00DA05B9"/>
    <w:rsid w:val="00DA0AA3"/>
    <w:rsid w:val="00DA4224"/>
    <w:rsid w:val="00DA6DC8"/>
    <w:rsid w:val="00DC3E96"/>
    <w:rsid w:val="00DC3ED9"/>
    <w:rsid w:val="00DC51CE"/>
    <w:rsid w:val="00DD6F3A"/>
    <w:rsid w:val="00E027A5"/>
    <w:rsid w:val="00E0419A"/>
    <w:rsid w:val="00E37EED"/>
    <w:rsid w:val="00E434D6"/>
    <w:rsid w:val="00E4497D"/>
    <w:rsid w:val="00E46A88"/>
    <w:rsid w:val="00E46DC2"/>
    <w:rsid w:val="00E50300"/>
    <w:rsid w:val="00E519A6"/>
    <w:rsid w:val="00E52C2F"/>
    <w:rsid w:val="00E541B9"/>
    <w:rsid w:val="00E80DCD"/>
    <w:rsid w:val="00E81BAB"/>
    <w:rsid w:val="00E87699"/>
    <w:rsid w:val="00EA0A9E"/>
    <w:rsid w:val="00EA22D2"/>
    <w:rsid w:val="00EA60AE"/>
    <w:rsid w:val="00EA7DB8"/>
    <w:rsid w:val="00EB5A16"/>
    <w:rsid w:val="00EC1518"/>
    <w:rsid w:val="00ED4154"/>
    <w:rsid w:val="00ED5B8F"/>
    <w:rsid w:val="00EE28F8"/>
    <w:rsid w:val="00EE6C4F"/>
    <w:rsid w:val="00EF270F"/>
    <w:rsid w:val="00F011D8"/>
    <w:rsid w:val="00F03572"/>
    <w:rsid w:val="00F07B36"/>
    <w:rsid w:val="00F16FA1"/>
    <w:rsid w:val="00F20605"/>
    <w:rsid w:val="00F21A5B"/>
    <w:rsid w:val="00F2284A"/>
    <w:rsid w:val="00F26CA3"/>
    <w:rsid w:val="00F340AC"/>
    <w:rsid w:val="00F37D05"/>
    <w:rsid w:val="00F40C4A"/>
    <w:rsid w:val="00F45911"/>
    <w:rsid w:val="00F63E23"/>
    <w:rsid w:val="00F7250D"/>
    <w:rsid w:val="00F759B1"/>
    <w:rsid w:val="00F83A7D"/>
    <w:rsid w:val="00F86119"/>
    <w:rsid w:val="00FA6837"/>
    <w:rsid w:val="00FB7264"/>
    <w:rsid w:val="00FC78BB"/>
    <w:rsid w:val="00FC7A5F"/>
    <w:rsid w:val="00FE0F9B"/>
    <w:rsid w:val="00FE3F29"/>
    <w:rsid w:val="00FF3719"/>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B9556C"/>
  <w15:docId w15:val="{B980BBE3-9230-4D97-BCCA-0EC392526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jc w:val="both"/>
    </w:pPr>
  </w:style>
  <w:style w:type="paragraph" w:styleId="berschrift1">
    <w:name w:val="heading 1"/>
    <w:basedOn w:val="Standard"/>
    <w:next w:val="Standard"/>
    <w:link w:val="berschrift1Zchn"/>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2559E5"/>
    <w:pPr>
      <w:keepNext/>
      <w:keepLines/>
      <w:numPr>
        <w:ilvl w:val="3"/>
        <w:numId w:val="1"/>
      </w:numPr>
      <w:spacing w:before="200" w:after="0"/>
      <w:outlineLvl w:val="3"/>
    </w:pPr>
    <w:rPr>
      <w:rFonts w:asciiTheme="majorHAnsi" w:eastAsiaTheme="majorEastAsia" w:hAnsiTheme="majorHAnsi" w:cstheme="majorBidi"/>
      <w:b/>
      <w:bCs/>
      <w:iCs/>
      <w:color w:val="4F81BD" w:themeColor="accent1"/>
    </w:rPr>
  </w:style>
  <w:style w:type="paragraph" w:styleId="berschrift5">
    <w:name w:val="heading 5"/>
    <w:basedOn w:val="Standard"/>
    <w:next w:val="Standard"/>
    <w:link w:val="berschrift5Zchn"/>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 Zchn"/>
    <w:basedOn w:val="Absatz-Standardschriftart"/>
    <w:link w:val="Titel"/>
    <w:uiPriority w:val="10"/>
    <w:qFormat/>
    <w:rPr>
      <w:rFonts w:asciiTheme="majorHAnsi" w:eastAsiaTheme="majorEastAsia" w:hAnsiTheme="majorHAnsi" w:cstheme="majorBidi"/>
      <w:color w:val="17365D" w:themeColor="text2" w:themeShade="BF"/>
      <w:spacing w:val="5"/>
      <w:kern w:val="2"/>
      <w:sz w:val="52"/>
      <w:szCs w:val="52"/>
    </w:rPr>
  </w:style>
  <w:style w:type="character" w:customStyle="1" w:styleId="berschrift1Zchn">
    <w:name w:val="Überschrift 1 Zchn"/>
    <w:basedOn w:val="Absatz-Standardschriftart"/>
    <w:link w:val="berschrift1"/>
    <w:uiPriority w:val="9"/>
    <w:qFormat/>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qFormat/>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qFormat/>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qFormat/>
    <w:rsid w:val="002559E5"/>
    <w:rPr>
      <w:rFonts w:asciiTheme="majorHAnsi" w:eastAsiaTheme="majorEastAsia" w:hAnsiTheme="majorHAnsi" w:cstheme="majorBidi"/>
      <w:b/>
      <w:bCs/>
      <w:iCs/>
      <w:color w:val="4F81BD" w:themeColor="accent1"/>
    </w:rPr>
  </w:style>
  <w:style w:type="character" w:customStyle="1" w:styleId="berschrift5Zchn">
    <w:name w:val="Überschrift 5 Zchn"/>
    <w:basedOn w:val="Absatz-Standardschriftart"/>
    <w:link w:val="berschrift5"/>
    <w:uiPriority w:val="9"/>
    <w:semiHidden/>
    <w:qFormat/>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qFormat/>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qFormat/>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qFormat/>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qFormat/>
    <w:rPr>
      <w:rFonts w:asciiTheme="majorHAnsi" w:eastAsiaTheme="majorEastAsia" w:hAnsiTheme="majorHAnsi" w:cstheme="majorBidi"/>
      <w:i/>
      <w:iCs/>
      <w:color w:val="404040" w:themeColor="text1" w:themeTint="BF"/>
      <w:sz w:val="20"/>
      <w:szCs w:val="20"/>
    </w:rPr>
  </w:style>
  <w:style w:type="character" w:customStyle="1" w:styleId="Internetverknpfung">
    <w:name w:val="Internetverknüpfung"/>
    <w:basedOn w:val="Absatz-Standardschriftart"/>
    <w:uiPriority w:val="99"/>
    <w:unhideWhenUsed/>
    <w:rPr>
      <w:color w:val="0000FF" w:themeColor="hyperlink"/>
      <w:u w:val="single"/>
    </w:rPr>
  </w:style>
  <w:style w:type="character" w:customStyle="1" w:styleId="KopfzeileZchn">
    <w:name w:val="Kopfzeile Zchn"/>
    <w:basedOn w:val="Absatz-Standardschriftart"/>
    <w:link w:val="Kopfzeile"/>
    <w:uiPriority w:val="99"/>
    <w:qFormat/>
  </w:style>
  <w:style w:type="character" w:customStyle="1" w:styleId="FuzeileZchn">
    <w:name w:val="Fußzeile Zchn"/>
    <w:basedOn w:val="Absatz-Standardschriftart"/>
    <w:link w:val="Fuzeile"/>
    <w:uiPriority w:val="99"/>
    <w:qFormat/>
  </w:style>
  <w:style w:type="character" w:customStyle="1" w:styleId="UntertitelZchn">
    <w:name w:val="Untertitel Zchn"/>
    <w:basedOn w:val="Absatz-Standardschriftart"/>
    <w:link w:val="Untertitel"/>
    <w:uiPriority w:val="11"/>
    <w:qFormat/>
    <w:rPr>
      <w:rFonts w:asciiTheme="majorHAnsi" w:eastAsiaTheme="majorEastAsia" w:hAnsiTheme="majorHAnsi" w:cstheme="majorBidi"/>
      <w:b/>
      <w:iCs/>
      <w:color w:val="4F81BD" w:themeColor="accent1"/>
      <w:spacing w:val="15"/>
      <w:sz w:val="28"/>
      <w:szCs w:val="24"/>
    </w:rPr>
  </w:style>
  <w:style w:type="character" w:customStyle="1" w:styleId="FunotentextZchn">
    <w:name w:val="Fußnotentext Zchn"/>
    <w:basedOn w:val="Absatz-Standardschriftart"/>
    <w:link w:val="Funotentext"/>
    <w:uiPriority w:val="99"/>
    <w:qFormat/>
    <w:rPr>
      <w:sz w:val="20"/>
      <w:szCs w:val="20"/>
    </w:rPr>
  </w:style>
  <w:style w:type="character" w:styleId="Funotenzeichen">
    <w:name w:val="footnote reference"/>
    <w:basedOn w:val="Absatz-Standardschriftart"/>
    <w:uiPriority w:val="99"/>
    <w:unhideWhenUsed/>
    <w:qFormat/>
    <w:rPr>
      <w:vertAlign w:val="superscript"/>
    </w:rPr>
  </w:style>
  <w:style w:type="character" w:customStyle="1" w:styleId="Funotenanker">
    <w:name w:val="Fußnotenanker"/>
    <w:rPr>
      <w:vertAlign w:val="superscript"/>
    </w:rPr>
  </w:style>
  <w:style w:type="character" w:customStyle="1" w:styleId="ListenabsatzZchn">
    <w:name w:val="Listenabsatz Zchn"/>
    <w:basedOn w:val="Absatz-Standardschriftart"/>
    <w:link w:val="Listenabsatz"/>
    <w:uiPriority w:val="34"/>
    <w:qFormat/>
  </w:style>
  <w:style w:type="character" w:customStyle="1" w:styleId="SprechblasentextZchn">
    <w:name w:val="Sprechblasentext Zchn"/>
    <w:basedOn w:val="Absatz-Standardschriftart"/>
    <w:link w:val="Sprechblasentext"/>
    <w:uiPriority w:val="99"/>
    <w:semiHidden/>
    <w:qFormat/>
    <w:rPr>
      <w:rFonts w:ascii="Tahoma" w:hAnsi="Tahoma" w:cs="Tahoma"/>
      <w:sz w:val="16"/>
      <w:szCs w:val="16"/>
    </w:rPr>
  </w:style>
  <w:style w:type="character" w:styleId="Kommentarzeichen">
    <w:name w:val="annotation reference"/>
    <w:basedOn w:val="Absatz-Standardschriftart"/>
    <w:unhideWhenUsed/>
    <w:qFormat/>
    <w:rPr>
      <w:sz w:val="16"/>
      <w:szCs w:val="16"/>
    </w:rPr>
  </w:style>
  <w:style w:type="character" w:customStyle="1" w:styleId="KommentartextZchn">
    <w:name w:val="Kommentartext Zchn"/>
    <w:basedOn w:val="Absatz-Standardschriftart"/>
    <w:link w:val="Kommentartext"/>
    <w:uiPriority w:val="99"/>
    <w:qFormat/>
    <w:rPr>
      <w:sz w:val="20"/>
      <w:szCs w:val="20"/>
    </w:rPr>
  </w:style>
  <w:style w:type="character" w:customStyle="1" w:styleId="KommentarthemaZchn">
    <w:name w:val="Kommentarthema Zchn"/>
    <w:basedOn w:val="KommentartextZchn"/>
    <w:link w:val="Kommentarthema"/>
    <w:uiPriority w:val="99"/>
    <w:semiHidden/>
    <w:qFormat/>
    <w:rPr>
      <w:b/>
      <w:bCs/>
      <w:sz w:val="20"/>
      <w:szCs w:val="20"/>
    </w:rPr>
  </w:style>
  <w:style w:type="character" w:customStyle="1" w:styleId="BesuchteInternetverknpfung">
    <w:name w:val="Besuchte Internetverknüpfung"/>
    <w:basedOn w:val="Absatz-Standardschriftart"/>
    <w:uiPriority w:val="99"/>
    <w:semiHidden/>
    <w:unhideWhenUsed/>
    <w:rsid w:val="00B854AA"/>
    <w:rPr>
      <w:color w:val="800080" w:themeColor="followedHyperlink"/>
      <w:u w:val="single"/>
    </w:rPr>
  </w:style>
  <w:style w:type="character" w:styleId="NichtaufgelsteErwhnung">
    <w:name w:val="Unresolved Mention"/>
    <w:basedOn w:val="Absatz-Standardschriftart"/>
    <w:uiPriority w:val="99"/>
    <w:semiHidden/>
    <w:unhideWhenUsed/>
    <w:qFormat/>
    <w:rsid w:val="00D777BA"/>
    <w:rPr>
      <w:color w:val="605E5C"/>
      <w:shd w:val="clear" w:color="auto" w:fill="E1DFDD"/>
    </w:rPr>
  </w:style>
  <w:style w:type="character" w:customStyle="1" w:styleId="anchor-text">
    <w:name w:val="anchor-text"/>
    <w:basedOn w:val="Absatz-Standardschriftart"/>
    <w:qFormat/>
    <w:rsid w:val="00E30F46"/>
  </w:style>
  <w:style w:type="character" w:customStyle="1" w:styleId="Verzeichnissprung">
    <w:name w:val="Verzeichnissprung"/>
    <w:qFormat/>
  </w:style>
  <w:style w:type="character" w:customStyle="1" w:styleId="Endnotenanker">
    <w:name w:val="Endnotenanker"/>
    <w:rPr>
      <w:vertAlign w:val="superscript"/>
    </w:rPr>
  </w:style>
  <w:style w:type="character" w:styleId="Endnotenzeichen">
    <w:name w:val="endnote reference"/>
    <w:qFormat/>
  </w:style>
  <w:style w:type="character" w:customStyle="1" w:styleId="Nummerierungszeichen">
    <w:name w:val="Nummerierungszeichen"/>
    <w:qFormat/>
  </w:style>
  <w:style w:type="paragraph" w:customStyle="1" w:styleId="berschrift">
    <w:name w:val="Überschrift"/>
    <w:basedOn w:val="Standard"/>
    <w:next w:val="Textkrper"/>
    <w:qFormat/>
    <w:pPr>
      <w:keepNext/>
      <w:spacing w:before="240" w:after="120"/>
    </w:pPr>
    <w:rPr>
      <w:rFonts w:ascii="Liberation Sans" w:eastAsia="Noto Sans CJK SC" w:hAnsi="Liberation Sans" w:cs="Noto Sans Devanagari"/>
      <w:sz w:val="28"/>
      <w:szCs w:val="28"/>
    </w:rPr>
  </w:style>
  <w:style w:type="paragraph" w:styleId="Textkrper">
    <w:name w:val="Body Text"/>
    <w:basedOn w:val="Standard"/>
    <w:pPr>
      <w:spacing w:after="140"/>
    </w:pPr>
  </w:style>
  <w:style w:type="paragraph" w:styleId="Liste">
    <w:name w:val="List"/>
    <w:basedOn w:val="Textkrper"/>
    <w:rPr>
      <w:rFonts w:cs="Noto Sans Devanagari"/>
    </w:rPr>
  </w:style>
  <w:style w:type="paragraph" w:styleId="Beschriftung">
    <w:name w:val="caption"/>
    <w:basedOn w:val="Standard"/>
    <w:next w:val="Standard"/>
    <w:uiPriority w:val="35"/>
    <w:unhideWhenUsed/>
    <w:qFormat/>
    <w:pPr>
      <w:spacing w:line="240" w:lineRule="auto"/>
    </w:pPr>
    <w:rPr>
      <w:b/>
      <w:bCs/>
      <w:color w:val="4F81BD" w:themeColor="accent1"/>
      <w:sz w:val="18"/>
      <w:szCs w:val="18"/>
    </w:rPr>
  </w:style>
  <w:style w:type="paragraph" w:customStyle="1" w:styleId="Verzeichnis">
    <w:name w:val="Verzeichnis"/>
    <w:basedOn w:val="Standard"/>
    <w:qFormat/>
    <w:pPr>
      <w:suppressLineNumbers/>
    </w:pPr>
    <w:rPr>
      <w:rFonts w:cs="Noto Sans Devanagari"/>
    </w:rPr>
  </w:style>
  <w:style w:type="paragraph" w:styleId="Titel">
    <w:name w:val="Title"/>
    <w:basedOn w:val="Standard"/>
    <w:next w:val="Standard"/>
    <w:link w:val="TitelZchn"/>
    <w:uiPriority w:val="10"/>
    <w:qFormat/>
    <w:pPr>
      <w:pBdr>
        <w:bottom w:val="single" w:sz="8" w:space="4" w:color="4F81BD"/>
      </w:pBdr>
      <w:spacing w:after="300" w:line="240" w:lineRule="auto"/>
      <w:contextualSpacing/>
      <w:jc w:val="center"/>
    </w:pPr>
    <w:rPr>
      <w:rFonts w:asciiTheme="majorHAnsi" w:eastAsiaTheme="majorEastAsia" w:hAnsiTheme="majorHAnsi" w:cstheme="majorBidi"/>
      <w:color w:val="17365D" w:themeColor="text2" w:themeShade="BF"/>
      <w:spacing w:val="5"/>
      <w:kern w:val="2"/>
      <w:sz w:val="52"/>
      <w:szCs w:val="52"/>
    </w:rPr>
  </w:style>
  <w:style w:type="paragraph" w:styleId="Listenabsatz">
    <w:name w:val="List Paragraph"/>
    <w:basedOn w:val="Standard"/>
    <w:link w:val="ListenabsatzZchn"/>
    <w:uiPriority w:val="34"/>
    <w:qFormat/>
    <w:pPr>
      <w:ind w:left="720"/>
      <w:contextualSpacing/>
    </w:pPr>
  </w:style>
  <w:style w:type="paragraph" w:styleId="Verzeichnis1">
    <w:name w:val="toc 1"/>
    <w:basedOn w:val="Standard"/>
    <w:next w:val="Standard"/>
    <w:autoRedefine/>
    <w:uiPriority w:val="39"/>
    <w:unhideWhenUsed/>
    <w:rsid w:val="00521649"/>
    <w:pPr>
      <w:tabs>
        <w:tab w:val="left" w:pos="660"/>
        <w:tab w:val="right" w:leader="underscore" w:pos="9062"/>
      </w:tabs>
      <w:spacing w:before="120" w:after="0"/>
      <w:jc w:val="left"/>
    </w:pPr>
    <w:rPr>
      <w:rFonts w:cstheme="minorHAnsi"/>
      <w:b/>
      <w:bCs/>
      <w:iCs/>
      <w:sz w:val="24"/>
      <w:szCs w:val="24"/>
    </w:rPr>
  </w:style>
  <w:style w:type="paragraph" w:styleId="Verzeichnis2">
    <w:name w:val="toc 2"/>
    <w:basedOn w:val="Standard"/>
    <w:next w:val="Standard"/>
    <w:autoRedefine/>
    <w:uiPriority w:val="39"/>
    <w:unhideWhenUsed/>
    <w:rsid w:val="00A824A4"/>
    <w:pPr>
      <w:tabs>
        <w:tab w:val="left" w:pos="880"/>
        <w:tab w:val="right" w:leader="underscore" w:pos="9062"/>
      </w:tabs>
      <w:spacing w:before="120" w:after="0"/>
      <w:ind w:left="220"/>
      <w:jc w:val="left"/>
    </w:pPr>
    <w:rPr>
      <w:rFonts w:cstheme="minorHAnsi"/>
      <w:b/>
      <w:bCs/>
    </w:rPr>
  </w:style>
  <w:style w:type="paragraph" w:styleId="Verzeichnis3">
    <w:name w:val="toc 3"/>
    <w:basedOn w:val="Standard"/>
    <w:next w:val="Standard"/>
    <w:autoRedefine/>
    <w:uiPriority w:val="39"/>
    <w:unhideWhenUsed/>
    <w:rsid w:val="00433CB2"/>
    <w:pPr>
      <w:tabs>
        <w:tab w:val="left" w:pos="1100"/>
        <w:tab w:val="right" w:leader="underscore" w:pos="9062"/>
      </w:tabs>
      <w:spacing w:after="0"/>
      <w:ind w:left="440"/>
      <w:jc w:val="left"/>
    </w:pPr>
    <w:rPr>
      <w:rFonts w:cstheme="minorHAnsi"/>
      <w:sz w:val="20"/>
      <w:szCs w:val="20"/>
    </w:rPr>
  </w:style>
  <w:style w:type="paragraph" w:styleId="Verzeichnis4">
    <w:name w:val="toc 4"/>
    <w:basedOn w:val="Standard"/>
    <w:next w:val="Standard"/>
    <w:autoRedefine/>
    <w:uiPriority w:val="39"/>
    <w:unhideWhenUsed/>
    <w:rsid w:val="00592CFF"/>
    <w:pPr>
      <w:tabs>
        <w:tab w:val="left" w:pos="1540"/>
        <w:tab w:val="right" w:leader="underscore" w:pos="9062"/>
      </w:tabs>
      <w:spacing w:after="0"/>
      <w:ind w:left="660"/>
      <w:jc w:val="left"/>
    </w:pPr>
    <w:rPr>
      <w:rFonts w:cstheme="minorHAnsi"/>
      <w:sz w:val="20"/>
      <w:szCs w:val="20"/>
    </w:rPr>
  </w:style>
  <w:style w:type="paragraph" w:styleId="Verzeichnis5">
    <w:name w:val="toc 5"/>
    <w:basedOn w:val="Standard"/>
    <w:next w:val="Standard"/>
    <w:autoRedefine/>
    <w:uiPriority w:val="39"/>
    <w:unhideWhenUsed/>
    <w:pPr>
      <w:spacing w:after="0"/>
      <w:ind w:left="880"/>
      <w:jc w:val="left"/>
    </w:pPr>
    <w:rPr>
      <w:rFonts w:cstheme="minorHAnsi"/>
      <w:sz w:val="20"/>
      <w:szCs w:val="20"/>
    </w:rPr>
  </w:style>
  <w:style w:type="paragraph" w:styleId="Verzeichnis6">
    <w:name w:val="toc 6"/>
    <w:basedOn w:val="Standard"/>
    <w:next w:val="Standard"/>
    <w:autoRedefine/>
    <w:uiPriority w:val="39"/>
    <w:unhideWhenUsed/>
    <w:pPr>
      <w:spacing w:after="0"/>
      <w:ind w:left="1100"/>
      <w:jc w:val="left"/>
    </w:pPr>
    <w:rPr>
      <w:rFonts w:cstheme="minorHAnsi"/>
      <w:sz w:val="20"/>
      <w:szCs w:val="20"/>
    </w:rPr>
  </w:style>
  <w:style w:type="paragraph" w:styleId="Verzeichnis7">
    <w:name w:val="toc 7"/>
    <w:basedOn w:val="Standard"/>
    <w:next w:val="Standard"/>
    <w:autoRedefine/>
    <w:uiPriority w:val="39"/>
    <w:unhideWhenUsed/>
    <w:pPr>
      <w:spacing w:after="0"/>
      <w:ind w:left="1320"/>
      <w:jc w:val="left"/>
    </w:pPr>
    <w:rPr>
      <w:rFonts w:cstheme="minorHAnsi"/>
      <w:sz w:val="20"/>
      <w:szCs w:val="20"/>
    </w:rPr>
  </w:style>
  <w:style w:type="paragraph" w:styleId="Verzeichnis8">
    <w:name w:val="toc 8"/>
    <w:basedOn w:val="Standard"/>
    <w:next w:val="Standard"/>
    <w:autoRedefine/>
    <w:uiPriority w:val="39"/>
    <w:unhideWhenUsed/>
    <w:pPr>
      <w:spacing w:after="0"/>
      <w:ind w:left="1540"/>
      <w:jc w:val="left"/>
    </w:pPr>
    <w:rPr>
      <w:rFonts w:cstheme="minorHAnsi"/>
      <w:sz w:val="20"/>
      <w:szCs w:val="20"/>
    </w:rPr>
  </w:style>
  <w:style w:type="paragraph" w:styleId="Verzeichnis9">
    <w:name w:val="toc 9"/>
    <w:basedOn w:val="Standard"/>
    <w:next w:val="Standard"/>
    <w:autoRedefine/>
    <w:uiPriority w:val="39"/>
    <w:unhideWhenUsed/>
    <w:pPr>
      <w:spacing w:after="0"/>
      <w:ind w:left="1760"/>
      <w:jc w:val="left"/>
    </w:pPr>
    <w:rPr>
      <w:rFonts w:cstheme="minorHAnsi"/>
      <w:sz w:val="20"/>
      <w:szCs w:val="20"/>
    </w:rPr>
  </w:style>
  <w:style w:type="paragraph" w:styleId="Abbildungsverzeichnis">
    <w:name w:val="table of figures"/>
    <w:basedOn w:val="Standard"/>
    <w:next w:val="Standard"/>
    <w:uiPriority w:val="99"/>
    <w:unhideWhenUsed/>
    <w:qFormat/>
    <w:rsid w:val="002227A5"/>
    <w:pPr>
      <w:spacing w:before="60" w:after="0"/>
      <w:jc w:val="left"/>
    </w:pPr>
    <w:rPr>
      <w:rFonts w:cstheme="minorHAnsi"/>
      <w:b/>
      <w:iCs/>
      <w:sz w:val="20"/>
      <w:szCs w:val="20"/>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after="0" w:line="240" w:lineRule="auto"/>
    </w:pPr>
  </w:style>
  <w:style w:type="paragraph" w:styleId="Fuzeile">
    <w:name w:val="footer"/>
    <w:basedOn w:val="Standard"/>
    <w:link w:val="FuzeileZchn"/>
    <w:uiPriority w:val="99"/>
    <w:unhideWhenUsed/>
    <w:pPr>
      <w:tabs>
        <w:tab w:val="center" w:pos="4536"/>
        <w:tab w:val="right" w:pos="9072"/>
      </w:tabs>
      <w:spacing w:after="0" w:line="240" w:lineRule="auto"/>
    </w:pPr>
  </w:style>
  <w:style w:type="paragraph" w:styleId="Untertitel">
    <w:name w:val="Subtitle"/>
    <w:basedOn w:val="Standard"/>
    <w:next w:val="Standard"/>
    <w:link w:val="UntertitelZchn"/>
    <w:uiPriority w:val="11"/>
    <w:qFormat/>
    <w:pPr>
      <w:spacing w:after="80"/>
    </w:pPr>
    <w:rPr>
      <w:rFonts w:asciiTheme="majorHAnsi" w:eastAsiaTheme="majorEastAsia" w:hAnsiTheme="majorHAnsi" w:cstheme="majorBidi"/>
      <w:b/>
      <w:iCs/>
      <w:color w:val="4F81BD" w:themeColor="accent1"/>
      <w:spacing w:val="15"/>
      <w:sz w:val="28"/>
      <w:szCs w:val="24"/>
    </w:rPr>
  </w:style>
  <w:style w:type="paragraph" w:styleId="Funotentext">
    <w:name w:val="footnote text"/>
    <w:basedOn w:val="Standard"/>
    <w:link w:val="FunotentextZchn"/>
    <w:uiPriority w:val="99"/>
    <w:unhideWhenUsed/>
    <w:pPr>
      <w:spacing w:after="0" w:line="240" w:lineRule="auto"/>
    </w:pPr>
    <w:rPr>
      <w:sz w:val="20"/>
      <w:szCs w:val="20"/>
    </w:rPr>
  </w:style>
  <w:style w:type="paragraph" w:styleId="Sprechblasentext">
    <w:name w:val="Balloon Text"/>
    <w:basedOn w:val="Standard"/>
    <w:link w:val="SprechblasentextZchn"/>
    <w:uiPriority w:val="99"/>
    <w:semiHidden/>
    <w:unhideWhenUsed/>
    <w:qFormat/>
    <w:pPr>
      <w:spacing w:after="0" w:line="240" w:lineRule="auto"/>
    </w:pPr>
    <w:rPr>
      <w:rFonts w:ascii="Tahoma" w:hAnsi="Tahoma" w:cs="Tahoma"/>
      <w:sz w:val="16"/>
      <w:szCs w:val="16"/>
    </w:rPr>
  </w:style>
  <w:style w:type="paragraph" w:styleId="Kommentartext">
    <w:name w:val="annotation text"/>
    <w:basedOn w:val="Standard"/>
    <w:link w:val="KommentartextZchn"/>
    <w:uiPriority w:val="99"/>
    <w:unhideWhenUsed/>
    <w:qFormat/>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numbering" w:customStyle="1" w:styleId="Nummerierung123">
    <w:name w:val="Nummerierung 123"/>
    <w:qFormat/>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212CA"/>
    <w:rPr>
      <w:color w:val="0000FF" w:themeColor="hyperlink"/>
      <w:u w:val="single"/>
    </w:rPr>
  </w:style>
  <w:style w:type="character" w:styleId="BesuchterLink">
    <w:name w:val="FollowedHyperlink"/>
    <w:basedOn w:val="Absatz-Standardschriftart"/>
    <w:uiPriority w:val="99"/>
    <w:semiHidden/>
    <w:unhideWhenUsed/>
    <w:rsid w:val="0030590C"/>
    <w:rPr>
      <w:color w:val="800080" w:themeColor="followedHyperlink"/>
      <w:u w:val="single"/>
    </w:rPr>
  </w:style>
  <w:style w:type="paragraph" w:styleId="berarbeitung">
    <w:name w:val="Revision"/>
    <w:hidden/>
    <w:uiPriority w:val="99"/>
    <w:semiHidden/>
    <w:rsid w:val="00046BC6"/>
    <w:pPr>
      <w:suppressAutoHyphens w:val="0"/>
    </w:pPr>
  </w:style>
  <w:style w:type="character" w:customStyle="1" w:styleId="copytoclipboard">
    <w:name w:val="copytoclipboard"/>
    <w:basedOn w:val="Absatz-Standardschriftart"/>
    <w:rsid w:val="00101F9A"/>
  </w:style>
  <w:style w:type="character" w:styleId="Platzhaltertext">
    <w:name w:val="Placeholder Text"/>
    <w:basedOn w:val="Absatz-Standardschriftart"/>
    <w:uiPriority w:val="99"/>
    <w:semiHidden/>
    <w:rsid w:val="0038309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528044">
      <w:bodyDiv w:val="1"/>
      <w:marLeft w:val="0"/>
      <w:marRight w:val="0"/>
      <w:marTop w:val="0"/>
      <w:marBottom w:val="0"/>
      <w:divBdr>
        <w:top w:val="none" w:sz="0" w:space="0" w:color="auto"/>
        <w:left w:val="none" w:sz="0" w:space="0" w:color="auto"/>
        <w:bottom w:val="none" w:sz="0" w:space="0" w:color="auto"/>
        <w:right w:val="none" w:sz="0" w:space="0" w:color="auto"/>
      </w:divBdr>
    </w:div>
    <w:div w:id="1065030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2196/23139" TargetMode="External"/><Relationship Id="rId21" Type="http://schemas.openxmlformats.org/officeDocument/2006/relationships/hyperlink" Target="https://www.bfdi.bund.de/DE/Fachthemen/Inhalte/Technik/Datenschutz-Folgenabschaetzungen.html" TargetMode="External"/><Relationship Id="rId42" Type="http://schemas.openxmlformats.org/officeDocument/2006/relationships/hyperlink" Target="https://github.com/datanymizer/datanymizer" TargetMode="External"/><Relationship Id="rId63" Type="http://schemas.openxmlformats.org/officeDocument/2006/relationships/hyperlink" Target="https://dejure.org/2021,38668" TargetMode="External"/><Relationship Id="rId84" Type="http://schemas.openxmlformats.org/officeDocument/2006/relationships/hyperlink" Target="https://www.enisa.europa.eu/publications/deploying-pseudonymisation-techniques" TargetMode="External"/><Relationship Id="rId138" Type="http://schemas.openxmlformats.org/officeDocument/2006/relationships/hyperlink" Target="https://doi.org/10.1038/s41467-019-10933-3" TargetMode="External"/><Relationship Id="rId107" Type="http://schemas.openxmlformats.org/officeDocument/2006/relationships/hyperlink" Target="https://www.toolpool-gesundheitsforschung.de/produkte/?term=pseudonymisierung" TargetMode="External"/><Relationship Id="rId11" Type="http://schemas.openxmlformats.org/officeDocument/2006/relationships/header" Target="header1.xml"/><Relationship Id="rId32" Type="http://schemas.openxmlformats.org/officeDocument/2006/relationships/hyperlink" Target="https://www.datenschutzzentrum.de/dsgvo/" TargetMode="External"/><Relationship Id="rId53" Type="http://schemas.openxmlformats.org/officeDocument/2006/relationships/hyperlink" Target="https://dejure.org/2023,13104" TargetMode="External"/><Relationship Id="rId74" Type="http://schemas.openxmlformats.org/officeDocument/2006/relationships/hyperlink" Target="https://dejure.org/2016,22574" TargetMode="External"/><Relationship Id="rId128" Type="http://schemas.openxmlformats.org/officeDocument/2006/relationships/hyperlink" Target="http://dx.doi.org/10.1016/j.ijmedinf.2016.09.008"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www.pedocs.de/volltexte/2022/21970/pdf/fdb-informiert_3_Ebel_ua_Hinweise_zur_Anonymisierung_von_quantitativen_Daten_2015_v1-2_A.pdf" TargetMode="External"/><Relationship Id="rId22" Type="http://schemas.openxmlformats.org/officeDocument/2006/relationships/hyperlink" Target="https://www.datenschutz-bayern.de/datenschutzreform2018/DSFA_Blacklist.pdf" TargetMode="External"/><Relationship Id="rId27" Type="http://schemas.openxmlformats.org/officeDocument/2006/relationships/hyperlink" Target="https://www.datenschutz-mv.de/static/DS/Dateien/DS-GVO/HilfsmittelzurUmsetzung/MV-DSFA-Muss-Liste-Oeffentlicher-Bereich.pdf" TargetMode="External"/><Relationship Id="rId43" Type="http://schemas.openxmlformats.org/officeDocument/2006/relationships/hyperlink" Target="https://evrone.com/blog/datanymizer" TargetMode="External"/><Relationship Id="rId48" Type="http://schemas.openxmlformats.org/officeDocument/2006/relationships/hyperlink" Target="https://github.com/microsoft/Tools-for-Health-Data-Anonymization" TargetMode="External"/><Relationship Id="rId64" Type="http://schemas.openxmlformats.org/officeDocument/2006/relationships/hyperlink" Target="https://openjur.de/u/2360820.html" TargetMode="External"/><Relationship Id="rId69" Type="http://schemas.openxmlformats.org/officeDocument/2006/relationships/hyperlink" Target="https://dejure.org/2018,13905" TargetMode="External"/><Relationship Id="rId113" Type="http://schemas.openxmlformats.org/officeDocument/2006/relationships/hyperlink" Target="https://doi.org/10.1186/s13063-020-4120-y" TargetMode="External"/><Relationship Id="rId118" Type="http://schemas.openxmlformats.org/officeDocument/2006/relationships/hyperlink" Target="http://dx.doi.org/10.1016/j.jbi.2014.01.001" TargetMode="External"/><Relationship Id="rId134" Type="http://schemas.openxmlformats.org/officeDocument/2006/relationships/hyperlink" Target="https://arxiv.org/abs/2202.00443" TargetMode="External"/><Relationship Id="rId139" Type="http://schemas.openxmlformats.org/officeDocument/2006/relationships/hyperlink" Target="https://doi.org/10.1109/OJCS.2022.3175999" TargetMode="External"/><Relationship Id="rId80" Type="http://schemas.openxmlformats.org/officeDocument/2006/relationships/hyperlink" Target="https://edps.europa.eu/data-protection/our-work/publications/papers/introduction-hash-function-personal-data_en" TargetMode="External"/><Relationship Id="rId85" Type="http://schemas.openxmlformats.org/officeDocument/2006/relationships/hyperlink" Target="https://www.enisa.europa.eu/publications/data-protection-engineering" TargetMode="External"/><Relationship Id="rId150"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4.wmf"/><Relationship Id="rId33" Type="http://schemas.openxmlformats.org/officeDocument/2006/relationships/hyperlink" Target="https://www.tlfdi.de/fileadmin/tlfdi/datenschutz/dsfa_muss-liste_04_07_18.pdf" TargetMode="External"/><Relationship Id="rId38" Type="http://schemas.openxmlformats.org/officeDocument/2006/relationships/hyperlink" Target="https://github.com/mp2893/medgan" TargetMode="External"/><Relationship Id="rId59" Type="http://schemas.openxmlformats.org/officeDocument/2006/relationships/hyperlink" Target="https://dejure.org/2022,36335" TargetMode="External"/><Relationship Id="rId103" Type="http://schemas.openxmlformats.org/officeDocument/2006/relationships/hyperlink" Target="https://www.destatis.de/DE/Publikationen/StatistikWissenschaft/Band4_AnonymisierungMikrodaten.html" TargetMode="External"/><Relationship Id="rId108" Type="http://schemas.openxmlformats.org/officeDocument/2006/relationships/hyperlink" Target="https://www.hhs.gov/hipaa/for-professionals/privacy/special-topics/de-identification/index.html" TargetMode="External"/><Relationship Id="rId124" Type="http://schemas.openxmlformats.org/officeDocument/2006/relationships/hyperlink" Target="https://doi.org/10.1002/cpe.7565" TargetMode="External"/><Relationship Id="rId129" Type="http://schemas.openxmlformats.org/officeDocument/2006/relationships/hyperlink" Target="https://doi.org/10.1049/ise2.12049" TargetMode="External"/><Relationship Id="rId54" Type="http://schemas.openxmlformats.org/officeDocument/2006/relationships/hyperlink" Target="https://gesetze.berlin.de/bsbe/document/KORE521262023" TargetMode="External"/><Relationship Id="rId70" Type="http://schemas.openxmlformats.org/officeDocument/2006/relationships/hyperlink" Target="https://openjur.de/u/2280784.html" TargetMode="External"/><Relationship Id="rId75" Type="http://schemas.openxmlformats.org/officeDocument/2006/relationships/hyperlink" Target="http://ec.europa.eu/justice/article-29/documentation/opinion-recommendation/files/2007/wp136_en.pdf" TargetMode="External"/><Relationship Id="rId91" Type="http://schemas.openxmlformats.org/officeDocument/2006/relationships/hyperlink" Target="http://www.ihe.net/uploadedFiles/Documents/ITI/IHE_ITI_Handbook_De-Identification-Mapping_Rev1.1_2014-06-06.xlsx" TargetMode="External"/><Relationship Id="rId96" Type="http://schemas.openxmlformats.org/officeDocument/2006/relationships/hyperlink" Target="https://www.oracle.com/technetwork/database/manageability/data-masking-wp-12c-1964774.pdf" TargetMode="External"/><Relationship Id="rId140" Type="http://schemas.openxmlformats.org/officeDocument/2006/relationships/hyperlink" Target="https://doi.org/10.1007/s41019-019-0086-8" TargetMode="External"/><Relationship Id="rId145" Type="http://schemas.openxmlformats.org/officeDocument/2006/relationships/hyperlink" Target="https://ieeexplore.ieee.org/document/902396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atenschutz-berlin.de/datenschutz/datenschutz-folgenabschaetzung/" TargetMode="External"/><Relationship Id="rId28" Type="http://schemas.openxmlformats.org/officeDocument/2006/relationships/hyperlink" Target="https://www.lfd.niedersachsen.de/startseite/datenschutzrecht/ds_gvo/liste_von_verarbeitungsvorgangen_nach_art_35_abs_4_ds_gvo/muss-listen-zur-datenschutz-folgenabschatzung-179663.html" TargetMode="External"/><Relationship Id="rId49" Type="http://schemas.openxmlformats.org/officeDocument/2006/relationships/hyperlink" Target="https://github.com/qiyuangong/Mondrian" TargetMode="External"/><Relationship Id="rId114" Type="http://schemas.openxmlformats.org/officeDocument/2006/relationships/hyperlink" Target="https://doi.org/10.1049/cje.2021.03.004" TargetMode="External"/><Relationship Id="rId119" Type="http://schemas.openxmlformats.org/officeDocument/2006/relationships/hyperlink" Target="https://doi.org/10.1186/s40504-021-00115-9" TargetMode="External"/><Relationship Id="rId44" Type="http://schemas.openxmlformats.org/officeDocument/2006/relationships/hyperlink" Target="https://github.com/aces/DICAT" TargetMode="External"/><Relationship Id="rId60" Type="http://schemas.openxmlformats.org/officeDocument/2006/relationships/hyperlink" Target="https://openjur.de/u/2459330.html" TargetMode="External"/><Relationship Id="rId65" Type="http://schemas.openxmlformats.org/officeDocument/2006/relationships/hyperlink" Target="https://dejure.org/2020,48121" TargetMode="External"/><Relationship Id="rId81" Type="http://schemas.openxmlformats.org/officeDocument/2006/relationships/hyperlink" Target="https://edps.europa.eu/data-protection/our-work/publications/papers/aepd-edps-joint-paper-10-misunderstandings-related_en" TargetMode="External"/><Relationship Id="rId86" Type="http://schemas.openxmlformats.org/officeDocument/2006/relationships/hyperlink" Target="https://nvlpubs.nist.gov/nistpubs/ir/2015/NIST.IR.8053.pdf" TargetMode="External"/><Relationship Id="rId130" Type="http://schemas.openxmlformats.org/officeDocument/2006/relationships/hyperlink" Target="https://doi.org/10.1186/s13638-018-1291-2" TargetMode="External"/><Relationship Id="rId135" Type="http://schemas.openxmlformats.org/officeDocument/2006/relationships/hyperlink" Target="https://doi" TargetMode="External"/><Relationship Id="rId13" Type="http://schemas.openxmlformats.org/officeDocument/2006/relationships/footer" Target="footer1.xml"/><Relationship Id="rId18" Type="http://schemas.openxmlformats.org/officeDocument/2006/relationships/hyperlink" Target="https://creativecommons.org/licenses/by-sa/4.0/deed.de" TargetMode="External"/><Relationship Id="rId39" Type="http://schemas.openxmlformats.org/officeDocument/2006/relationships/image" Target="media/image7.png"/><Relationship Id="rId109" Type="http://schemas.openxmlformats.org/officeDocument/2006/relationships/hyperlink" Target="https://doi.org/10.1002/cpe.6487" TargetMode="External"/><Relationship Id="rId34" Type="http://schemas.openxmlformats.org/officeDocument/2006/relationships/image" Target="media/image5.emf"/><Relationship Id="rId50" Type="http://schemas.openxmlformats.org/officeDocument/2006/relationships/hyperlink" Target="https://www.datenschutz-wiki.de/DSGVO:Art_13" TargetMode="External"/><Relationship Id="rId55" Type="http://schemas.openxmlformats.org/officeDocument/2006/relationships/hyperlink" Target="https://dejure.org/2023,8600" TargetMode="External"/><Relationship Id="rId76" Type="http://schemas.openxmlformats.org/officeDocument/2006/relationships/hyperlink" Target="https://www.bitkom.org/Bitkom/Publikationen/Anonymisierung-und-Pseudonymisierung-von-Daten-fuer-Projekte-des-maschinellen-Lernens" TargetMode="External"/><Relationship Id="rId97" Type="http://schemas.openxmlformats.org/officeDocument/2006/relationships/hyperlink" Target="https://www.pdpc.gov.sg/-/media/Files/PDPC/PDF-Files/Other-Guides/Guide-to-Anonymisation_v1-(250118).pdf?la=en" TargetMode="External"/><Relationship Id="rId104" Type="http://schemas.openxmlformats.org/officeDocument/2006/relationships/hyperlink" Target="https://www.statistischebibliothek.de/mir/receive/DEMonografie_mods_00000242" TargetMode="External"/><Relationship Id="rId120" Type="http://schemas.openxmlformats.org/officeDocument/2006/relationships/hyperlink" Target="https://www.ncbi.nlm.nih.gov/pmc/articles/PMC5110051/" TargetMode="External"/><Relationship Id="rId125" Type="http://schemas.openxmlformats.org/officeDocument/2006/relationships/hyperlink" Target="https://doi" TargetMode="External"/><Relationship Id="rId141" Type="http://schemas.openxmlformats.org/officeDocument/2006/relationships/hyperlink" Target="https://www.sciencedirect.com/science/article/pii/S0167404821003126" TargetMode="External"/><Relationship Id="rId146" Type="http://schemas.openxmlformats.org/officeDocument/2006/relationships/hyperlink" Target="https://dl.acm.org/doi/10.5555/1182635.1164141" TargetMode="External"/><Relationship Id="rId7" Type="http://schemas.openxmlformats.org/officeDocument/2006/relationships/endnotes" Target="endnotes.xml"/><Relationship Id="rId71" Type="http://schemas.openxmlformats.org/officeDocument/2006/relationships/hyperlink" Target="https://dejure.org/dienste/vernetzung/rechtsprechung?Text=C-582/14" TargetMode="External"/><Relationship Id="rId92" Type="http://schemas.openxmlformats.org/officeDocument/2006/relationships/hyperlink" Target="ftp://ftp.ihe.net/Quality/2009_2010_YR_3/Planning/White%20papers%20yr%203/Pseudonymisation-WP.doc" TargetMode="External"/><Relationship Id="rId2" Type="http://schemas.openxmlformats.org/officeDocument/2006/relationships/numbering" Target="numbering.xml"/><Relationship Id="rId29" Type="http://schemas.openxmlformats.org/officeDocument/2006/relationships/hyperlink" Target="https://www.ldi.nrw.de/liste-von-verarbeitungsvorgaengen-nach-art-35-abs-4-ds-gvo-fuer-den-oeffentlichen-bereich" TargetMode="External"/><Relationship Id="rId24" Type="http://schemas.openxmlformats.org/officeDocument/2006/relationships/hyperlink" Target="https://www.lda.brandenburg.de/sixcms/media.php/9/DSFA_Muss_Liste_oeffentlich_21062019.pdf" TargetMode="External"/><Relationship Id="rId40" Type="http://schemas.openxmlformats.org/officeDocument/2006/relationships/image" Target="media/image8.png"/><Relationship Id="rId45" Type="http://schemas.openxmlformats.org/officeDocument/2006/relationships/hyperlink" Target="https://github.com/KitwareMedical/dicom-anonymizer" TargetMode="External"/><Relationship Id="rId66" Type="http://schemas.openxmlformats.org/officeDocument/2006/relationships/hyperlink" Target="https://openjur.de/u/2352730.html" TargetMode="External"/><Relationship Id="rId87" Type="http://schemas.openxmlformats.org/officeDocument/2006/relationships/hyperlink" Target="http://doku.iab.de/fdz/reporte/2012/MR_06-12.pdf" TargetMode="External"/><Relationship Id="rId110" Type="http://schemas.openxmlformats.org/officeDocument/2006/relationships/hyperlink" Target="http://dx.doi.org/10.1016/j.jbi.2015.05.022" TargetMode="External"/><Relationship Id="rId115" Type="http://schemas.openxmlformats.org/officeDocument/2006/relationships/hyperlink" Target="https://www.ncbi.nlm.nih.gov/pmc/articles/PMC6658290/?report=printable" TargetMode="External"/><Relationship Id="rId131" Type="http://schemas.openxmlformats.org/officeDocument/2006/relationships/hyperlink" Target="https://doi.org/10.1007/s10115-018-1283-x" TargetMode="External"/><Relationship Id="rId136" Type="http://schemas.openxmlformats.org/officeDocument/2006/relationships/hyperlink" Target="https://doi.org/10.1002/spe.2812" TargetMode="External"/><Relationship Id="rId61" Type="http://schemas.openxmlformats.org/officeDocument/2006/relationships/hyperlink" Target="https://dejure.org/2021,22969" TargetMode="External"/><Relationship Id="rId82" Type="http://schemas.openxmlformats.org/officeDocument/2006/relationships/hyperlink" Target="https://www.enisa.europa.eu/publications/pseudonymisation-techniques-and-best-practices" TargetMode="External"/><Relationship Id="rId19" Type="http://schemas.openxmlformats.org/officeDocument/2006/relationships/hyperlink" Target="https://creativecommons.org/licenses/by-sa/4.0/legalcode" TargetMode="External"/><Relationship Id="rId14" Type="http://schemas.openxmlformats.org/officeDocument/2006/relationships/footer" Target="footer2.xml"/><Relationship Id="rId30" Type="http://schemas.openxmlformats.org/officeDocument/2006/relationships/hyperlink" Target="https://www.datenschutz.rlp.de/de/themenfelder-themen/datenschutz-grundverordnung/datenschutz-folgenabschaetzung/" TargetMode="External"/><Relationship Id="rId35" Type="http://schemas.openxmlformats.org/officeDocument/2006/relationships/hyperlink" Target="https://sourceforge.net/projects/anony-toolkit/" TargetMode="External"/><Relationship Id="rId56" Type="http://schemas.openxmlformats.org/officeDocument/2006/relationships/hyperlink" Target="https://eur-lex.europa.eu/legal-content/DE/TXT/?uri=CELEX:62020TJ0557" TargetMode="External"/><Relationship Id="rId77" Type="http://schemas.openxmlformats.org/officeDocument/2006/relationships/hyperlink" Target="https://www.bfdi.bund.de/DE/Fachthemen/Inhalte/Telefon-Internet/Positionen/Positionspapier-Anonymisierung-DSGVO-TKG.html" TargetMode="External"/><Relationship Id="rId100" Type="http://schemas.openxmlformats.org/officeDocument/2006/relationships/hyperlink" Target="https://stiftungdatenschutz.org/fileadmin/Redaktion/Dokumente/Anonymisierung_personenbezogener_Daten/SDS_Studie_Grundsatzregeln_Web_01.pdf" TargetMode="External"/><Relationship Id="rId105" Type="http://schemas.openxmlformats.org/officeDocument/2006/relationships/hyperlink" Target="https://www.statistischebibliothek.de/mir/receive/DEMonografie_mods_00000245" TargetMode="External"/><Relationship Id="rId126" Type="http://schemas.openxmlformats.org/officeDocument/2006/relationships/hyperlink" Target="https://www.sciencedirect.com/science/article/pii/S1532046417302228" TargetMode="External"/><Relationship Id="rId147" Type="http://schemas.openxmlformats.org/officeDocument/2006/relationships/header" Target="header4.xml"/><Relationship Id="rId8" Type="http://schemas.openxmlformats.org/officeDocument/2006/relationships/image" Target="media/image1.wmf"/><Relationship Id="rId51" Type="http://schemas.openxmlformats.org/officeDocument/2006/relationships/hyperlink" Target="https://www.datenschutz-wiki.de/DSGVO:Art_14" TargetMode="External"/><Relationship Id="rId72" Type="http://schemas.openxmlformats.org/officeDocument/2006/relationships/hyperlink" Target="https://openjur.de/u/2392731.html" TargetMode="External"/><Relationship Id="rId93" Type="http://schemas.openxmlformats.org/officeDocument/2006/relationships/hyperlink" Target="https://www.forschungsdaten-bildung.de/anonymisieren-pseudonymisieren" TargetMode="External"/><Relationship Id="rId98" Type="http://schemas.openxmlformats.org/officeDocument/2006/relationships/hyperlink" Target="https://freiheitsrechte.org/uploads/documents/Freiheit-im-digitalen-Zeitalter/Gesundheitsdaten/2022-04-25-Gutachten_Schroeder-Gesundheitsdaten-Gesellschaft_fuer_Freiheitsrechte.pdf" TargetMode="External"/><Relationship Id="rId121" Type="http://schemas.openxmlformats.org/officeDocument/2006/relationships/hyperlink" Target="https://doi.org/10.1016/j.zefq.2020.01.002" TargetMode="External"/><Relationship Id="rId142" Type="http://schemas.openxmlformats.org/officeDocument/2006/relationships/hyperlink" Target="https://doi.org/10.1007/s10207-023-00730-x" TargetMode="External"/><Relationship Id="rId3" Type="http://schemas.openxmlformats.org/officeDocument/2006/relationships/styles" Target="styles.xml"/><Relationship Id="rId25" Type="http://schemas.openxmlformats.org/officeDocument/2006/relationships/hyperlink" Target="https://www.datenschutz.bremen.de/sixcms/media.php/13/Liste%20von%20Verarbeitungsvorg%C3%A4ngen%20nach%20Artikel%2035.pdf" TargetMode="External"/><Relationship Id="rId46" Type="http://schemas.openxmlformats.org/officeDocument/2006/relationships/hyperlink" Target="https://github.com/google/differential-privacy" TargetMode="External"/><Relationship Id="rId67" Type="http://schemas.openxmlformats.org/officeDocument/2006/relationships/hyperlink" Target="https://dejure.org/2020,22065" TargetMode="External"/><Relationship Id="rId116" Type="http://schemas.openxmlformats.org/officeDocument/2006/relationships/hyperlink" Target="https://www.ncbi.nlm.nih.gov/pmc/articles/PMC3229505/" TargetMode="External"/><Relationship Id="rId137" Type="http://schemas.openxmlformats.org/officeDocument/2006/relationships/hyperlink" Target="https://doi" TargetMode="External"/><Relationship Id="rId20" Type="http://schemas.openxmlformats.org/officeDocument/2006/relationships/footer" Target="footer4.xml"/><Relationship Id="rId41" Type="http://schemas.openxmlformats.org/officeDocument/2006/relationships/hyperlink" Target="https://github.com/thoughtworks-datakind/anonymizer" TargetMode="External"/><Relationship Id="rId62" Type="http://schemas.openxmlformats.org/officeDocument/2006/relationships/hyperlink" Target="https://openjur.de/u/2347437.html" TargetMode="External"/><Relationship Id="rId83" Type="http://schemas.openxmlformats.org/officeDocument/2006/relationships/hyperlink" Target="https://www.enisa.europa.eu/publications/data-pseudonymisation-advanced-techniques-and-use-cases" TargetMode="External"/><Relationship Id="rId88" Type="http://schemas.openxmlformats.org/officeDocument/2006/relationships/hyperlink" Target="https://ico.org.uk/media/1061/anonymisation-code.pdf" TargetMode="External"/><Relationship Id="rId111" Type="http://schemas.openxmlformats.org/officeDocument/2006/relationships/hyperlink" Target="https://ieeexplore.ieee.org/abstract/document/9310884" TargetMode="External"/><Relationship Id="rId132" Type="http://schemas.openxmlformats.org/officeDocument/2006/relationships/hyperlink" Target="https://www.ncbi.nlm.nih.gov/pmc/articles/PMC2526997/pdf/1472-6947-8-32.pdf" TargetMode="External"/><Relationship Id="rId15" Type="http://schemas.openxmlformats.org/officeDocument/2006/relationships/header" Target="header3.xml"/><Relationship Id="rId36" Type="http://schemas.openxmlformats.org/officeDocument/2006/relationships/hyperlink" Target="https://github.com/wanghaisheng/Cornell-Anonymization-Toolkit" TargetMode="External"/><Relationship Id="rId57" Type="http://schemas.openxmlformats.org/officeDocument/2006/relationships/hyperlink" Target="https://dejure.org/2022,40374" TargetMode="External"/><Relationship Id="rId106" Type="http://schemas.openxmlformats.org/officeDocument/2006/relationships/hyperlink" Target="https://www.toolpool-gesundheitsforschung.de/produkte/?term=anonymisierung" TargetMode="External"/><Relationship Id="rId127" Type="http://schemas.openxmlformats.org/officeDocument/2006/relationships/hyperlink" Target="https://DOI.org/10.1186/s13063-017-2382-9" TargetMode="External"/><Relationship Id="rId10" Type="http://schemas.openxmlformats.org/officeDocument/2006/relationships/image" Target="media/image3.png"/><Relationship Id="rId31" Type="http://schemas.openxmlformats.org/officeDocument/2006/relationships/hyperlink" Target="https://datenschutz.sachsen-anhalt.de/informationen/internationales/datenschutz-grundverordnung/liste-datenschutz-folgenabschaetzung" TargetMode="External"/><Relationship Id="rId52" Type="http://schemas.openxmlformats.org/officeDocument/2006/relationships/image" Target="media/image9.emf"/><Relationship Id="rId73" Type="http://schemas.openxmlformats.org/officeDocument/2006/relationships/hyperlink" Target="https://eur-lex.europa.eu/legal-content/DE/TXT/?uri=CELEX%3A62014CJ0582" TargetMode="External"/><Relationship Id="rId78" Type="http://schemas.openxmlformats.org/officeDocument/2006/relationships/hyperlink" Target="https://bdi.eu/publikation/news/anonymisierung-personenbezogener-daten/" TargetMode="External"/><Relationship Id="rId94" Type="http://schemas.openxmlformats.org/officeDocument/2006/relationships/hyperlink" Target="https://www.pedocs.de/volltexte/2022/21968/pdf/fdb-informiert_1_Meyermann_ua_Hinweise_zur_Anonymisierung_von_qualitativen_Daten_2014_v1-1_A.pdf" TargetMode="External"/><Relationship Id="rId99" Type="http://schemas.openxmlformats.org/officeDocument/2006/relationships/hyperlink" Target="https://www.de.digital/DIGITAL/Redaktion/DE/Digital-Gipfel/Download/2019/p9-code-of-conduct.pdf?blob=publicationFile&amp;v=1" TargetMode="External"/><Relationship Id="rId101" Type="http://schemas.openxmlformats.org/officeDocument/2006/relationships/hyperlink" Target="https://stiftungdatenschutz.org/fileadmin/Redaktion/Dokumente/Anonymisierung_personenbezogener_Daten/SDS_Studie_Praxisleitfaden-Anonymisieren-Web_01.pdf" TargetMode="External"/><Relationship Id="rId122" Type="http://schemas.openxmlformats.org/officeDocument/2006/relationships/hyperlink" Target="https://www.ncbi.nlm.nih.gov/pmc/articles/PMC4988860/pdf/nihms807198.pdf" TargetMode="External"/><Relationship Id="rId143" Type="http://schemas.openxmlformats.org/officeDocument/2006/relationships/hyperlink" Target="https://doi.org/10.1007/s11761-021-00324-2" TargetMode="External"/><Relationship Id="rId14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atenschutz-hamburg.de/fileadmin/user_upload/HmbBfDI/Datenschutz/Informationen/Liste_Art_35-4_DSGVO_HmbBfDI-oeffentlicher_Bereich_v2.0a.pdf" TargetMode="External"/><Relationship Id="rId47" Type="http://schemas.openxmlformats.org/officeDocument/2006/relationships/hyperlink" Target="https://github.com/Tolgahan20/Incognito-Algorithm" TargetMode="External"/><Relationship Id="rId68" Type="http://schemas.openxmlformats.org/officeDocument/2006/relationships/hyperlink" Target="https://openjur.de/u/2343388.html" TargetMode="External"/><Relationship Id="rId89" Type="http://schemas.openxmlformats.org/officeDocument/2006/relationships/hyperlink" Target="https://ico.org.uk/about-the-ico/ico-and-stakeholder-consultations/ico-call-for-views-anonymisation-pseudonymisation-and-privacy-enhancing-technologies-guidance/" TargetMode="External"/><Relationship Id="rId112" Type="http://schemas.openxmlformats.org/officeDocument/2006/relationships/hyperlink" Target="https://doi.org/10.1109/ICDE.2005.42" TargetMode="External"/><Relationship Id="rId133" Type="http://schemas.openxmlformats.org/officeDocument/2006/relationships/hyperlink" Target="https://doi.org/10.1186/s13638-019-1406-4" TargetMode="External"/><Relationship Id="rId16" Type="http://schemas.openxmlformats.org/officeDocument/2006/relationships/footer" Target="footer3.xml"/><Relationship Id="rId37" Type="http://schemas.openxmlformats.org/officeDocument/2006/relationships/image" Target="media/image6.png"/><Relationship Id="rId58" Type="http://schemas.openxmlformats.org/officeDocument/2006/relationships/hyperlink" Target="https://openjur.de/u/2461988.html" TargetMode="External"/><Relationship Id="rId79" Type="http://schemas.openxmlformats.org/officeDocument/2006/relationships/hyperlink" Target="ftp://medical.nema.org/medical/dicom/final/sup142_ft.pdf" TargetMode="External"/><Relationship Id="rId102" Type="http://schemas.openxmlformats.org/officeDocument/2006/relationships/hyperlink" Target="https://www.statistischebibliothek.de/mir/receive/DEMonografie_mods_00000267" TargetMode="External"/><Relationship Id="rId123" Type="http://schemas.openxmlformats.org/officeDocument/2006/relationships/hyperlink" Target="https://doi.org/10.1007/s44206-023-00043-5" TargetMode="External"/><Relationship Id="rId144" Type="http://schemas.openxmlformats.org/officeDocument/2006/relationships/hyperlink" Target="https://doi.org/10.1186/s12942-020-00201-9" TargetMode="External"/><Relationship Id="rId90" Type="http://schemas.openxmlformats.org/officeDocument/2006/relationships/hyperlink" Target="http://www.ihe.net/uploadedFiles/Documents/ITI/IHE_ITI_WP_Analysis-of-DeID-Algorithms-for-FP-Data_Elements.pdf"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curia.europa.eu/juris/document/document.jsf?text=&amp;docid=%20184668&amp;pageIndex=0&amp;doclang=DE&amp;mode=req&amp;dir=&amp;occ=first&amp;part=1" TargetMode="External"/><Relationship Id="rId21" Type="http://schemas.openxmlformats.org/officeDocument/2006/relationships/hyperlink" Target="https://www.beuth.de/de/norm/din-en-iso-iec-29100/325198919" TargetMode="External"/><Relationship Id="rId42" Type="http://schemas.openxmlformats.org/officeDocument/2006/relationships/hyperlink" Target="https://eur-lex.europa.eu/legal-content/DE/TXT/?uri=CELEX%3A62023CN0413&amp;qid=1697259421370" TargetMode="External"/><Relationship Id="rId63" Type="http://schemas.openxmlformats.org/officeDocument/2006/relationships/hyperlink" Target="https://www.dataprivacyframework.gov/s/article/5-DATA-INTEGRITY-AND-PURPOSE-LIMITATION-dpf?tabset-35584=2" TargetMode="External"/><Relationship Id="rId84" Type="http://schemas.openxmlformats.org/officeDocument/2006/relationships/hyperlink" Target="https://eur-lex.europa.eu/legal-content/DE/TXT/?uri=CELEX%3A32014R0536" TargetMode="External"/><Relationship Id="rId138" Type="http://schemas.openxmlformats.org/officeDocument/2006/relationships/hyperlink" Target="https://eur-lex.europa.eu/legal-content/de/TXT/?uri=CELEX:62022CJ0307" TargetMode="External"/><Relationship Id="rId159" Type="http://schemas.openxmlformats.org/officeDocument/2006/relationships/hyperlink" Target="https://www.bsi.bund.de/SharedDocs/Downloads/%20DE/BSI/Publikationen/Broschueren/Kryptografie-quantensicher-gestalten.pdf?__blob=publicationFile&amp;v=5" TargetMode="External"/><Relationship Id="rId107" Type="http://schemas.openxmlformats.org/officeDocument/2006/relationships/hyperlink" Target="https://www.aepd.es/es/documento/10-anonymisation-misunderstandings.pdf" TargetMode="External"/><Relationship Id="rId11" Type="http://schemas.openxmlformats.org/officeDocument/2006/relationships/hyperlink" Target="https://dejure.org/2016,33959" TargetMode="External"/><Relationship Id="rId32" Type="http://schemas.openxmlformats.org/officeDocument/2006/relationships/hyperlink" Target="https://dsgvo-gesetz.de/thuerdsg/" TargetMode="External"/><Relationship Id="rId53" Type="http://schemas.openxmlformats.org/officeDocument/2006/relationships/hyperlink" Target="https://www.ris.bka.gv.at/Dokumente/Dsk/DSBT_20230801_2023_0_544_853_00/DSBT_20230801_2023_0_544_853_00.html" TargetMode="External"/><Relationship Id="rId74" Type="http://schemas.openxmlformats.org/officeDocument/2006/relationships/hyperlink" Target="https://edpb.europa.eu/our-work-tools/our-documents/other-guidance/edpb-document-response-request-european-commission_en" TargetMode="External"/><Relationship Id="rId128" Type="http://schemas.openxmlformats.org/officeDocument/2006/relationships/hyperlink" Target="https://www.clinicalstudydatarequest.com/Documents/Sanofi-DeIdentification-Guide.pdf" TargetMode="External"/><Relationship Id="rId149" Type="http://schemas.openxmlformats.org/officeDocument/2006/relationships/hyperlink" Target="https://openjur.de/u/166332.html" TargetMode="External"/><Relationship Id="rId5" Type="http://schemas.openxmlformats.org/officeDocument/2006/relationships/hyperlink" Target="https://op.europa.eu/de/publication-detail/-/publication/3879747d-7a3c-411b-a3a0-55c14e2ba732/language-de" TargetMode="External"/><Relationship Id="rId95" Type="http://schemas.openxmlformats.org/officeDocument/2006/relationships/hyperlink" Target="https://doi.org/10.1109/OJCS.2022.3175999" TargetMode="External"/><Relationship Id="rId22" Type="http://schemas.openxmlformats.org/officeDocument/2006/relationships/hyperlink" Target="https://www.bundestag.de/resource/blob/899872/33b2422d86eab34c741b67207ab1bda3/WD-3-045-22-pdf-data.pdf" TargetMode="External"/><Relationship Id="rId43" Type="http://schemas.openxmlformats.org/officeDocument/2006/relationships/hyperlink" Target="https://edpb.europa.eu/our-work-tools/our-documents/other-guidance/edpb-document-response-request-european-commission_en" TargetMode="External"/><Relationship Id="rId64" Type="http://schemas.openxmlformats.org/officeDocument/2006/relationships/hyperlink" Target="https://www.dataprivacyframework.gov/s/article/14-Pharmaceutical-and-Medical-Products-dpf?tabset-35584=2" TargetMode="External"/><Relationship Id="rId118" Type="http://schemas.openxmlformats.org/officeDocument/2006/relationships/hyperlink" Target="https://edpb.europa.eu/our-work-tools/our-documents/guidelines/guidelines-042020-use-location-data-and-contact-tracing_de" TargetMode="External"/><Relationship Id="rId139" Type="http://schemas.openxmlformats.org/officeDocument/2006/relationships/hyperlink" Target="https://edpb.europa.eu/our-work-tools/our-documents/guidelines/guidelines-042020-use-location-data-and-contact-tracing_de" TargetMode="External"/><Relationship Id="rId80" Type="http://schemas.openxmlformats.org/officeDocument/2006/relationships/hyperlink" Target="https://ec.europa.eu/justice/article-29/documentation/opinion-recommendation/index_en.htm" TargetMode="External"/><Relationship Id="rId85" Type="http://schemas.openxmlformats.org/officeDocument/2006/relationships/hyperlink" Target="https://eur-lex.europa.eu/legal-content/DE/TXT/HTML/?uri=CELEX:32014R0536" TargetMode="External"/><Relationship Id="rId150" Type="http://schemas.openxmlformats.org/officeDocument/2006/relationships/hyperlink" Target="https://www.bmj.de/SharedDocs/Publikationen/DE/Fachpublikationen/Handbuch_der_Rechtsfoermlichkeit.html?nn=17134" TargetMode="External"/><Relationship Id="rId155" Type="http://schemas.openxmlformats.org/officeDocument/2006/relationships/hyperlink" Target="https://eur-lex.europa.eu/legal-content/DE/TXT/HTML/?uri=CELEX:32010L0075" TargetMode="External"/><Relationship Id="rId12" Type="http://schemas.openxmlformats.org/officeDocument/2006/relationships/hyperlink" Target="https://eur-lex.europa.eu/legal-content/DE/TXT/?uri=CELEX%3A62014CJ0582" TargetMode="External"/><Relationship Id="rId17" Type="http://schemas.openxmlformats.org/officeDocument/2006/relationships/hyperlink" Target="http://ec.europa.eu/justice/article-29/documentation/opinion-recommendation/files/2007/wp136_en.pdf" TargetMode="External"/><Relationship Id="rId33" Type="http://schemas.openxmlformats.org/officeDocument/2006/relationships/hyperlink" Target="https://eur-lex.europa.eu/legal-content/DE/TXT/?uri=CELEX:12012E/TXT" TargetMode="External"/><Relationship Id="rId38" Type="http://schemas.openxmlformats.org/officeDocument/2006/relationships/hyperlink" Target="https://stiftungdatenschutz.org/fileadmin/Redaktion/Dokumente/Anonymisierung_personenbezogener_Daten/SDS_Studie_Praxisleitfaden-Anonymisieren-Web_01.pdf" TargetMode="External"/><Relationship Id="rId59" Type="http://schemas.openxmlformats.org/officeDocument/2006/relationships/hyperlink" Target="https://dejure.org/2022,3279" TargetMode="External"/><Relationship Id="rId103" Type="http://schemas.openxmlformats.org/officeDocument/2006/relationships/hyperlink" Target="https://arx.deidentifier.org/" TargetMode="External"/><Relationship Id="rId108" Type="http://schemas.openxmlformats.org/officeDocument/2006/relationships/hyperlink" Target="https://en.wikipedia.org/wiki/Netflix_Prize" TargetMode="External"/><Relationship Id="rId124" Type="http://schemas.openxmlformats.org/officeDocument/2006/relationships/hyperlink" Target="https://dl.acm.org/doi/10.5555/1182635.1164141" TargetMode="External"/><Relationship Id="rId129" Type="http://schemas.openxmlformats.org/officeDocument/2006/relationships/hyperlink" Target="https://www.dicomstandard.org/" TargetMode="External"/><Relationship Id="rId54" Type="http://schemas.openxmlformats.org/officeDocument/2006/relationships/hyperlink" Target="http://ds-gvo.gesundheitsdatenschutz.org/html/forschung.php" TargetMode="External"/><Relationship Id="rId70" Type="http://schemas.openxmlformats.org/officeDocument/2006/relationships/hyperlink" Target="https://genomemedicine.biomedcentral.com/articles/10.1186/gm239" TargetMode="External"/><Relationship Id="rId75" Type="http://schemas.openxmlformats.org/officeDocument/2006/relationships/hyperlink" Target="https://doi.org/10.1126/science.aau4832" TargetMode="External"/><Relationship Id="rId91" Type="http://schemas.openxmlformats.org/officeDocument/2006/relationships/hyperlink" Target="https://doi" TargetMode="External"/><Relationship Id="rId96" Type="http://schemas.openxmlformats.org/officeDocument/2006/relationships/hyperlink" Target="https://www.cis.upenn.edu/~aaroth/Papers/privacybook.pdf" TargetMode="External"/><Relationship Id="rId140" Type="http://schemas.openxmlformats.org/officeDocument/2006/relationships/hyperlink" Target="https://eur-lex.europa.eu/legal-content/de/TXT/?uri=CELEX:62022CJ0319" TargetMode="External"/><Relationship Id="rId145" Type="http://schemas.openxmlformats.org/officeDocument/2006/relationships/hyperlink" Target="https://eur-lex.europa.eu/legal-content/DE/TXT/?uri=CELEX:32002L0058" TargetMode="External"/><Relationship Id="rId1" Type="http://schemas.openxmlformats.org/officeDocument/2006/relationships/hyperlink" Target="https://www.de.digital/DIGITAL/Redaktion/DE/Digital-Gipfel/Download/2019/p9-code-of-conduct.pdf?blob=publicationFile&amp;v=1" TargetMode="External"/><Relationship Id="rId6" Type="http://schemas.openxmlformats.org/officeDocument/2006/relationships/hyperlink" Target="https://eur-lex.europa.eu/legal-content/de/TXT/?uri=CELEX:62013CJ0345" TargetMode="External"/><Relationship Id="rId23" Type="http://schemas.openxmlformats.org/officeDocument/2006/relationships/hyperlink" Target="https://dejure.org/2019,31907" TargetMode="External"/><Relationship Id="rId28" Type="http://schemas.openxmlformats.org/officeDocument/2006/relationships/hyperlink" Target="https://dsgvo-gesetz.de/hmbdsg/" TargetMode="External"/><Relationship Id="rId49" Type="http://schemas.openxmlformats.org/officeDocument/2006/relationships/hyperlink" Target="https://eur-lex.europa.eu/legal-content/de/TXT/?uri=CELEX:62021CJ0667" TargetMode="External"/><Relationship Id="rId114" Type="http://schemas.openxmlformats.org/officeDocument/2006/relationships/hyperlink" Target="https://techcrunch.com/2023/10/10/hackers-advertised-23andme-stolen-data-two-months-ago/" TargetMode="External"/><Relationship Id="rId119" Type="http://schemas.openxmlformats.org/officeDocument/2006/relationships/hyperlink" Target="http://doku.iab.de/fdz/reporte/2012/MR_06-12.pdf" TargetMode="External"/><Relationship Id="rId44" Type="http://schemas.openxmlformats.org/officeDocument/2006/relationships/hyperlink" Target="https://eur-lex.europa.eu/legal-content/de/TXT/?uri=CELEX:62021CJ0252" TargetMode="External"/><Relationship Id="rId60" Type="http://schemas.openxmlformats.org/officeDocument/2006/relationships/hyperlink" Target="https://curia.europa.eu/juris/document/document.jsf?text=&amp;docid=254583&amp;pageIndex=0&amp;doclang=DE&amp;mode=req&amp;dir=&amp;occ=first&amp;part=1" TargetMode="External"/><Relationship Id="rId65" Type="http://schemas.openxmlformats.org/officeDocument/2006/relationships/hyperlink" Target="https://www.gesundheitsdatenschutz.org/html/privacy_design_default.php" TargetMode="External"/><Relationship Id="rId81" Type="http://schemas.openxmlformats.org/officeDocument/2006/relationships/hyperlink" Target="https://www.bundesregierung.de/breg-de/suche/datenstrategie-der-bundesregierung-1845632" TargetMode="External"/><Relationship Id="rId86" Type="http://schemas.openxmlformats.org/officeDocument/2006/relationships/hyperlink" Target="https://www.datenschutz-bayern.de/technik/grundsatz/apdsft.htm" TargetMode="External"/><Relationship Id="rId130" Type="http://schemas.openxmlformats.org/officeDocument/2006/relationships/hyperlink" Target="https://www.dicomstandard.org/current" TargetMode="External"/><Relationship Id="rId135" Type="http://schemas.openxmlformats.org/officeDocument/2006/relationships/hyperlink" Target="https://eur-lex.europa.eu/legal-content/DE/TXT/?uri=CELEX%3A62019CJ0272&amp;qid=1702720547526" TargetMode="External"/><Relationship Id="rId151" Type="http://schemas.openxmlformats.org/officeDocument/2006/relationships/hyperlink" Target="https://www.gesetze-im-internet.de/atg/__7.html" TargetMode="External"/><Relationship Id="rId156" Type="http://schemas.openxmlformats.org/officeDocument/2006/relationships/hyperlink" Target="https://fachportal.gematik.de/schnelleinstieg/downloadcenter/implementierungsleitfaeden" TargetMode="External"/><Relationship Id="rId13" Type="http://schemas.openxmlformats.org/officeDocument/2006/relationships/hyperlink" Target="https://eur-lex.europa.eu/legal-content/de/TXT/?uri=CELEX:62014CC0582" TargetMode="External"/><Relationship Id="rId18" Type="http://schemas.openxmlformats.org/officeDocument/2006/relationships/hyperlink" Target="https://eur-lex.europa.eu/legal-content/DE/TXT/?uri=CELEX%3A32019L1024&amp;qid=1697259421370" TargetMode="External"/><Relationship Id="rId39" Type="http://schemas.openxmlformats.org/officeDocument/2006/relationships/hyperlink" Target="https://www.bfdi.bund.de/DE/Fachthemen/Inhalte/Telefon-Internet/Positionen/Positionspapier-Anonymisierung-DSGVO-TKG.html" TargetMode="External"/><Relationship Id="rId109" Type="http://schemas.openxmlformats.org/officeDocument/2006/relationships/hyperlink" Target="https://www.cs.utexas.edu/~shmat/shmat_oak08netflix.pdf" TargetMode="External"/><Relationship Id="rId34" Type="http://schemas.openxmlformats.org/officeDocument/2006/relationships/hyperlink" Target="https://eur-lex.europa.eu/legal-content/DE/TXT/?uri=CELEX:12012E/TXT" TargetMode="External"/><Relationship Id="rId50" Type="http://schemas.openxmlformats.org/officeDocument/2006/relationships/hyperlink" Target="http://ds-gvo.gesundheitsdatenschutz.org/html/forschung.php" TargetMode="External"/><Relationship Id="rId55" Type="http://schemas.openxmlformats.org/officeDocument/2006/relationships/hyperlink" Target="https://edpb.europa.eu/our-work-tools/our-documents/other-guidance/edpb-document-response-request-european-commission_en" TargetMode="External"/><Relationship Id="rId76" Type="http://schemas.openxmlformats.org/officeDocument/2006/relationships/hyperlink" Target="https://www.gpo.gov/fdsys/search/pagedetails.action?granuleId=CRPT-104hrpt736&amp;packageId=CRPT-104hrpt736" TargetMode="External"/><Relationship Id="rId97" Type="http://schemas.openxmlformats.org/officeDocument/2006/relationships/hyperlink" Target="https://labs.utdallas.edu/dspl/software/anonymization-toolbox/" TargetMode="External"/><Relationship Id="rId104" Type="http://schemas.openxmlformats.org/officeDocument/2006/relationships/hyperlink" Target="https://pydicom.github.io/" TargetMode="External"/><Relationship Id="rId120" Type="http://schemas.openxmlformats.org/officeDocument/2006/relationships/hyperlink" Target="https://www.pdpc.gov.sg/-/media/Files/PDPC/PDF-Files/Other-Guides/Guide-to-Anonymisation_v1-(250118).pdf?la=en" TargetMode="External"/><Relationship Id="rId125" Type="http://schemas.openxmlformats.org/officeDocument/2006/relationships/hyperlink" Target="https://www.beuth.de/de/norm/din-en-iso-25237/258588981" TargetMode="External"/><Relationship Id="rId141" Type="http://schemas.openxmlformats.org/officeDocument/2006/relationships/hyperlink" Target="https://eur-lex.europa.eu/legal-content/DE/TXT/?uri=CELEX%3A62014CJ0582&amp;qid=1702730387859" TargetMode="External"/><Relationship Id="rId146" Type="http://schemas.openxmlformats.org/officeDocument/2006/relationships/hyperlink" Target="https://eur-lex.europa.eu/legal-content/DE/TXT/?uri=CELEX%3A62021CJ0340" TargetMode="External"/><Relationship Id="rId7" Type="http://schemas.openxmlformats.org/officeDocument/2006/relationships/hyperlink" Target="https://dejure.org/2016,33959" TargetMode="External"/><Relationship Id="rId71" Type="http://schemas.openxmlformats.org/officeDocument/2006/relationships/hyperlink" Target="https://www.ncbi.nlm.nih.gov/pmc/articles/PMC3229505/" TargetMode="External"/><Relationship Id="rId92" Type="http://schemas.openxmlformats.org/officeDocument/2006/relationships/hyperlink" Target="https://doi.org/10.1145/1055558.1055591" TargetMode="External"/><Relationship Id="rId2" Type="http://schemas.openxmlformats.org/officeDocument/2006/relationships/hyperlink" Target="https://eur-lex.europa.eu/legal-content/DE/TXT/?uri=CELEX%3A62009CJ0509" TargetMode="External"/><Relationship Id="rId29" Type="http://schemas.openxmlformats.org/officeDocument/2006/relationships/hyperlink" Target="https://dsgvo-gesetz.de/hdsig/" TargetMode="External"/><Relationship Id="rId24" Type="http://schemas.openxmlformats.org/officeDocument/2006/relationships/hyperlink" Target="https://curia.europa.eu/juris/document/document.jsf?text=&amp;docid=218462&amp;pageIndex=0&amp;doclang=DE&amp;mode=req&amp;dir=&amp;occ=first&amp;part=1" TargetMode="External"/><Relationship Id="rId40" Type="http://schemas.openxmlformats.org/officeDocument/2006/relationships/hyperlink" Target="https://www.bfdi.bund.de/SharedDocs/Downloads/DE/Konsultationsverfahren/1_Anonymisierung/Positionspapier-Anonymisierung.pdf?__blob=publicationFile&amp;v=6" TargetMode="External"/><Relationship Id="rId45" Type="http://schemas.openxmlformats.org/officeDocument/2006/relationships/hyperlink" Target="https://eur-lex.europa.eu/legal-content/de/TXT/?uri=CELEX:62021CJ0667" TargetMode="External"/><Relationship Id="rId66" Type="http://schemas.openxmlformats.org/officeDocument/2006/relationships/hyperlink" Target="https://www.datenschutzkonferenz-online.de/anwendungshinweise.html" TargetMode="External"/><Relationship Id="rId87" Type="http://schemas.openxmlformats.org/officeDocument/2006/relationships/hyperlink" Target="https://www.bmi.bund.de/SharedDocs/downloads/DE/veroeffentlichungen/2017/digital-gipfel-kurzfassung-one-pager-fokusgruppe.pdf?__blob=publicationFile&amp;v=3" TargetMode="External"/><Relationship Id="rId110" Type="http://schemas.openxmlformats.org/officeDocument/2006/relationships/hyperlink" Target="https://www.spektrum.de/news/wem-gehoeren-meine-gendaten/1459381" TargetMode="External"/><Relationship Id="rId115" Type="http://schemas.openxmlformats.org/officeDocument/2006/relationships/hyperlink" Target="https://www.heise.de/news/23andme-Angeblich-Genanalyse-Daten-aus-Grossbritannien-und-Deutschland-geleakt-9339051.html" TargetMode="External"/><Relationship Id="rId131" Type="http://schemas.openxmlformats.org/officeDocument/2006/relationships/hyperlink" Target="https://www.dicomstandard.org/News-dir/ftsup/docs/sups/sup55.pdf" TargetMode="External"/><Relationship Id="rId136" Type="http://schemas.openxmlformats.org/officeDocument/2006/relationships/hyperlink" Target="https://curia.europa.eu/juris/document/document.jsf?text=&amp;docid=276483&amp;pageIndex=0&amp;doclang=DE&amp;mode=req&amp;dir=&amp;occ=first&amp;part=1" TargetMode="External"/><Relationship Id="rId157" Type="http://schemas.openxmlformats.org/officeDocument/2006/relationships/hyperlink" Target="https://fachportal.gematik.de/fachportal-import/files/gemSpec_Krypt_V2.28.0.pdf" TargetMode="External"/><Relationship Id="rId61" Type="http://schemas.openxmlformats.org/officeDocument/2006/relationships/hyperlink" Target="https://eur-lex.europa.eu/legal-content/de/TXT/?uri=CELEX:62021CJ0667" TargetMode="External"/><Relationship Id="rId82" Type="http://schemas.openxmlformats.org/officeDocument/2006/relationships/hyperlink" Target="https://dserver.bundestag.de/btd/20/082/2008260.pdf" TargetMode="External"/><Relationship Id="rId152" Type="http://schemas.openxmlformats.org/officeDocument/2006/relationships/hyperlink" Target="https://www.gesetze-im-internet.de/bimschg/__3.html" TargetMode="External"/><Relationship Id="rId19" Type="http://schemas.openxmlformats.org/officeDocument/2006/relationships/hyperlink" Target="https://www.iso.org/standard/45123.html" TargetMode="External"/><Relationship Id="rId14" Type="http://schemas.openxmlformats.org/officeDocument/2006/relationships/hyperlink" Target="https://dejure.org/2010,236" TargetMode="External"/><Relationship Id="rId30" Type="http://schemas.openxmlformats.org/officeDocument/2006/relationships/hyperlink" Target="https://recht.nrw.de/lmi/owa/br_text_anzeigen?v_id=3520071121100436275" TargetMode="External"/><Relationship Id="rId35" Type="http://schemas.openxmlformats.org/officeDocument/2006/relationships/hyperlink" Target="https://dejure.org/2017,46354" TargetMode="External"/><Relationship Id="rId56" Type="http://schemas.openxmlformats.org/officeDocument/2006/relationships/hyperlink" Target="https://eur-lex.europa.eu/legal-content/DE/TXT/?uri=CELEX%3A62020CJ0175" TargetMode="External"/><Relationship Id="rId77" Type="http://schemas.openxmlformats.org/officeDocument/2006/relationships/hyperlink" Target="https://www.hhs.gov/hipaa/for-professionals/privacy/laws-regulations/index.html" TargetMode="External"/><Relationship Id="rId100" Type="http://schemas.openxmlformats.org/officeDocument/2006/relationships/hyperlink" Target="https://doi.org/10.1109/BigDataCongress.2017.15" TargetMode="External"/><Relationship Id="rId105" Type="http://schemas.openxmlformats.org/officeDocument/2006/relationships/hyperlink" Target="https://beam.apache.org/documentation/" TargetMode="External"/><Relationship Id="rId126" Type="http://schemas.openxmlformats.org/officeDocument/2006/relationships/hyperlink" Target="https://studylib.net/doc/8201785/pseudonymisation-and-anonymisation-of-data-policy" TargetMode="External"/><Relationship Id="rId147" Type="http://schemas.openxmlformats.org/officeDocument/2006/relationships/hyperlink" Target="https://doi.org/10.1002/widm.1387" TargetMode="External"/><Relationship Id="rId8" Type="http://schemas.openxmlformats.org/officeDocument/2006/relationships/hyperlink" Target="https://eur-lex.europa.eu/legal-content/DE/TXT/?uri=CELEX%3A62014CJ0582" TargetMode="External"/><Relationship Id="rId51" Type="http://schemas.openxmlformats.org/officeDocument/2006/relationships/hyperlink" Target="https://eur-lex.europa.eu/legal-content/de/TXT/?uri=CELEX:62022CJ0026" TargetMode="External"/><Relationship Id="rId72" Type="http://schemas.openxmlformats.org/officeDocument/2006/relationships/hyperlink" Target="https://www.ncbi.nlm.nih.gov/pmc/articles/PMC5110051/" TargetMode="External"/><Relationship Id="rId93" Type="http://schemas.openxmlformats.org/officeDocument/2006/relationships/hyperlink" Target="http://dx" TargetMode="External"/><Relationship Id="rId98" Type="http://schemas.openxmlformats.org/officeDocument/2006/relationships/hyperlink" Target="https://doi.org/10.1109/ICDE.2006.101" TargetMode="External"/><Relationship Id="rId121" Type="http://schemas.openxmlformats.org/officeDocument/2006/relationships/hyperlink" Target="https://www.datenschutzkonferenz-online.de/media/kp/dsk_kpnr_18.pdf" TargetMode="External"/><Relationship Id="rId142" Type="http://schemas.openxmlformats.org/officeDocument/2006/relationships/hyperlink" Target="https://www.bfdi.bund.de/SharedDocs/Downloads/DE/Konsultationsverfahren/1_Anonymisierung/Positionspapier-Anonymisierung.html" TargetMode="External"/><Relationship Id="rId3" Type="http://schemas.openxmlformats.org/officeDocument/2006/relationships/hyperlink" Target="https://eur-lex.europa.eu/legal-content/DE/TXT/?uri=CELEX%3A62009CJ0509" TargetMode="External"/><Relationship Id="rId25" Type="http://schemas.openxmlformats.org/officeDocument/2006/relationships/hyperlink" Target="https://dejure.org/2020,12443" TargetMode="External"/><Relationship Id="rId46" Type="http://schemas.openxmlformats.org/officeDocument/2006/relationships/hyperlink" Target="https://eur-lex.europa.eu/legal-content/de/TXT/?uri=CELEX:62021CJ0252" TargetMode="External"/><Relationship Id="rId67" Type="http://schemas.openxmlformats.org/officeDocument/2006/relationships/hyperlink" Target="https://www.datenschutzkonferenz-online.de/media/ah/20181017_ah_DSK_DSFA_Muss-Liste_Version_1.1_Deutsch.pdf" TargetMode="External"/><Relationship Id="rId116" Type="http://schemas.openxmlformats.org/officeDocument/2006/relationships/hyperlink" Target="https://dejure.org/2016,33959" TargetMode="External"/><Relationship Id="rId137" Type="http://schemas.openxmlformats.org/officeDocument/2006/relationships/hyperlink" Target="https://curia.europa.eu/juris/document/document.jsf?text=&amp;docid=276483&amp;pageIndex=0&amp;doclang=DE&amp;mode=req&amp;dir=&amp;occ=first&amp;part=1" TargetMode="External"/><Relationship Id="rId158" Type="http://schemas.openxmlformats.org/officeDocument/2006/relationships/hyperlink" Target="https://www.bsi.bund.de/DE/Service-Navi/Presse/Alle-Meldungen-News/Meldungen/Leitfaden_quanten-sichere_Kryptografie_211216.html" TargetMode="External"/><Relationship Id="rId20" Type="http://schemas.openxmlformats.org/officeDocument/2006/relationships/hyperlink" Target="https://standards.iso.org/ittf/PubliclyAvailableStandards/index.html" TargetMode="External"/><Relationship Id="rId41" Type="http://schemas.openxmlformats.org/officeDocument/2006/relationships/hyperlink" Target="https://eur-lex.europa.eu/legal-content/de/TXT/?uri=CELEX:62020TJ0557" TargetMode="External"/><Relationship Id="rId62" Type="http://schemas.openxmlformats.org/officeDocument/2006/relationships/hyperlink" Target="https://www.ris.bka.gv.at/Dokument.wxe?Abfrage=Bvwg&amp;Entscheidungsart=Undefined&amp;SucheNachRechtssatz=True&amp;SucheNachText=True&amp;GZ=W137+2251172-1&amp;VonDatum=01.01.2014&amp;BisDatum=11.10.2023&amp;Norm=&amp;ImRisSeitVonDatum=&amp;ImRisSeitBisDatum=&amp;ImRisSeit=Undefined&amp;ImRisSeitForRemotion=Undefined&amp;ResultPageSize=100&amp;Suchworte=&amp;Position=1&amp;SkipToDocumentPage=true&amp;ResultFunctionToken=397ad383-d665-4713-9559-ad2fb1d604bd&amp;Dokumentnummer=BVWGT_20230822_W137_2251172_1_00" TargetMode="External"/><Relationship Id="rId83" Type="http://schemas.openxmlformats.org/officeDocument/2006/relationships/hyperlink" Target="https://gesundheitsdatenschutz.org/html/loeschkonzept.php" TargetMode="External"/><Relationship Id="rId88" Type="http://schemas.openxmlformats.org/officeDocument/2006/relationships/hyperlink" Target="https://www.ncbi.nlm.nih.gov/pmc/articles/PMC5110051/" TargetMode="External"/><Relationship Id="rId111" Type="http://schemas.openxmlformats.org/officeDocument/2006/relationships/hyperlink" Target="https://www.deutschlandfunkkultur.de/gendatenbanken-das-geschaeft-mit-menschlichen-genen-100.html" TargetMode="External"/><Relationship Id="rId132" Type="http://schemas.openxmlformats.org/officeDocument/2006/relationships/hyperlink" Target="https://doi.org/10.3390/languages8030155" TargetMode="External"/><Relationship Id="rId153" Type="http://schemas.openxmlformats.org/officeDocument/2006/relationships/hyperlink" Target="https://www.gesetze-im-internet.de/whg_2009/__3.html" TargetMode="External"/><Relationship Id="rId15" Type="http://schemas.openxmlformats.org/officeDocument/2006/relationships/hyperlink" Target="https://eur-lex.europa.eu/legal-content/DE/TXT/?qid=1698904362512&amp;uri=CELEX%3A62020CJ0184" TargetMode="External"/><Relationship Id="rId36" Type="http://schemas.openxmlformats.org/officeDocument/2006/relationships/hyperlink" Target="https://bdi.eu/publikation/news/anonymisierung-personenbezogener-daten/" TargetMode="External"/><Relationship Id="rId57" Type="http://schemas.openxmlformats.org/officeDocument/2006/relationships/hyperlink" Target="https://www.bverwg.de/020322U6C7.20.0" TargetMode="External"/><Relationship Id="rId106" Type="http://schemas.openxmlformats.org/officeDocument/2006/relationships/hyperlink" Target="https://edps.europa.eu/data-protection/our-work/publications/papers/aepd-edps-joint-paper-10-misunderstandings-related_en" TargetMode="External"/><Relationship Id="rId127" Type="http://schemas.openxmlformats.org/officeDocument/2006/relationships/hyperlink" Target="https://www.mayoclinic.org/documents/deidentification-jax-pdf/doc-20079518" TargetMode="External"/><Relationship Id="rId10" Type="http://schemas.openxmlformats.org/officeDocument/2006/relationships/hyperlink" Target="https://openjur.de/u/2117724.html" TargetMode="External"/><Relationship Id="rId31" Type="http://schemas.openxmlformats.org/officeDocument/2006/relationships/hyperlink" Target="https://dsgvo-gesetz.de/ldsg-sh/" TargetMode="External"/><Relationship Id="rId52" Type="http://schemas.openxmlformats.org/officeDocument/2006/relationships/hyperlink" Target="https://www.datenschutzkonferenz-online.de/media/oh/OH-Werbung_Februar%202022_final.pdf" TargetMode="External"/><Relationship Id="rId73" Type="http://schemas.openxmlformats.org/officeDocument/2006/relationships/hyperlink" Target="https://curia.europa.eu/juris/document/document.jsf?text=&amp;docid=143189&amp;pageIndex=0&amp;doclang=DE&amp;mode=req&amp;dir=&amp;occ=first&amp;part=1" TargetMode="External"/><Relationship Id="rId78" Type="http://schemas.openxmlformats.org/officeDocument/2006/relationships/hyperlink" Target="http://www.hipaasurvivalguide.com/hipaa-regulations/164-514.php" TargetMode="External"/><Relationship Id="rId94" Type="http://schemas.openxmlformats.org/officeDocument/2006/relationships/hyperlink" Target="https://doi.org/10.1007/s10618-011-0235-9" TargetMode="External"/><Relationship Id="rId99" Type="http://schemas.openxmlformats.org/officeDocument/2006/relationships/hyperlink" Target="https://dl.acm.org/doi/10.1145/1066157.1066164" TargetMode="External"/><Relationship Id="rId101" Type="http://schemas.openxmlformats.org/officeDocument/2006/relationships/hyperlink" Target="https://research.cbs.nl/casc/mu.htm" TargetMode="External"/><Relationship Id="rId122" Type="http://schemas.openxmlformats.org/officeDocument/2006/relationships/hyperlink" Target="https://doi.org/10.1109%2FICDE.2007.367856" TargetMode="External"/><Relationship Id="rId143" Type="http://schemas.openxmlformats.org/officeDocument/2006/relationships/hyperlink" Target="https://www.bfdi.bund.de/SharedDocs/Downloads/DE/Konsultationsverfahren/1_Anonymisierung/Positionspapier-Anonymisierung.pdf?__blob=publicationFile&amp;v=6" TargetMode="External"/><Relationship Id="rId148" Type="http://schemas.openxmlformats.org/officeDocument/2006/relationships/hyperlink" Target="https://dejure.org/1978,1" TargetMode="External"/><Relationship Id="rId4" Type="http://schemas.openxmlformats.org/officeDocument/2006/relationships/hyperlink" Target="https://eur-lex.europa.eu/legal-content/DE/TXT/?uri=CELEX:12012P/TXT" TargetMode="External"/><Relationship Id="rId9" Type="http://schemas.openxmlformats.org/officeDocument/2006/relationships/hyperlink" Target="https://dejure.org/2017,15139" TargetMode="External"/><Relationship Id="rId26" Type="http://schemas.openxmlformats.org/officeDocument/2006/relationships/hyperlink" Target="https://juris.bundesgerichtshof.de/cgi-bin/rechtsprechung/document.py?Gericht=bgh&amp;Art=en&amp;nr=107623&amp;pos=0&amp;anz=1" TargetMode="External"/><Relationship Id="rId47" Type="http://schemas.openxmlformats.org/officeDocument/2006/relationships/hyperlink" Target="https://eur-lex.europa.eu/legal-content/DE/TXT/?uri=CELEX%3A62019CA0061&amp;qid=1703360472835" TargetMode="External"/><Relationship Id="rId68" Type="http://schemas.openxmlformats.org/officeDocument/2006/relationships/hyperlink" Target="https://www.gesundheitsdatenschutz.org/html/dsfa.php" TargetMode="External"/><Relationship Id="rId89" Type="http://schemas.openxmlformats.org/officeDocument/2006/relationships/hyperlink" Target="https://doi.org/10.3139/9783446457041" TargetMode="External"/><Relationship Id="rId112" Type="http://schemas.openxmlformats.org/officeDocument/2006/relationships/hyperlink" Target="https://taz.de/Datenschutz-bei-Gentests/!5588812/" TargetMode="External"/><Relationship Id="rId133" Type="http://schemas.openxmlformats.org/officeDocument/2006/relationships/hyperlink" Target="https://github.com/hukkelas/deep_privacy2" TargetMode="External"/><Relationship Id="rId154" Type="http://schemas.openxmlformats.org/officeDocument/2006/relationships/hyperlink" Target="https://www.gesetze-im-internet.de/krwg/__3.html" TargetMode="External"/><Relationship Id="rId16" Type="http://schemas.openxmlformats.org/officeDocument/2006/relationships/hyperlink" Target="https://eur-lex.europa.eu/legal-content/de/TXT/?uri=CELEX:62021CJ0252" TargetMode="External"/><Relationship Id="rId37" Type="http://schemas.openxmlformats.org/officeDocument/2006/relationships/hyperlink" Target="https://stiftungdatenschutz.org/fileadmin/Redaktion/Dokumente/Anonymisierung_personenbezogener_Daten/SDS_Studie_Grundsatzregeln_Web_01.pdf" TargetMode="External"/><Relationship Id="rId58" Type="http://schemas.openxmlformats.org/officeDocument/2006/relationships/hyperlink" Target="https://www.landesrecht-bw.de/bsbw/document/JURE235012226" TargetMode="External"/><Relationship Id="rId79" Type="http://schemas.openxmlformats.org/officeDocument/2006/relationships/hyperlink" Target="https://www.hhs.gov/hipaa/for-professionals/privacy/special-topics/de-identification/index.html" TargetMode="External"/><Relationship Id="rId102" Type="http://schemas.openxmlformats.org/officeDocument/2006/relationships/hyperlink" Target="https://doi.org/10.1016/j.compmedimag.2019.101684" TargetMode="External"/><Relationship Id="rId123" Type="http://schemas.openxmlformats.org/officeDocument/2006/relationships/hyperlink" Target="https://ec.europa.eu/justice/article-29/documentation/opinion-recommendation/index_en.htm" TargetMode="External"/><Relationship Id="rId144" Type="http://schemas.openxmlformats.org/officeDocument/2006/relationships/hyperlink" Target="https://www.ris.bka.gv.at/Dokumente/Dsk/DSBT_20181205_DSB_D123_270_0009_DSB_2018_00/DSBT_20181205_DSB_D123_270_0009_DSB_2018_00.html" TargetMode="External"/><Relationship Id="rId90" Type="http://schemas.openxmlformats.org/officeDocument/2006/relationships/hyperlink" Target="https://doi.org/10.1142/S0218488502001648" TargetMode="External"/><Relationship Id="rId27" Type="http://schemas.openxmlformats.org/officeDocument/2006/relationships/hyperlink" Target="https://bravors.brandenburg.de/gesetze/bbgdsg" TargetMode="External"/><Relationship Id="rId48" Type="http://schemas.openxmlformats.org/officeDocument/2006/relationships/hyperlink" Target="http://ds-gvo.gesundheitsdatenschutz.org/html/einwilligung.php" TargetMode="External"/><Relationship Id="rId69" Type="http://schemas.openxmlformats.org/officeDocument/2006/relationships/hyperlink" Target="https://www.bfdi.bund.de/SharedDocs/Downloads/DE/GPA/2005_27GPA_MontreuxDSInGlobalisiertenWelt.html" TargetMode="External"/><Relationship Id="rId113" Type="http://schemas.openxmlformats.org/officeDocument/2006/relationships/hyperlink" Target="https://www.borncity.com/blog/2023/10/22/kundendaten-von-genom-analyseanbieter-23andme-im-netz-aufgetaucht/" TargetMode="External"/><Relationship Id="rId134" Type="http://schemas.openxmlformats.org/officeDocument/2006/relationships/hyperlink" Target="https://github.com/ORB-HD/defac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3AC6E-5DB5-4F69-AE0B-E2FB48AA2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36606</Words>
  <Characters>230619</Characters>
  <Application>Microsoft Office Word</Application>
  <DocSecurity>0</DocSecurity>
  <Lines>1921</Lines>
  <Paragraphs>533</Paragraphs>
  <ScaleCrop>false</ScaleCrop>
  <HeadingPairs>
    <vt:vector size="4" baseType="variant">
      <vt:variant>
        <vt:lpstr>Titel</vt:lpstr>
      </vt:variant>
      <vt:variant>
        <vt:i4>1</vt:i4>
      </vt:variant>
      <vt:variant>
        <vt:lpstr>Überschriften</vt:lpstr>
      </vt:variant>
      <vt:variant>
        <vt:i4>37</vt:i4>
      </vt:variant>
    </vt:vector>
  </HeadingPairs>
  <TitlesOfParts>
    <vt:vector size="38" baseType="lpstr">
      <vt:lpstr>Arbeitshilfe zur Anonymisierung und Pseudonymisierung</vt:lpstr>
      <vt:lpstr>Zusammenfassung</vt:lpstr>
      <vt:lpstr>Vorwort zur zweiten Fassung</vt:lpstr>
      <vt:lpstr>Einleitung</vt:lpstr>
      <vt:lpstr>Abgrenzung/Klarstellung</vt:lpstr>
      <vt:lpstr>Allgemeines</vt:lpstr>
      <vt:lpstr>Begriffsbestimmungen</vt:lpstr>
      <vt:lpstr>    Personenbezogene Daten</vt:lpstr>
      <vt:lpstr>    Pseudonymisierung</vt:lpstr>
      <vt:lpstr>    Pseudonyme Daten</vt:lpstr>
      <vt:lpstr>    Anonymisierung</vt:lpstr>
      <vt:lpstr>        Deutsche vs. EU-Regelung</vt:lpstr>
      <vt:lpstr>        Von der EU-Vorgabe abweichende Regelungen</vt:lpstr>
      <vt:lpstr>    Anonyme Daten</vt:lpstr>
      <vt:lpstr>    Pseudonyme vs. anonyme Daten: Kurzdarstellung der Unterschiede</vt:lpstr>
      <vt:lpstr>Rechtliche Rahmenbedingungen</vt:lpstr>
      <vt:lpstr>    Erlaubnistatbestand Pseudonymisierung/Anonymisierung</vt:lpstr>
      <vt:lpstr>        Einwilligung</vt:lpstr>
      <vt:lpstr>        Sonderfall „Zweckvereinbarkeit“</vt:lpstr>
      <vt:lpstr>        Sonderfall Forschung</vt:lpstr>
      <vt:lpstr>    Nachweispflichten</vt:lpstr>
      <vt:lpstr>    Betroffenenrechte</vt:lpstr>
      <vt:lpstr>        Anonyme Daten und Betroffenenrechte</vt:lpstr>
      <vt:lpstr>        Pseudonyme Daten und Betroffenenrechte</vt:lpstr>
      <vt:lpstr>        Information bei Zweckänderung</vt:lpstr>
      <vt:lpstr>    Privacy by Design/Default</vt:lpstr>
      <vt:lpstr>    Datenschutz-Folgenabschätzung</vt:lpstr>
      <vt:lpstr>Sonderfall: Genetische Daten/Biomaterial</vt:lpstr>
      <vt:lpstr>    Biomaterial und Einwilligung</vt:lpstr>
      <vt:lpstr>Exkurs: HIPAA und De-Identification – der amerikanische Weg</vt:lpstr>
      <vt:lpstr>    Health Insurance Portability and Accountability Act</vt:lpstr>
      <vt:lpstr>Hands on: Wie geht man vor?</vt:lpstr>
      <vt:lpstr>    Vorüberlegungen</vt:lpstr>
      <vt:lpstr>        Festlegung: Pseudonymisierung oder Anonymisierung?</vt:lpstr>
      <vt:lpstr>        Pseudonymisierung durch denselben Verantwortlichen</vt:lpstr>
      <vt:lpstr>        Datentreuhänder: Rahmenbedingungen</vt:lpstr>
      <vt:lpstr>        Anonymisierung durch denselben Verantwortlichen</vt:lpstr>
      <vt:lpstr>        Zu beachtende Einflussfaktoren</vt:lpstr>
    </vt:vector>
  </TitlesOfParts>
  <Manager>Dr. Bernd Schütze</Manager>
  <Company>GMDS, GDD, bvitg und BvD</Company>
  <LinksUpToDate>false</LinksUpToDate>
  <CharactersWithSpaces>266692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Praxishilfe zur Anonymisierung und Pseudonymisierung</dc:title>
  <dc:subject>Umgang mit den Themen Anonymisierung und Pseudonymisierung aus rechtlicher Sicht</dc:subject>
  <dc:creator>Gemeinsame Arbeitsgruppe bestehend aus Mitgliedern von GMDS, GDD, bvitg und BvD</dc:creator>
  <cp:keywords>DS-GVO Anonymisierung Pseudonymisierung</cp:keywords>
  <dc:description>Copyright:_x000d_
Creative Commons-Lizenz 4.0 International_x000d_
(CC BY-SA 4.0)</dc:description>
  <cp:lastModifiedBy>Bernd Schütze</cp:lastModifiedBy>
  <cp:revision>102</cp:revision>
  <dcterms:created xsi:type="dcterms:W3CDTF">2023-11-25T09:01:00Z</dcterms:created>
  <dcterms:modified xsi:type="dcterms:W3CDTF">2024-02-22T06:20:00Z</dcterms:modified>
  <dc:language>de-DE</dc:language>
</cp:coreProperties>
</file>