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8B295" w14:textId="3FC94D96" w:rsidR="00AE4EA7" w:rsidRDefault="007F605E">
      <w:pPr>
        <w:pStyle w:val="Titel"/>
      </w:pPr>
      <w:r>
        <w:t>Praxishilfe zu</w:t>
      </w:r>
      <w:r w:rsidR="00687085">
        <w:t xml:space="preserve">m Umgang mit Erlaubnistatbeständen bei der Verarbeitung von </w:t>
      </w:r>
      <w:r w:rsidR="008F202B">
        <w:t>G</w:t>
      </w:r>
      <w:r w:rsidR="00687085">
        <w:t>esundheitsdaten und genetischen Daten</w:t>
      </w:r>
    </w:p>
    <w:p w14:paraId="5DC7F557" w14:textId="77777777" w:rsidR="00AE4EA7" w:rsidRDefault="00AE4EA7"/>
    <w:p w14:paraId="3524D585" w14:textId="77777777" w:rsidR="00B537FB" w:rsidRDefault="00B537FB"/>
    <w:p w14:paraId="5B1BE412" w14:textId="08FEDECB" w:rsidR="00AE4EA7" w:rsidRDefault="00990A0B">
      <w:pPr>
        <w:rPr>
          <w:rFonts w:cs="Arial"/>
          <w:sz w:val="24"/>
          <w:szCs w:val="24"/>
        </w:rPr>
      </w:pPr>
      <w:r>
        <w:rPr>
          <w:rFonts w:cs="Arial"/>
          <w:sz w:val="24"/>
          <w:szCs w:val="24"/>
        </w:rPr>
        <w:t>Erarbeitet von</w:t>
      </w:r>
      <w:r w:rsidR="00971658">
        <w:rPr>
          <w:rFonts w:cs="Arial"/>
          <w:sz w:val="24"/>
          <w:szCs w:val="24"/>
        </w:rPr>
        <w:t xml:space="preserve"> Mitgliedern aus den nachfolgend genannten </w:t>
      </w:r>
      <w:r w:rsidR="00971658" w:rsidRPr="005F5895">
        <w:rPr>
          <w:rFonts w:cs="Arial"/>
          <w:sz w:val="24"/>
          <w:szCs w:val="24"/>
        </w:rPr>
        <w:t>Verbänden</w:t>
      </w:r>
      <w:r w:rsidR="00AC559B">
        <w:rPr>
          <w:rFonts w:cs="Arial"/>
          <w:sz w:val="24"/>
          <w:szCs w:val="24"/>
        </w:rPr>
        <w:t>:</w:t>
      </w:r>
    </w:p>
    <w:p w14:paraId="58095BBB" w14:textId="77777777" w:rsidR="00AE4EA7" w:rsidRDefault="00AE4EA7">
      <w:pPr>
        <w:rPr>
          <w:rFonts w:cs="Arial"/>
          <w:sz w:val="24"/>
          <w:szCs w:val="28"/>
        </w:rPr>
      </w:pPr>
    </w:p>
    <w:p w14:paraId="7A1102ED" w14:textId="77777777" w:rsidR="00AE4EA7" w:rsidRDefault="00990A0B">
      <w:pPr>
        <w:rPr>
          <w:rFonts w:cs="Arial"/>
          <w:sz w:val="24"/>
          <w:szCs w:val="28"/>
        </w:rPr>
      </w:pPr>
      <w:r>
        <w:rPr>
          <w:rFonts w:cs="Arial"/>
          <w:noProof/>
          <w:sz w:val="24"/>
          <w:szCs w:val="28"/>
        </w:rPr>
        <w:drawing>
          <wp:anchor distT="0" distB="0" distL="114300" distR="114300" simplePos="0" relativeHeight="2" behindDoc="0" locked="0" layoutInCell="0" allowOverlap="1" wp14:anchorId="6E21DE0A" wp14:editId="24501727">
            <wp:simplePos x="0" y="0"/>
            <wp:positionH relativeFrom="column">
              <wp:posOffset>3957955</wp:posOffset>
            </wp:positionH>
            <wp:positionV relativeFrom="paragraph">
              <wp:posOffset>235585</wp:posOffset>
            </wp:positionV>
            <wp:extent cx="1990725" cy="657225"/>
            <wp:effectExtent l="0" t="0" r="0" b="0"/>
            <wp:wrapTight wrapText="bothSides">
              <wp:wrapPolygon edited="0">
                <wp:start x="-13" y="0"/>
                <wp:lineTo x="-13" y="21256"/>
                <wp:lineTo x="21484" y="21256"/>
                <wp:lineTo x="21484" y="0"/>
                <wp:lineTo x="-1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8"/>
                    <a:stretch>
                      <a:fillRect/>
                    </a:stretch>
                  </pic:blipFill>
                  <pic:spPr bwMode="auto">
                    <a:xfrm>
                      <a:off x="0" y="0"/>
                      <a:ext cx="1990725" cy="657225"/>
                    </a:xfrm>
                    <a:prstGeom prst="rect">
                      <a:avLst/>
                    </a:prstGeom>
                  </pic:spPr>
                </pic:pic>
              </a:graphicData>
            </a:graphic>
          </wp:anchor>
        </w:drawing>
      </w:r>
    </w:p>
    <w:p w14:paraId="79AA30CF" w14:textId="77777777" w:rsidR="00AE4EA7" w:rsidRDefault="00990A0B">
      <w:pPr>
        <w:spacing w:after="0"/>
        <w:jc w:val="left"/>
        <w:rPr>
          <w:rFonts w:cs="Arial"/>
          <w:sz w:val="24"/>
          <w:szCs w:val="28"/>
        </w:rPr>
      </w:pPr>
      <w:r>
        <w:rPr>
          <w:rFonts w:cs="Arial"/>
          <w:sz w:val="24"/>
          <w:szCs w:val="28"/>
        </w:rPr>
        <w:t xml:space="preserve">Deutsche Gesellschaft für </w:t>
      </w:r>
      <w:r w:rsidRPr="005F5895">
        <w:rPr>
          <w:rFonts w:cs="Arial"/>
          <w:sz w:val="24"/>
          <w:szCs w:val="28"/>
        </w:rPr>
        <w:t>Medizinische</w:t>
      </w:r>
      <w:r>
        <w:rPr>
          <w:rFonts w:cs="Arial"/>
          <w:sz w:val="24"/>
          <w:szCs w:val="28"/>
        </w:rPr>
        <w:t xml:space="preserve"> Informatik, Biometrie und Epidemiologie e. V. (GMDS)</w:t>
      </w:r>
    </w:p>
    <w:p w14:paraId="111F7900" w14:textId="77777777" w:rsidR="00AE4EA7" w:rsidRDefault="00990A0B">
      <w:pPr>
        <w:jc w:val="left"/>
        <w:rPr>
          <w:rFonts w:cs="Arial"/>
          <w:sz w:val="24"/>
          <w:szCs w:val="28"/>
        </w:rPr>
      </w:pPr>
      <w:r>
        <w:rPr>
          <w:rFonts w:cs="Arial"/>
          <w:sz w:val="24"/>
          <w:szCs w:val="28"/>
        </w:rPr>
        <w:t>Arbeitsgruppe „Datenschutz und IT-Sicherheit im Gesundheitswesen“</w:t>
      </w:r>
    </w:p>
    <w:p w14:paraId="7E9254EB" w14:textId="6F0D3D7D" w:rsidR="00971658" w:rsidRDefault="00971658" w:rsidP="00971658"/>
    <w:p w14:paraId="190F0971" w14:textId="77777777" w:rsidR="00AC559B" w:rsidRDefault="00AC559B" w:rsidP="00971658"/>
    <w:p w14:paraId="389369E8" w14:textId="4F55065A" w:rsidR="00971658" w:rsidRDefault="00971658" w:rsidP="00971658">
      <w:pPr>
        <w:rPr>
          <w:rFonts w:cs="Arial"/>
          <w:szCs w:val="28"/>
        </w:rPr>
      </w:pPr>
      <w:r>
        <w:rPr>
          <w:rFonts w:cs="Arial"/>
          <w:noProof/>
          <w:szCs w:val="28"/>
          <w:lang w:eastAsia="de-DE"/>
        </w:rPr>
        <w:drawing>
          <wp:anchor distT="0" distB="0" distL="114300" distR="114300" simplePos="0" relativeHeight="251655680" behindDoc="1" locked="0" layoutInCell="1" allowOverlap="1" wp14:anchorId="28834752" wp14:editId="4A0E4B13">
            <wp:simplePos x="0" y="0"/>
            <wp:positionH relativeFrom="column">
              <wp:posOffset>4280535</wp:posOffset>
            </wp:positionH>
            <wp:positionV relativeFrom="paragraph">
              <wp:posOffset>28575</wp:posOffset>
            </wp:positionV>
            <wp:extent cx="1557655" cy="972820"/>
            <wp:effectExtent l="0" t="0" r="0" b="0"/>
            <wp:wrapTight wrapText="bothSides">
              <wp:wrapPolygon edited="0">
                <wp:start x="2906" y="4230"/>
                <wp:lineTo x="2642" y="19034"/>
                <wp:lineTo x="19284" y="19034"/>
                <wp:lineTo x="19284" y="4230"/>
                <wp:lineTo x="2906" y="423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65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2B975" w14:textId="6F9C6ED1" w:rsidR="00971658" w:rsidRDefault="00971658" w:rsidP="00971658">
      <w:pPr>
        <w:rPr>
          <w:rFonts w:cs="Arial"/>
          <w:szCs w:val="28"/>
        </w:rPr>
      </w:pPr>
      <w:r>
        <w:rPr>
          <w:rFonts w:cs="Arial"/>
          <w:szCs w:val="28"/>
        </w:rPr>
        <w:t>Berufsverband der Datenschutzbeauftragten Deutschlands (BvD) e. V.</w:t>
      </w:r>
    </w:p>
    <w:p w14:paraId="0D1A0A72" w14:textId="7DA2A748" w:rsidR="00AE4EA7" w:rsidRDefault="00AE4EA7">
      <w:pPr>
        <w:rPr>
          <w:rFonts w:cs="Arial"/>
          <w:sz w:val="24"/>
          <w:szCs w:val="24"/>
        </w:rPr>
      </w:pPr>
    </w:p>
    <w:p w14:paraId="42338399" w14:textId="4BD35A79" w:rsidR="00971658" w:rsidRDefault="00971658">
      <w:pPr>
        <w:rPr>
          <w:rFonts w:cs="Arial"/>
          <w:sz w:val="24"/>
          <w:szCs w:val="24"/>
        </w:rPr>
      </w:pPr>
    </w:p>
    <w:p w14:paraId="2DBF8ECC" w14:textId="77777777" w:rsidR="00971658" w:rsidRDefault="00971658">
      <w:pPr>
        <w:rPr>
          <w:rFonts w:cs="Arial"/>
          <w:sz w:val="24"/>
          <w:szCs w:val="28"/>
        </w:rPr>
      </w:pPr>
    </w:p>
    <w:p w14:paraId="5BA20B07" w14:textId="77777777" w:rsidR="00CA188B" w:rsidRDefault="00CA188B">
      <w:pPr>
        <w:jc w:val="left"/>
        <w:sectPr w:rsidR="00CA188B" w:rsidSect="00FE2688">
          <w:pgSz w:w="11906" w:h="16838"/>
          <w:pgMar w:top="1417" w:right="1417" w:bottom="1134" w:left="1417" w:header="708" w:footer="708" w:gutter="0"/>
          <w:cols w:space="720"/>
          <w:formProt w:val="0"/>
          <w:docGrid w:linePitch="360" w:charSpace="4096"/>
        </w:sectPr>
      </w:pPr>
    </w:p>
    <w:p w14:paraId="74F8CB3B" w14:textId="640E83ED" w:rsidR="00AE4EA7" w:rsidRDefault="00990A0B">
      <w:pPr>
        <w:spacing w:after="0"/>
        <w:rPr>
          <w:rFonts w:cstheme="minorHAnsi"/>
          <w:b/>
          <w:bCs/>
          <w:sz w:val="28"/>
          <w:szCs w:val="28"/>
        </w:rPr>
      </w:pPr>
      <w:r>
        <w:rPr>
          <w:rFonts w:cstheme="minorHAnsi"/>
          <w:b/>
          <w:bCs/>
          <w:sz w:val="28"/>
          <w:szCs w:val="28"/>
        </w:rPr>
        <w:lastRenderedPageBreak/>
        <w:t xml:space="preserve">Version </w:t>
      </w:r>
      <w:r w:rsidR="009E49BA">
        <w:rPr>
          <w:rFonts w:cstheme="minorHAnsi"/>
          <w:b/>
          <w:bCs/>
          <w:sz w:val="28"/>
          <w:szCs w:val="28"/>
        </w:rPr>
        <w:t>1</w:t>
      </w:r>
    </w:p>
    <w:p w14:paraId="07998CE6" w14:textId="379CF117" w:rsidR="00AE4EA7" w:rsidRDefault="00990A0B" w:rsidP="00400DCF">
      <w:pPr>
        <w:spacing w:after="80"/>
        <w:rPr>
          <w:rFonts w:cstheme="minorHAnsi"/>
        </w:rPr>
      </w:pPr>
      <w:r>
        <w:rPr>
          <w:rFonts w:cstheme="minorHAnsi"/>
        </w:rPr>
        <w:t xml:space="preserve">Stand: </w:t>
      </w:r>
      <w:r w:rsidR="007734F4">
        <w:rPr>
          <w:rFonts w:cstheme="minorHAnsi"/>
        </w:rPr>
        <w:t>6</w:t>
      </w:r>
      <w:r>
        <w:rPr>
          <w:rFonts w:cstheme="minorHAnsi"/>
        </w:rPr>
        <w:t xml:space="preserve">. </w:t>
      </w:r>
      <w:r w:rsidR="005C33C5">
        <w:rPr>
          <w:rFonts w:cstheme="minorHAnsi"/>
        </w:rPr>
        <w:t>Juli</w:t>
      </w:r>
      <w:r>
        <w:rPr>
          <w:rFonts w:cstheme="minorHAnsi"/>
        </w:rPr>
        <w:t xml:space="preserve"> </w:t>
      </w:r>
      <w:r w:rsidRPr="005F5895">
        <w:rPr>
          <w:rFonts w:cstheme="minorHAnsi"/>
        </w:rPr>
        <w:t>2024</w:t>
      </w:r>
    </w:p>
    <w:p w14:paraId="28BF0DC7" w14:textId="77777777" w:rsidR="00AE4EA7" w:rsidRDefault="00990A0B">
      <w:pPr>
        <w:spacing w:after="80"/>
        <w:rPr>
          <w:rFonts w:cstheme="minorHAnsi"/>
          <w:b/>
        </w:rPr>
      </w:pPr>
      <w:r>
        <w:rPr>
          <w:rFonts w:cstheme="minorHAnsi"/>
          <w:b/>
        </w:rPr>
        <w:t>Autoren (alphabetisch)</w:t>
      </w:r>
    </w:p>
    <w:p w14:paraId="65F3AF6F" w14:textId="77777777" w:rsidR="009E49BA" w:rsidRDefault="009E49BA">
      <w:pPr>
        <w:spacing w:after="80"/>
        <w:rPr>
          <w:rFonts w:cstheme="minorHAnsi"/>
          <w:b/>
        </w:rPr>
      </w:pPr>
    </w:p>
    <w:tbl>
      <w:tblPr>
        <w:tblStyle w:val="Tabellenraster"/>
        <w:tblW w:w="9212" w:type="dxa"/>
        <w:tblLayout w:type="fixed"/>
        <w:tblLook w:val="04A0" w:firstRow="1" w:lastRow="0" w:firstColumn="1" w:lastColumn="0" w:noHBand="0" w:noVBand="1"/>
      </w:tblPr>
      <w:tblGrid>
        <w:gridCol w:w="2660"/>
        <w:gridCol w:w="6552"/>
      </w:tblGrid>
      <w:tr w:rsidR="009E49BA" w14:paraId="023529C5" w14:textId="77777777" w:rsidTr="007734F4">
        <w:tc>
          <w:tcPr>
            <w:tcW w:w="2660" w:type="dxa"/>
            <w:tcBorders>
              <w:top w:val="nil"/>
              <w:left w:val="nil"/>
              <w:bottom w:val="nil"/>
              <w:right w:val="nil"/>
            </w:tcBorders>
            <w:shd w:val="clear" w:color="auto" w:fill="auto"/>
          </w:tcPr>
          <w:p w14:paraId="12C8F69D" w14:textId="2594AD94" w:rsidR="009E49BA" w:rsidRDefault="009E49BA" w:rsidP="00E819A2">
            <w:pPr>
              <w:widowControl w:val="0"/>
              <w:spacing w:after="0" w:line="240" w:lineRule="auto"/>
              <w:rPr>
                <w:rFonts w:eastAsia="Calibri" w:cstheme="minorHAnsi"/>
              </w:rPr>
            </w:pPr>
            <w:r w:rsidRPr="009E49BA">
              <w:rPr>
                <w:rFonts w:eastAsia="Calibri" w:cstheme="minorHAnsi"/>
              </w:rPr>
              <w:t>Georg Karl Bittorf</w:t>
            </w:r>
          </w:p>
        </w:tc>
        <w:tc>
          <w:tcPr>
            <w:tcW w:w="6552" w:type="dxa"/>
            <w:tcBorders>
              <w:top w:val="nil"/>
              <w:left w:val="nil"/>
              <w:bottom w:val="nil"/>
              <w:right w:val="nil"/>
            </w:tcBorders>
            <w:shd w:val="clear" w:color="auto" w:fill="auto"/>
          </w:tcPr>
          <w:p w14:paraId="42A9ABEB" w14:textId="23E3354A" w:rsidR="009E49BA" w:rsidRDefault="009E49BA" w:rsidP="009E49BA">
            <w:pPr>
              <w:widowControl w:val="0"/>
              <w:spacing w:after="0" w:line="240" w:lineRule="auto"/>
              <w:rPr>
                <w:rFonts w:eastAsia="Calibri" w:cstheme="minorHAnsi"/>
              </w:rPr>
            </w:pPr>
            <w:r w:rsidRPr="009E49BA">
              <w:rPr>
                <w:rFonts w:eastAsia="Calibri" w:cstheme="minorHAnsi"/>
              </w:rPr>
              <w:t>Arbeiterwohlfahrt</w:t>
            </w:r>
            <w:r>
              <w:rPr>
                <w:rFonts w:eastAsia="Calibri" w:cstheme="minorHAnsi"/>
              </w:rPr>
              <w:t xml:space="preserve">, </w:t>
            </w:r>
            <w:r w:rsidRPr="009E49BA">
              <w:rPr>
                <w:rFonts w:eastAsia="Calibri" w:cstheme="minorHAnsi"/>
              </w:rPr>
              <w:t xml:space="preserve">Bezirksverband </w:t>
            </w:r>
            <w:r w:rsidRPr="005F5895">
              <w:rPr>
                <w:rFonts w:eastAsia="Calibri" w:cstheme="minorHAnsi"/>
              </w:rPr>
              <w:t>Westliches</w:t>
            </w:r>
            <w:r w:rsidRPr="009E49BA">
              <w:rPr>
                <w:rFonts w:eastAsia="Calibri" w:cstheme="minorHAnsi"/>
              </w:rPr>
              <w:t xml:space="preserve"> Westfalen </w:t>
            </w:r>
            <w:r w:rsidRPr="005F5895">
              <w:rPr>
                <w:rFonts w:eastAsia="Calibri" w:cstheme="minorHAnsi"/>
              </w:rPr>
              <w:t>e.V.</w:t>
            </w:r>
          </w:p>
        </w:tc>
      </w:tr>
      <w:tr w:rsidR="009E49BA" w14:paraId="7FE87C87" w14:textId="77777777" w:rsidTr="007734F4">
        <w:tc>
          <w:tcPr>
            <w:tcW w:w="2660" w:type="dxa"/>
            <w:tcBorders>
              <w:top w:val="nil"/>
              <w:left w:val="nil"/>
              <w:bottom w:val="nil"/>
              <w:right w:val="nil"/>
            </w:tcBorders>
            <w:shd w:val="clear" w:color="auto" w:fill="auto"/>
          </w:tcPr>
          <w:p w14:paraId="7E964F7E" w14:textId="347750C5" w:rsidR="009E49BA" w:rsidRPr="009E49BA" w:rsidRDefault="009E49BA" w:rsidP="00E819A2">
            <w:pPr>
              <w:widowControl w:val="0"/>
              <w:spacing w:after="0" w:line="240" w:lineRule="auto"/>
              <w:rPr>
                <w:rFonts w:eastAsia="Calibri" w:cstheme="minorHAnsi"/>
              </w:rPr>
            </w:pPr>
            <w:r w:rsidRPr="009E49BA">
              <w:rPr>
                <w:rFonts w:eastAsia="Calibri" w:cstheme="minorHAnsi"/>
              </w:rPr>
              <w:t xml:space="preserve">Stephan </w:t>
            </w:r>
            <w:r w:rsidRPr="005F5895">
              <w:rPr>
                <w:rFonts w:eastAsia="Calibri" w:cstheme="minorHAnsi"/>
              </w:rPr>
              <w:t>Kloep</w:t>
            </w:r>
          </w:p>
        </w:tc>
        <w:tc>
          <w:tcPr>
            <w:tcW w:w="6552" w:type="dxa"/>
            <w:tcBorders>
              <w:top w:val="nil"/>
              <w:left w:val="nil"/>
              <w:bottom w:val="nil"/>
              <w:right w:val="nil"/>
            </w:tcBorders>
            <w:shd w:val="clear" w:color="auto" w:fill="auto"/>
          </w:tcPr>
          <w:p w14:paraId="67749E44" w14:textId="7FBA4995" w:rsidR="009E49BA" w:rsidRDefault="009E49BA" w:rsidP="00E819A2">
            <w:pPr>
              <w:widowControl w:val="0"/>
              <w:spacing w:after="0" w:line="240" w:lineRule="auto"/>
              <w:rPr>
                <w:rFonts w:eastAsia="Calibri" w:cstheme="minorHAnsi"/>
              </w:rPr>
            </w:pPr>
            <w:r w:rsidRPr="009E49BA">
              <w:rPr>
                <w:rFonts w:eastAsia="Calibri" w:cstheme="minorHAnsi"/>
              </w:rPr>
              <w:t>Universität Bremen</w:t>
            </w:r>
            <w:r>
              <w:rPr>
                <w:rFonts w:eastAsia="Calibri" w:cstheme="minorHAnsi"/>
              </w:rPr>
              <w:t xml:space="preserve">, </w:t>
            </w:r>
            <w:r w:rsidRPr="009E49BA">
              <w:rPr>
                <w:rFonts w:eastAsia="Calibri" w:cstheme="minorHAnsi"/>
              </w:rPr>
              <w:t xml:space="preserve">Kompetenzzentrum für </w:t>
            </w:r>
            <w:r w:rsidRPr="005F5895">
              <w:rPr>
                <w:rFonts w:eastAsia="Calibri" w:cstheme="minorHAnsi"/>
              </w:rPr>
              <w:t>Klinische</w:t>
            </w:r>
            <w:r w:rsidRPr="009E49BA">
              <w:rPr>
                <w:rFonts w:eastAsia="Calibri" w:cstheme="minorHAnsi"/>
              </w:rPr>
              <w:t xml:space="preserve"> Studien</w:t>
            </w:r>
          </w:p>
        </w:tc>
      </w:tr>
      <w:tr w:rsidR="009E49BA" w14:paraId="50506EDE" w14:textId="77777777" w:rsidTr="007734F4">
        <w:tc>
          <w:tcPr>
            <w:tcW w:w="2660" w:type="dxa"/>
            <w:tcBorders>
              <w:top w:val="nil"/>
              <w:left w:val="nil"/>
              <w:bottom w:val="nil"/>
              <w:right w:val="nil"/>
            </w:tcBorders>
            <w:shd w:val="clear" w:color="auto" w:fill="auto"/>
          </w:tcPr>
          <w:p w14:paraId="2C128279" w14:textId="178F160C" w:rsidR="009E49BA" w:rsidRDefault="009E49BA" w:rsidP="00E819A2">
            <w:pPr>
              <w:widowControl w:val="0"/>
              <w:spacing w:after="0" w:line="240" w:lineRule="auto"/>
              <w:rPr>
                <w:rFonts w:eastAsia="Calibri" w:cstheme="minorHAnsi"/>
              </w:rPr>
            </w:pPr>
            <w:r w:rsidRPr="009E49BA">
              <w:rPr>
                <w:rFonts w:eastAsia="Calibri" w:cstheme="minorHAnsi"/>
              </w:rPr>
              <w:t xml:space="preserve">Sascha </w:t>
            </w:r>
            <w:r w:rsidRPr="005F5895">
              <w:rPr>
                <w:rFonts w:eastAsia="Calibri" w:cstheme="minorHAnsi"/>
              </w:rPr>
              <w:t>Lotzkat</w:t>
            </w:r>
          </w:p>
        </w:tc>
        <w:tc>
          <w:tcPr>
            <w:tcW w:w="6552" w:type="dxa"/>
            <w:tcBorders>
              <w:top w:val="nil"/>
              <w:left w:val="nil"/>
              <w:bottom w:val="nil"/>
              <w:right w:val="nil"/>
            </w:tcBorders>
            <w:shd w:val="clear" w:color="auto" w:fill="auto"/>
          </w:tcPr>
          <w:p w14:paraId="5D242FF3" w14:textId="47B15FD5" w:rsidR="009E49BA" w:rsidRDefault="00F11B80" w:rsidP="00E819A2">
            <w:pPr>
              <w:widowControl w:val="0"/>
              <w:spacing w:after="0" w:line="240" w:lineRule="auto"/>
              <w:rPr>
                <w:rFonts w:eastAsia="Calibri" w:cstheme="minorHAnsi"/>
              </w:rPr>
            </w:pPr>
            <w:r w:rsidRPr="00F11B80">
              <w:rPr>
                <w:rFonts w:eastAsia="Calibri" w:cstheme="minorHAnsi"/>
              </w:rPr>
              <w:t>Rechtsanwältin und Datenschutzbeauftragte</w:t>
            </w:r>
          </w:p>
        </w:tc>
      </w:tr>
      <w:tr w:rsidR="00AA7328" w14:paraId="0259FA8E" w14:textId="77777777" w:rsidTr="007734F4">
        <w:tc>
          <w:tcPr>
            <w:tcW w:w="2660" w:type="dxa"/>
            <w:tcBorders>
              <w:top w:val="nil"/>
              <w:left w:val="nil"/>
              <w:bottom w:val="nil"/>
              <w:right w:val="nil"/>
            </w:tcBorders>
            <w:shd w:val="clear" w:color="auto" w:fill="auto"/>
          </w:tcPr>
          <w:p w14:paraId="69F65CDC" w14:textId="1FE908AC" w:rsidR="00AA7328" w:rsidRPr="009E49BA" w:rsidRDefault="00AA7328" w:rsidP="00AA7328">
            <w:pPr>
              <w:widowControl w:val="0"/>
              <w:spacing w:after="0" w:line="240" w:lineRule="auto"/>
              <w:rPr>
                <w:rFonts w:eastAsia="Calibri" w:cstheme="minorHAnsi"/>
              </w:rPr>
            </w:pPr>
            <w:r w:rsidRPr="005F5895">
              <w:rPr>
                <w:rFonts w:cstheme="minorHAnsi"/>
              </w:rPr>
              <w:t>Johanne</w:t>
            </w:r>
            <w:r>
              <w:rPr>
                <w:rFonts w:cstheme="minorHAnsi"/>
              </w:rPr>
              <w:t xml:space="preserve">s </w:t>
            </w:r>
            <w:r w:rsidRPr="005F5895">
              <w:rPr>
                <w:rFonts w:cstheme="minorHAnsi"/>
              </w:rPr>
              <w:t>M</w:t>
            </w:r>
            <w:r w:rsidR="00741CDE">
              <w:rPr>
                <w:rFonts w:cstheme="minorHAnsi"/>
              </w:rPr>
              <w:t>ö</w:t>
            </w:r>
            <w:r w:rsidRPr="005F5895">
              <w:rPr>
                <w:rFonts w:cstheme="minorHAnsi"/>
              </w:rPr>
              <w:t>nter</w:t>
            </w:r>
          </w:p>
        </w:tc>
        <w:tc>
          <w:tcPr>
            <w:tcW w:w="6552" w:type="dxa"/>
            <w:tcBorders>
              <w:top w:val="nil"/>
              <w:left w:val="nil"/>
              <w:bottom w:val="nil"/>
              <w:right w:val="nil"/>
            </w:tcBorders>
            <w:shd w:val="clear" w:color="auto" w:fill="auto"/>
          </w:tcPr>
          <w:p w14:paraId="2B554C39" w14:textId="6C8CA48A" w:rsidR="00AA7328" w:rsidRDefault="00AA7328" w:rsidP="00AA7328">
            <w:pPr>
              <w:widowControl w:val="0"/>
              <w:spacing w:after="0" w:line="240" w:lineRule="auto"/>
              <w:rPr>
                <w:rFonts w:eastAsia="Calibri" w:cstheme="minorHAnsi"/>
              </w:rPr>
            </w:pPr>
            <w:r w:rsidRPr="005F5895">
              <w:rPr>
                <w:rFonts w:cstheme="minorHAnsi"/>
              </w:rPr>
              <w:t>CURACON</w:t>
            </w:r>
            <w:r w:rsidRPr="003A1C4D">
              <w:rPr>
                <w:rFonts w:cstheme="minorHAnsi"/>
              </w:rPr>
              <w:t xml:space="preserve"> GmbH Wirtschaftsprüfungsgesellschaft</w:t>
            </w:r>
          </w:p>
        </w:tc>
      </w:tr>
      <w:tr w:rsidR="009E49BA" w14:paraId="01C67FDE" w14:textId="77777777" w:rsidTr="007734F4">
        <w:tc>
          <w:tcPr>
            <w:tcW w:w="2660" w:type="dxa"/>
            <w:tcBorders>
              <w:top w:val="nil"/>
              <w:left w:val="nil"/>
              <w:bottom w:val="nil"/>
              <w:right w:val="nil"/>
            </w:tcBorders>
            <w:shd w:val="clear" w:color="auto" w:fill="auto"/>
          </w:tcPr>
          <w:p w14:paraId="7BC84B75" w14:textId="77777777" w:rsidR="009E49BA" w:rsidRPr="005A1512" w:rsidRDefault="009E49BA" w:rsidP="00E819A2">
            <w:pPr>
              <w:widowControl w:val="0"/>
              <w:spacing w:after="0" w:line="240" w:lineRule="auto"/>
              <w:rPr>
                <w:rFonts w:ascii="Calibri" w:eastAsia="Calibri" w:hAnsi="Calibri" w:cstheme="minorHAnsi"/>
                <w:color w:val="000000" w:themeColor="text1"/>
              </w:rPr>
            </w:pPr>
            <w:r w:rsidRPr="005A1512">
              <w:rPr>
                <w:rFonts w:eastAsia="Calibri" w:cstheme="minorHAnsi"/>
                <w:color w:val="000000" w:themeColor="text1"/>
              </w:rPr>
              <w:t>Regina Mühlich</w:t>
            </w:r>
          </w:p>
        </w:tc>
        <w:tc>
          <w:tcPr>
            <w:tcW w:w="6552" w:type="dxa"/>
            <w:tcBorders>
              <w:top w:val="nil"/>
              <w:left w:val="nil"/>
              <w:bottom w:val="nil"/>
              <w:right w:val="nil"/>
            </w:tcBorders>
            <w:shd w:val="clear" w:color="auto" w:fill="auto"/>
          </w:tcPr>
          <w:p w14:paraId="4E03C5C2" w14:textId="77777777" w:rsidR="009E49BA" w:rsidRPr="005A1512" w:rsidRDefault="009E49BA" w:rsidP="00E819A2">
            <w:pPr>
              <w:widowControl w:val="0"/>
              <w:spacing w:after="0" w:line="240" w:lineRule="auto"/>
              <w:rPr>
                <w:rFonts w:ascii="Calibri" w:eastAsia="Calibri" w:hAnsi="Calibri" w:cstheme="minorHAnsi"/>
                <w:color w:val="000000" w:themeColor="text1"/>
              </w:rPr>
            </w:pPr>
            <w:r w:rsidRPr="005A1512">
              <w:rPr>
                <w:rFonts w:eastAsia="Calibri" w:cstheme="minorHAnsi"/>
                <w:color w:val="000000" w:themeColor="text1"/>
              </w:rPr>
              <w:t>AdOrga Solutions GmbH</w:t>
            </w:r>
          </w:p>
        </w:tc>
      </w:tr>
      <w:tr w:rsidR="009E49BA" w14:paraId="0F4AEA56" w14:textId="77777777" w:rsidTr="007734F4">
        <w:tc>
          <w:tcPr>
            <w:tcW w:w="2660" w:type="dxa"/>
            <w:tcBorders>
              <w:top w:val="nil"/>
              <w:left w:val="nil"/>
              <w:bottom w:val="nil"/>
              <w:right w:val="nil"/>
            </w:tcBorders>
            <w:shd w:val="clear" w:color="auto" w:fill="auto"/>
          </w:tcPr>
          <w:p w14:paraId="77DE7D2F" w14:textId="339A36D0" w:rsidR="009E49BA" w:rsidRPr="005A1512" w:rsidRDefault="009E49BA" w:rsidP="00E819A2">
            <w:pPr>
              <w:widowControl w:val="0"/>
              <w:spacing w:after="0" w:line="240" w:lineRule="auto"/>
              <w:rPr>
                <w:rFonts w:eastAsia="Calibri" w:cstheme="minorHAnsi"/>
                <w:color w:val="000000" w:themeColor="text1"/>
              </w:rPr>
            </w:pPr>
            <w:r w:rsidRPr="005A1512">
              <w:rPr>
                <w:rFonts w:eastAsia="Calibri" w:cstheme="minorHAnsi"/>
                <w:color w:val="000000" w:themeColor="text1"/>
              </w:rPr>
              <w:t>Mark Rüdlin</w:t>
            </w:r>
          </w:p>
        </w:tc>
        <w:tc>
          <w:tcPr>
            <w:tcW w:w="6552" w:type="dxa"/>
            <w:tcBorders>
              <w:top w:val="nil"/>
              <w:left w:val="nil"/>
              <w:bottom w:val="nil"/>
              <w:right w:val="nil"/>
            </w:tcBorders>
            <w:shd w:val="clear" w:color="auto" w:fill="auto"/>
          </w:tcPr>
          <w:p w14:paraId="2D757D0B" w14:textId="13E0B69F" w:rsidR="009E49BA" w:rsidRPr="005A1512" w:rsidRDefault="009E49BA" w:rsidP="00E819A2">
            <w:pPr>
              <w:widowControl w:val="0"/>
              <w:spacing w:after="0" w:line="240" w:lineRule="auto"/>
              <w:rPr>
                <w:rFonts w:eastAsia="Calibri" w:cstheme="minorHAnsi"/>
                <w:color w:val="000000" w:themeColor="text1"/>
              </w:rPr>
            </w:pPr>
            <w:r w:rsidRPr="005A1512">
              <w:rPr>
                <w:rFonts w:eastAsia="Calibri" w:cstheme="minorHAnsi"/>
                <w:color w:val="000000" w:themeColor="text1"/>
              </w:rPr>
              <w:t>Rechtsanwalt + Datenschutzbeauftragter</w:t>
            </w:r>
          </w:p>
        </w:tc>
      </w:tr>
      <w:tr w:rsidR="009E49BA" w14:paraId="464D9D60" w14:textId="77777777" w:rsidTr="007734F4">
        <w:tc>
          <w:tcPr>
            <w:tcW w:w="2660" w:type="dxa"/>
            <w:tcBorders>
              <w:top w:val="nil"/>
              <w:left w:val="nil"/>
              <w:bottom w:val="nil"/>
              <w:right w:val="nil"/>
            </w:tcBorders>
            <w:shd w:val="clear" w:color="auto" w:fill="auto"/>
          </w:tcPr>
          <w:p w14:paraId="527D3240" w14:textId="77777777" w:rsidR="009E49BA" w:rsidRPr="005A1512" w:rsidRDefault="009E49BA" w:rsidP="00E819A2">
            <w:pPr>
              <w:widowControl w:val="0"/>
              <w:spacing w:after="0" w:line="240" w:lineRule="auto"/>
              <w:rPr>
                <w:rFonts w:ascii="Calibri" w:eastAsia="Calibri" w:hAnsi="Calibri" w:cstheme="minorHAnsi"/>
                <w:color w:val="000000" w:themeColor="text1"/>
              </w:rPr>
            </w:pPr>
            <w:r w:rsidRPr="005A1512">
              <w:rPr>
                <w:rFonts w:eastAsia="Calibri" w:cstheme="minorHAnsi"/>
                <w:color w:val="000000" w:themeColor="text1"/>
              </w:rPr>
              <w:t>Bernd Schütze</w:t>
            </w:r>
          </w:p>
        </w:tc>
        <w:tc>
          <w:tcPr>
            <w:tcW w:w="6552" w:type="dxa"/>
            <w:tcBorders>
              <w:top w:val="nil"/>
              <w:left w:val="nil"/>
              <w:bottom w:val="nil"/>
              <w:right w:val="nil"/>
            </w:tcBorders>
            <w:shd w:val="clear" w:color="auto" w:fill="auto"/>
          </w:tcPr>
          <w:p w14:paraId="27FD9519" w14:textId="77777777" w:rsidR="009E49BA" w:rsidRPr="005A1512" w:rsidRDefault="009E49BA" w:rsidP="00E819A2">
            <w:pPr>
              <w:widowControl w:val="0"/>
              <w:spacing w:after="0" w:line="240" w:lineRule="auto"/>
              <w:rPr>
                <w:rFonts w:ascii="Calibri" w:eastAsia="Calibri" w:hAnsi="Calibri" w:cstheme="minorHAnsi"/>
                <w:color w:val="000000" w:themeColor="text1"/>
              </w:rPr>
            </w:pPr>
            <w:r w:rsidRPr="005A1512">
              <w:rPr>
                <w:rFonts w:eastAsia="Calibri" w:cstheme="minorHAnsi"/>
                <w:color w:val="000000" w:themeColor="text1"/>
              </w:rPr>
              <w:t>Deutsche Telekom Healthcare and Security GmbH</w:t>
            </w:r>
          </w:p>
        </w:tc>
      </w:tr>
    </w:tbl>
    <w:p w14:paraId="67BF3E75" w14:textId="77777777" w:rsidR="009E49BA" w:rsidRDefault="009E49BA">
      <w:pPr>
        <w:spacing w:after="80"/>
        <w:rPr>
          <w:rFonts w:cstheme="minorHAnsi"/>
          <w:b/>
        </w:rPr>
      </w:pPr>
    </w:p>
    <w:p w14:paraId="16900D71" w14:textId="77777777" w:rsidR="009E0EA3" w:rsidRDefault="009E0EA3">
      <w:pPr>
        <w:spacing w:after="80"/>
        <w:rPr>
          <w:rFonts w:cstheme="minorHAnsi"/>
          <w:b/>
        </w:rPr>
      </w:pPr>
    </w:p>
    <w:p w14:paraId="5CAA2B3B" w14:textId="77777777" w:rsidR="009E49BA" w:rsidRDefault="009E49BA">
      <w:pPr>
        <w:spacing w:after="80"/>
        <w:rPr>
          <w:rFonts w:cstheme="minorHAnsi"/>
          <w:b/>
        </w:rPr>
      </w:pPr>
    </w:p>
    <w:p w14:paraId="709ED743" w14:textId="77777777" w:rsidR="00AE4EA7" w:rsidRDefault="00990A0B">
      <w:pPr>
        <w:spacing w:after="0"/>
        <w:rPr>
          <w:rFonts w:ascii="Cambria" w:hAnsi="Cambria"/>
          <w:color w:val="0070C0"/>
          <w:sz w:val="28"/>
          <w:szCs w:val="28"/>
        </w:rPr>
      </w:pPr>
      <w:r>
        <w:rPr>
          <w:rFonts w:ascii="Cambria" w:hAnsi="Cambria"/>
          <w:color w:val="0070C0"/>
          <w:sz w:val="28"/>
          <w:szCs w:val="28"/>
        </w:rPr>
        <w:t>Geschlechtergerechte Sprache</w:t>
      </w:r>
    </w:p>
    <w:p w14:paraId="18B514C3" w14:textId="77777777" w:rsidR="00AE4EA7" w:rsidRDefault="00990A0B">
      <w:pPr>
        <w:spacing w:after="0"/>
      </w:pPr>
      <w:r>
        <w:t>Hinweis bzgl. geschlechtsneutraler Formulierung im gesamten Text:</w:t>
      </w:r>
    </w:p>
    <w:p w14:paraId="75EA3435" w14:textId="2B37C3A3" w:rsidR="00AE4EA7" w:rsidRDefault="00990A0B" w:rsidP="00687085">
      <w:pPr>
        <w:pStyle w:val="Listenabsatz"/>
        <w:numPr>
          <w:ilvl w:val="0"/>
          <w:numId w:val="3"/>
        </w:numPr>
      </w:pPr>
      <w:r>
        <w:t xml:space="preserve">Eine gleichstellungsgerechte Gesellschaft erfordert eine geschlechterneutrale Sprache. Geschlechterneutrale Sprache muss im deutschen Umfeld drei Geschlechtern gerecht </w:t>
      </w:r>
      <w:r w:rsidR="00311345">
        <w:t>werden</w:t>
      </w:r>
      <w:r>
        <w:t xml:space="preserve">: </w:t>
      </w:r>
      <w:r w:rsidRPr="005F5895">
        <w:t>Divers</w:t>
      </w:r>
      <w:r>
        <w:t>, Frauen und Männern.</w:t>
      </w:r>
    </w:p>
    <w:p w14:paraId="34E1DE60" w14:textId="77777777" w:rsidR="00AE4EA7" w:rsidRDefault="00990A0B" w:rsidP="00687085">
      <w:pPr>
        <w:pStyle w:val="Listenabsatz"/>
        <w:numPr>
          <w:ilvl w:val="0"/>
          <w:numId w:val="3"/>
        </w:numPr>
      </w:pPr>
      <w:r>
        <w:t>Im folgenden Text werden,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14:paraId="581CCBEF" w14:textId="77777777" w:rsidR="00AE4EA7" w:rsidRDefault="00990A0B" w:rsidP="00687085">
      <w:pPr>
        <w:pStyle w:val="Listenabsatz"/>
        <w:numPr>
          <w:ilvl w:val="0"/>
          <w:numId w:val="3"/>
        </w:numPr>
      </w:pPr>
      <w:r>
        <w:t>Wo aus Gründen der leichteren Lesbarkeit bei personenbezogenen Substantiven und Pronomen nur ein Geschlecht dargestellt wurde, impliziert dies jedoch keine Benachteiligung der anderen beiden Geschlechter, sondern soll im Sinne der sprachlichen Vereinfachung als geschlechtsneutral verstanden werden.</w:t>
      </w:r>
    </w:p>
    <w:p w14:paraId="1DCEEACC" w14:textId="77777777" w:rsidR="00AE4EA7" w:rsidRDefault="00990A0B">
      <w:pPr>
        <w:jc w:val="left"/>
      </w:pPr>
      <w:r>
        <w:br w:type="page"/>
      </w:r>
    </w:p>
    <w:p w14:paraId="26126389" w14:textId="77777777" w:rsidR="00AE4EA7" w:rsidRDefault="00990A0B">
      <w:pPr>
        <w:pStyle w:val="Untertitel"/>
      </w:pPr>
      <w:bookmarkStart w:id="0" w:name="_Toc467402030"/>
      <w:bookmarkStart w:id="1" w:name="_Toc492282807"/>
      <w:bookmarkStart w:id="2" w:name="_Toc473233932"/>
      <w:bookmarkStart w:id="3" w:name="_Toc470630151"/>
      <w:bookmarkStart w:id="4" w:name="_Toc466177206"/>
      <w:bookmarkStart w:id="5" w:name="_Toc472750820"/>
      <w:bookmarkStart w:id="6" w:name="_Toc472754490"/>
      <w:bookmarkStart w:id="7" w:name="_Toc466177268"/>
      <w:bookmarkStart w:id="8" w:name="_Toc478037173"/>
      <w:bookmarkStart w:id="9" w:name="_Toc472062819"/>
      <w:bookmarkStart w:id="10" w:name="_Toc472062746"/>
      <w:bookmarkStart w:id="11" w:name="_Toc481399823"/>
      <w:bookmarkStart w:id="12" w:name="_Toc484343753"/>
      <w:bookmarkStart w:id="13" w:name="_Toc470630228"/>
      <w:bookmarkStart w:id="14" w:name="_Toc481838553"/>
      <w:bookmarkStart w:id="15" w:name="_Toc486696416"/>
      <w:bookmarkStart w:id="16" w:name="_Toc488391371"/>
      <w:bookmarkStart w:id="17" w:name="_Toc474495489"/>
      <w:bookmarkStart w:id="18" w:name="_Toc384031309"/>
      <w:bookmarkStart w:id="19" w:name="_Toc488390183"/>
      <w:bookmarkStart w:id="20" w:name="_Toc478204418"/>
      <w:bookmarkStart w:id="21" w:name="_Toc478725842"/>
      <w:bookmarkStart w:id="22" w:name="_Toc474485678"/>
      <w:bookmarkStart w:id="23" w:name="_Toc492202025"/>
      <w:bookmarkStart w:id="24" w:name="_Toc472846406"/>
      <w:bookmarkStart w:id="25" w:name="_Toc476302738"/>
      <w:bookmarkStart w:id="26" w:name="_Toc478037313"/>
      <w:bookmarkStart w:id="27" w:name="_Toc472700194"/>
      <w:bookmarkStart w:id="28" w:name="_Toc474484946"/>
      <w:r>
        <w:t>Haftungsausschluss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A8146ED" w14:textId="77777777" w:rsidR="00AE4EA7" w:rsidRDefault="00990A0B">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3C8AC8DD" w14:textId="77777777" w:rsidR="00AE4EA7" w:rsidRDefault="00990A0B">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3348AD2A" w14:textId="77777777" w:rsidR="00AE4EA7" w:rsidRDefault="00990A0B">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0627E6CC" w14:textId="77777777" w:rsidR="00AE4EA7" w:rsidRDefault="00990A0B">
      <w:pPr>
        <w:pStyle w:val="Untertitel"/>
      </w:pPr>
      <w:bookmarkStart w:id="29" w:name="_Toc481838554"/>
      <w:bookmarkStart w:id="30" w:name="_Toc481399824"/>
      <w:bookmarkStart w:id="31" w:name="_Toc467402031"/>
      <w:bookmarkStart w:id="32" w:name="_Toc486696417"/>
      <w:bookmarkStart w:id="33" w:name="_Toc492202026"/>
      <w:bookmarkStart w:id="34" w:name="_Toc488391372"/>
      <w:bookmarkStart w:id="35" w:name="_Toc400089231"/>
      <w:bookmarkStart w:id="36" w:name="_Toc472750821"/>
      <w:bookmarkStart w:id="37" w:name="_Toc472754491"/>
      <w:bookmarkStart w:id="38" w:name="_Toc474484947"/>
      <w:bookmarkStart w:id="39" w:name="_Toc492282808"/>
      <w:bookmarkStart w:id="40" w:name="_Toc470630229"/>
      <w:bookmarkStart w:id="41" w:name="_Toc478204419"/>
      <w:bookmarkStart w:id="42" w:name="_Toc472700195"/>
      <w:bookmarkStart w:id="43" w:name="_Toc474495490"/>
      <w:bookmarkStart w:id="44" w:name="_Toc472062820"/>
      <w:bookmarkStart w:id="45" w:name="_Toc466177269"/>
      <w:bookmarkStart w:id="46" w:name="_Toc466177207"/>
      <w:bookmarkStart w:id="47" w:name="_Toc488390184"/>
      <w:bookmarkStart w:id="48" w:name="_Toc484343754"/>
      <w:bookmarkStart w:id="49" w:name="_Toc478725843"/>
      <w:bookmarkStart w:id="50" w:name="_Toc470630152"/>
      <w:bookmarkStart w:id="51" w:name="_Toc472846407"/>
      <w:bookmarkStart w:id="52" w:name="_Toc478037314"/>
      <w:bookmarkStart w:id="53" w:name="_Toc476302739"/>
      <w:bookmarkStart w:id="54" w:name="_Toc472062747"/>
      <w:bookmarkStart w:id="55" w:name="_Toc473233933"/>
      <w:bookmarkStart w:id="56" w:name="_Toc474485679"/>
      <w:bookmarkStart w:id="57" w:name="_Toc478037174"/>
      <w:r>
        <w:t>Copyright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3CDDEF9" w14:textId="77777777" w:rsidR="00AE4EA7" w:rsidRDefault="00990A0B">
      <w:pPr>
        <w:rPr>
          <w:rFonts w:cs="Arial"/>
          <w:sz w:val="21"/>
          <w:szCs w:val="21"/>
        </w:rPr>
      </w:pPr>
      <w:r>
        <w:rPr>
          <w:rFonts w:cs="Arial"/>
          <w:sz w:val="21"/>
          <w:szCs w:val="21"/>
        </w:rPr>
        <w:t>Für in diesem Dokument veröffentlichte, von den Autoren selbst erstellte Objekte gilt hinsichtlich des Copyrights die folgende Regelung:</w:t>
      </w:r>
    </w:p>
    <w:p w14:paraId="4BEFDF82" w14:textId="77777777" w:rsidR="00AE4EA7" w:rsidRDefault="00990A0B">
      <w:pPr>
        <w:spacing w:after="0"/>
        <w:rPr>
          <w:rFonts w:cs="Arial"/>
          <w:sz w:val="21"/>
          <w:szCs w:val="21"/>
        </w:rPr>
      </w:pPr>
      <w:r>
        <w:rPr>
          <w:noProof/>
        </w:rPr>
        <w:drawing>
          <wp:anchor distT="0" distB="0" distL="114300" distR="114300" simplePos="0" relativeHeight="3" behindDoc="0" locked="0" layoutInCell="0" allowOverlap="1" wp14:anchorId="48882AEE" wp14:editId="2AE3B85D">
            <wp:simplePos x="0" y="0"/>
            <wp:positionH relativeFrom="column">
              <wp:posOffset>4981575</wp:posOffset>
            </wp:positionH>
            <wp:positionV relativeFrom="paragraph">
              <wp:posOffset>9525</wp:posOffset>
            </wp:positionV>
            <wp:extent cx="838200" cy="295275"/>
            <wp:effectExtent l="0" t="0" r="0"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0"/>
                    <a:stretch>
                      <a:fillRect/>
                    </a:stretch>
                  </pic:blipFill>
                  <pic:spPr bwMode="auto">
                    <a:xfrm>
                      <a:off x="0" y="0"/>
                      <a:ext cx="838200" cy="295275"/>
                    </a:xfrm>
                    <a:prstGeom prst="rect">
                      <a:avLst/>
                    </a:prstGeom>
                  </pic:spPr>
                </pic:pic>
              </a:graphicData>
            </a:graphic>
          </wp:anchor>
        </w:drawing>
      </w:r>
      <w:r>
        <w:rPr>
          <w:rFonts w:cs="Arial"/>
          <w:sz w:val="21"/>
          <w:szCs w:val="21"/>
        </w:rPr>
        <w:t xml:space="preserve">Dieses Werk ist unter einer </w:t>
      </w:r>
      <w:r w:rsidRPr="005F5895">
        <w:rPr>
          <w:rFonts w:cs="Arial"/>
          <w:sz w:val="21"/>
          <w:szCs w:val="21"/>
        </w:rPr>
        <w:t>Creative</w:t>
      </w:r>
      <w:r>
        <w:rPr>
          <w:rFonts w:cs="Arial"/>
          <w:sz w:val="21"/>
          <w:szCs w:val="21"/>
        </w:rPr>
        <w:t xml:space="preserve"> Commons-Lizenz (4.0 Deutschland Lizenzvertrag) lizenziert.</w:t>
      </w:r>
      <w:r>
        <w:rPr>
          <w:sz w:val="21"/>
          <w:szCs w:val="21"/>
          <w:lang w:eastAsia="de-DE"/>
        </w:rPr>
        <w:t xml:space="preserve"> </w:t>
      </w:r>
      <w:r>
        <w:rPr>
          <w:rFonts w:cs="Arial"/>
          <w:sz w:val="21"/>
          <w:szCs w:val="21"/>
        </w:rPr>
        <w:t>D. h. Sie dürfen:</w:t>
      </w:r>
    </w:p>
    <w:p w14:paraId="4C5E4B07" w14:textId="77777777" w:rsidR="00AE4EA7" w:rsidRDefault="00990A0B" w:rsidP="00687085">
      <w:pPr>
        <w:pStyle w:val="Listenabsatz"/>
        <w:numPr>
          <w:ilvl w:val="0"/>
          <w:numId w:val="2"/>
        </w:numPr>
        <w:spacing w:after="0"/>
        <w:ind w:left="714" w:hanging="357"/>
        <w:rPr>
          <w:rFonts w:cs="Arial"/>
          <w:sz w:val="21"/>
          <w:szCs w:val="21"/>
        </w:rPr>
      </w:pPr>
      <w:r>
        <w:rPr>
          <w:rFonts w:cs="Arial"/>
          <w:sz w:val="21"/>
          <w:szCs w:val="21"/>
        </w:rPr>
        <w:t xml:space="preserve">Teilen: Das Material in jedwedem Format oder Medium vervielfältigen und </w:t>
      </w:r>
      <w:r w:rsidRPr="005F5895">
        <w:rPr>
          <w:rFonts w:cs="Arial"/>
          <w:sz w:val="21"/>
          <w:szCs w:val="21"/>
        </w:rPr>
        <w:t>weiterverbreiten</w:t>
      </w:r>
    </w:p>
    <w:p w14:paraId="58712C59" w14:textId="77777777" w:rsidR="00AE4EA7" w:rsidRDefault="00990A0B" w:rsidP="00687085">
      <w:pPr>
        <w:pStyle w:val="Listenabsatz"/>
        <w:numPr>
          <w:ilvl w:val="0"/>
          <w:numId w:val="2"/>
        </w:numPr>
        <w:spacing w:after="0"/>
        <w:ind w:left="714" w:hanging="357"/>
        <w:rPr>
          <w:rFonts w:cs="Arial"/>
          <w:sz w:val="21"/>
          <w:szCs w:val="21"/>
        </w:rPr>
      </w:pPr>
      <w:r>
        <w:rPr>
          <w:rFonts w:cs="Arial"/>
          <w:sz w:val="21"/>
          <w:szCs w:val="21"/>
        </w:rPr>
        <w:t xml:space="preserve">Bearbeiten: Das Material remixen, verändern und darauf </w:t>
      </w:r>
      <w:r w:rsidRPr="005F5895">
        <w:rPr>
          <w:rFonts w:cs="Arial"/>
          <w:sz w:val="21"/>
          <w:szCs w:val="21"/>
        </w:rPr>
        <w:t>aufbauen</w:t>
      </w:r>
    </w:p>
    <w:p w14:paraId="08BF4640" w14:textId="77777777" w:rsidR="00AE4EA7" w:rsidRDefault="00990A0B">
      <w:pPr>
        <w:rPr>
          <w:rFonts w:cs="Arial"/>
          <w:sz w:val="21"/>
          <w:szCs w:val="21"/>
        </w:rPr>
      </w:pPr>
      <w:r w:rsidRPr="005F5895">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14:paraId="2CF6B8A7" w14:textId="77777777" w:rsidR="00AE4EA7" w:rsidRDefault="00990A0B">
      <w:pPr>
        <w:spacing w:after="0"/>
        <w:rPr>
          <w:rFonts w:cs="Arial"/>
          <w:sz w:val="21"/>
          <w:szCs w:val="21"/>
        </w:rPr>
      </w:pPr>
      <w:r>
        <w:rPr>
          <w:rFonts w:cs="Arial"/>
          <w:sz w:val="21"/>
          <w:szCs w:val="21"/>
        </w:rPr>
        <w:t>Die Nutzung ist unter den folgenden Bedingungen möglich:</w:t>
      </w:r>
    </w:p>
    <w:p w14:paraId="1016A960" w14:textId="77777777" w:rsidR="00AE4EA7" w:rsidRDefault="00990A0B" w:rsidP="00687085">
      <w:pPr>
        <w:pStyle w:val="Listenabsatz"/>
        <w:numPr>
          <w:ilvl w:val="0"/>
          <w:numId w:val="2"/>
        </w:numPr>
        <w:spacing w:after="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506C7F06" w14:textId="77777777" w:rsidR="00AE4EA7" w:rsidRDefault="00990A0B" w:rsidP="00687085">
      <w:pPr>
        <w:pStyle w:val="Listenabsatz"/>
        <w:numPr>
          <w:ilvl w:val="0"/>
          <w:numId w:val="2"/>
        </w:numPr>
        <w:spacing w:after="0"/>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14:paraId="6D51D707" w14:textId="77777777" w:rsidR="00AE4EA7" w:rsidRDefault="00990A0B" w:rsidP="00687085">
      <w:pPr>
        <w:pStyle w:val="Listenabsatz"/>
        <w:numPr>
          <w:ilvl w:val="0"/>
          <w:numId w:val="2"/>
        </w:numPr>
        <w:spacing w:after="80"/>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77B31D2D" w14:textId="77777777" w:rsidR="00AE4EA7" w:rsidRDefault="00990A0B">
      <w:pPr>
        <w:spacing w:after="0"/>
        <w:rPr>
          <w:rFonts w:cs="Arial"/>
          <w:sz w:val="21"/>
          <w:szCs w:val="21"/>
        </w:rPr>
      </w:pPr>
      <w:r>
        <w:rPr>
          <w:rFonts w:cs="Arial"/>
          <w:sz w:val="21"/>
          <w:szCs w:val="21"/>
        </w:rPr>
        <w:t>Im Weiteren gilt:</w:t>
      </w:r>
    </w:p>
    <w:p w14:paraId="2D734E72" w14:textId="77777777" w:rsidR="00AE4EA7" w:rsidRDefault="00990A0B" w:rsidP="00687085">
      <w:pPr>
        <w:pStyle w:val="Listenabsatz"/>
        <w:numPr>
          <w:ilvl w:val="0"/>
          <w:numId w:val="2"/>
        </w:numPr>
        <w:spacing w:after="0"/>
        <w:ind w:left="714" w:hanging="357"/>
        <w:rPr>
          <w:rFonts w:cs="Arial"/>
          <w:sz w:val="21"/>
          <w:szCs w:val="21"/>
        </w:rPr>
      </w:pPr>
      <w:r>
        <w:rPr>
          <w:rFonts w:cs="Arial"/>
          <w:sz w:val="21"/>
          <w:szCs w:val="21"/>
        </w:rPr>
        <w:t>Jede der vorgenannten Bedingungen kann aufgehoben werden, sofern Sie die Einwilligung des Rechteinhabers dazu erhalten.</w:t>
      </w:r>
    </w:p>
    <w:p w14:paraId="3B953212" w14:textId="77777777" w:rsidR="00AE4EA7" w:rsidRDefault="00990A0B" w:rsidP="00687085">
      <w:pPr>
        <w:pStyle w:val="Listenabsatz"/>
        <w:numPr>
          <w:ilvl w:val="0"/>
          <w:numId w:val="2"/>
        </w:numPr>
        <w:spacing w:after="0"/>
        <w:ind w:left="714" w:hanging="357"/>
        <w:rPr>
          <w:rFonts w:cs="Arial"/>
          <w:sz w:val="21"/>
          <w:szCs w:val="21"/>
        </w:rPr>
      </w:pPr>
      <w:r>
        <w:rPr>
          <w:rFonts w:cs="Arial"/>
          <w:sz w:val="21"/>
          <w:szCs w:val="21"/>
        </w:rPr>
        <w:t>Diese Lizenz lässt die Urheberpersönlichkeitsrechte unberührt.</w:t>
      </w:r>
    </w:p>
    <w:p w14:paraId="65AEC164" w14:textId="77777777" w:rsidR="00AE4EA7" w:rsidRDefault="00990A0B">
      <w:pPr>
        <w:spacing w:after="0"/>
        <w:rPr>
          <w:rFonts w:cs="Arial"/>
          <w:sz w:val="21"/>
          <w:szCs w:val="21"/>
        </w:rPr>
      </w:pPr>
      <w:r>
        <w:rPr>
          <w:rFonts w:cs="Arial"/>
          <w:sz w:val="21"/>
          <w:szCs w:val="21"/>
        </w:rPr>
        <w:t>Um sich die Lizenz anzusehen, gehen Sie bitte ins Internet auf die Webseite:</w:t>
      </w:r>
    </w:p>
    <w:p w14:paraId="7C3E05E5" w14:textId="4A384E79" w:rsidR="00AE4EA7" w:rsidRPr="005F5895" w:rsidRDefault="00000000">
      <w:pPr>
        <w:spacing w:after="0"/>
        <w:jc w:val="center"/>
        <w:rPr>
          <w:rFonts w:cs="Arial"/>
          <w:sz w:val="21"/>
          <w:szCs w:val="21"/>
        </w:rPr>
      </w:pPr>
      <w:hyperlink r:id="rId11" w:history="1">
        <w:r w:rsidR="0051608C" w:rsidRPr="005F5895">
          <w:rPr>
            <w:rStyle w:val="Hyperlink"/>
            <w:rFonts w:cs="Arial"/>
            <w:sz w:val="21"/>
            <w:szCs w:val="21"/>
          </w:rPr>
          <w:t>https://creativecommons.org/licenses/by-sa/4.0/deed.de</w:t>
        </w:r>
      </w:hyperlink>
    </w:p>
    <w:p w14:paraId="727529F5" w14:textId="77777777" w:rsidR="00AE4EA7" w:rsidRDefault="00990A0B">
      <w:pPr>
        <w:spacing w:after="0"/>
        <w:rPr>
          <w:rFonts w:cs="Arial"/>
          <w:sz w:val="21"/>
          <w:szCs w:val="21"/>
        </w:rPr>
      </w:pPr>
      <w:r w:rsidRPr="005F5895">
        <w:rPr>
          <w:rFonts w:cs="Arial"/>
          <w:sz w:val="21"/>
          <w:szCs w:val="21"/>
        </w:rPr>
        <w:t>bzw.</w:t>
      </w:r>
      <w:r>
        <w:rPr>
          <w:rFonts w:cs="Arial"/>
          <w:sz w:val="21"/>
          <w:szCs w:val="21"/>
        </w:rPr>
        <w:t xml:space="preserve"> für den vollständigen Lizenztext</w:t>
      </w:r>
    </w:p>
    <w:p w14:paraId="1A808EFA" w14:textId="1B03738E" w:rsidR="00AE4EA7" w:rsidRDefault="00000000">
      <w:pPr>
        <w:jc w:val="center"/>
        <w:rPr>
          <w:rFonts w:cs="Arial"/>
          <w:sz w:val="21"/>
          <w:szCs w:val="21"/>
        </w:rPr>
      </w:pPr>
      <w:hyperlink r:id="rId12" w:history="1">
        <w:r w:rsidR="00CA188B" w:rsidRPr="00EA57D8">
          <w:rPr>
            <w:rStyle w:val="Hyperlink"/>
            <w:rFonts w:cs="Arial"/>
            <w:sz w:val="21"/>
            <w:szCs w:val="21"/>
          </w:rPr>
          <w:t>https://creativecommons.org/licenses/by-</w:t>
        </w:r>
        <w:r w:rsidR="00CA188B" w:rsidRPr="005F5895">
          <w:rPr>
            <w:rStyle w:val="Hyperlink"/>
            <w:rFonts w:cs="Arial"/>
            <w:sz w:val="21"/>
            <w:szCs w:val="21"/>
          </w:rPr>
          <w:t>sa</w:t>
        </w:r>
        <w:r w:rsidR="00CA188B" w:rsidRPr="00EA57D8">
          <w:rPr>
            <w:rStyle w:val="Hyperlink"/>
            <w:rFonts w:cs="Arial"/>
            <w:sz w:val="21"/>
            <w:szCs w:val="21"/>
          </w:rPr>
          <w:t>/4.0/</w:t>
        </w:r>
        <w:r w:rsidR="00CA188B" w:rsidRPr="005F5895">
          <w:rPr>
            <w:rStyle w:val="Hyperlink"/>
            <w:rFonts w:cs="Arial"/>
            <w:sz w:val="21"/>
            <w:szCs w:val="21"/>
          </w:rPr>
          <w:t>legalcode</w:t>
        </w:r>
      </w:hyperlink>
    </w:p>
    <w:p w14:paraId="35174634" w14:textId="77777777" w:rsidR="00CA188B" w:rsidRDefault="00CA188B" w:rsidP="00CA188B"/>
    <w:p w14:paraId="01759209" w14:textId="11E5E14A" w:rsidR="00CA188B" w:rsidRDefault="00CA188B">
      <w:pPr>
        <w:spacing w:after="0" w:line="240" w:lineRule="auto"/>
        <w:jc w:val="left"/>
      </w:pPr>
      <w:r>
        <w:br w:type="page"/>
      </w:r>
    </w:p>
    <w:p w14:paraId="0904354F" w14:textId="77777777" w:rsidR="00CA188B" w:rsidRDefault="00CA188B" w:rsidP="00CA188B">
      <w:pPr>
        <w:pStyle w:val="Untertitel"/>
      </w:pPr>
      <w:bookmarkStart w:id="58" w:name="_Toc512158335"/>
      <w:r>
        <w:t>Inhaltsverzeichnis</w:t>
      </w:r>
      <w:bookmarkEnd w:id="58"/>
    </w:p>
    <w:sdt>
      <w:sdtPr>
        <w:rPr>
          <w:sz w:val="22"/>
          <w:szCs w:val="22"/>
        </w:rPr>
        <w:id w:val="375511176"/>
        <w:docPartObj>
          <w:docPartGallery w:val="Table of Contents"/>
          <w:docPartUnique/>
        </w:docPartObj>
      </w:sdtPr>
      <w:sdtEndPr>
        <w:rPr>
          <w:sz w:val="24"/>
          <w:szCs w:val="24"/>
        </w:rPr>
      </w:sdtEndPr>
      <w:sdtContent>
        <w:p w14:paraId="4719401F" w14:textId="28BE4D4F" w:rsidR="00BF277A" w:rsidRDefault="00D720C3">
          <w:pPr>
            <w:pStyle w:val="Verzeichnis1"/>
            <w:rPr>
              <w:rFonts w:eastAsiaTheme="minorEastAsia" w:cstheme="minorBidi"/>
              <w:b w:val="0"/>
              <w:bCs w:val="0"/>
              <w:iCs w:val="0"/>
              <w:noProof/>
              <w:kern w:val="2"/>
              <w:lang w:eastAsia="de-DE"/>
              <w14:ligatures w14:val="standardContextual"/>
            </w:rPr>
          </w:pPr>
          <w:r>
            <w:fldChar w:fldCharType="begin"/>
          </w:r>
          <w:r>
            <w:instrText xml:space="preserve"> TOC \o "1-4" \h \z \u </w:instrText>
          </w:r>
          <w:r>
            <w:fldChar w:fldCharType="separate"/>
          </w:r>
          <w:hyperlink w:anchor="_Toc169934782" w:history="1">
            <w:r w:rsidR="00BF277A" w:rsidRPr="00985FE7">
              <w:rPr>
                <w:rStyle w:val="Hyperlink"/>
                <w:noProof/>
              </w:rPr>
              <w:t>Zusammenfassung</w:t>
            </w:r>
            <w:r w:rsidR="00BF277A">
              <w:rPr>
                <w:noProof/>
                <w:webHidden/>
              </w:rPr>
              <w:tab/>
            </w:r>
            <w:r w:rsidR="00BF277A">
              <w:rPr>
                <w:noProof/>
                <w:webHidden/>
              </w:rPr>
              <w:fldChar w:fldCharType="begin"/>
            </w:r>
            <w:r w:rsidR="00BF277A">
              <w:rPr>
                <w:noProof/>
                <w:webHidden/>
              </w:rPr>
              <w:instrText xml:space="preserve"> PAGEREF _Toc169934782 \h </w:instrText>
            </w:r>
            <w:r w:rsidR="00BF277A">
              <w:rPr>
                <w:noProof/>
                <w:webHidden/>
              </w:rPr>
            </w:r>
            <w:r w:rsidR="00BF277A">
              <w:rPr>
                <w:noProof/>
                <w:webHidden/>
              </w:rPr>
              <w:fldChar w:fldCharType="separate"/>
            </w:r>
            <w:r w:rsidR="00F43608">
              <w:rPr>
                <w:noProof/>
                <w:webHidden/>
              </w:rPr>
              <w:t>1</w:t>
            </w:r>
            <w:r w:rsidR="00BF277A">
              <w:rPr>
                <w:noProof/>
                <w:webHidden/>
              </w:rPr>
              <w:fldChar w:fldCharType="end"/>
            </w:r>
          </w:hyperlink>
        </w:p>
        <w:p w14:paraId="2EBDB61C" w14:textId="07C87AFF"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783" w:history="1">
            <w:r w:rsidR="00BF277A" w:rsidRPr="00985FE7">
              <w:rPr>
                <w:rStyle w:val="Hyperlink"/>
                <w:noProof/>
              </w:rPr>
              <w:t>1</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Einleitung</w:t>
            </w:r>
            <w:r w:rsidR="00BF277A">
              <w:rPr>
                <w:noProof/>
                <w:webHidden/>
              </w:rPr>
              <w:tab/>
            </w:r>
            <w:r w:rsidR="00BF277A">
              <w:rPr>
                <w:noProof/>
                <w:webHidden/>
              </w:rPr>
              <w:fldChar w:fldCharType="begin"/>
            </w:r>
            <w:r w:rsidR="00BF277A">
              <w:rPr>
                <w:noProof/>
                <w:webHidden/>
              </w:rPr>
              <w:instrText xml:space="preserve"> PAGEREF _Toc169934783 \h </w:instrText>
            </w:r>
            <w:r w:rsidR="00BF277A">
              <w:rPr>
                <w:noProof/>
                <w:webHidden/>
              </w:rPr>
            </w:r>
            <w:r w:rsidR="00BF277A">
              <w:rPr>
                <w:noProof/>
                <w:webHidden/>
              </w:rPr>
              <w:fldChar w:fldCharType="separate"/>
            </w:r>
            <w:r w:rsidR="00F43608">
              <w:rPr>
                <w:noProof/>
                <w:webHidden/>
              </w:rPr>
              <w:t>2</w:t>
            </w:r>
            <w:r w:rsidR="00BF277A">
              <w:rPr>
                <w:noProof/>
                <w:webHidden/>
              </w:rPr>
              <w:fldChar w:fldCharType="end"/>
            </w:r>
          </w:hyperlink>
        </w:p>
        <w:p w14:paraId="3F0029A3" w14:textId="2FC31656"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784" w:history="1">
            <w:r w:rsidR="00BF277A" w:rsidRPr="00985FE7">
              <w:rPr>
                <w:rStyle w:val="Hyperlink"/>
                <w:noProof/>
              </w:rPr>
              <w:t>2</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Abgrenzung/Klarstellung</w:t>
            </w:r>
            <w:r w:rsidR="00BF277A">
              <w:rPr>
                <w:noProof/>
                <w:webHidden/>
              </w:rPr>
              <w:tab/>
            </w:r>
            <w:r w:rsidR="00BF277A">
              <w:rPr>
                <w:noProof/>
                <w:webHidden/>
              </w:rPr>
              <w:fldChar w:fldCharType="begin"/>
            </w:r>
            <w:r w:rsidR="00BF277A">
              <w:rPr>
                <w:noProof/>
                <w:webHidden/>
              </w:rPr>
              <w:instrText xml:space="preserve"> PAGEREF _Toc169934784 \h </w:instrText>
            </w:r>
            <w:r w:rsidR="00BF277A">
              <w:rPr>
                <w:noProof/>
                <w:webHidden/>
              </w:rPr>
            </w:r>
            <w:r w:rsidR="00BF277A">
              <w:rPr>
                <w:noProof/>
                <w:webHidden/>
              </w:rPr>
              <w:fldChar w:fldCharType="separate"/>
            </w:r>
            <w:r w:rsidR="00F43608">
              <w:rPr>
                <w:noProof/>
                <w:webHidden/>
              </w:rPr>
              <w:t>4</w:t>
            </w:r>
            <w:r w:rsidR="00BF277A">
              <w:rPr>
                <w:noProof/>
                <w:webHidden/>
              </w:rPr>
              <w:fldChar w:fldCharType="end"/>
            </w:r>
          </w:hyperlink>
        </w:p>
        <w:p w14:paraId="044A276A" w14:textId="376EBFF7"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785" w:history="1">
            <w:r w:rsidR="00BF277A" w:rsidRPr="00985FE7">
              <w:rPr>
                <w:rStyle w:val="Hyperlink"/>
                <w:noProof/>
              </w:rPr>
              <w:t>3</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Was sind besondere Datenkategorien entsprechend 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1 DS-GVO?</w:t>
            </w:r>
            <w:r w:rsidR="00BF277A">
              <w:rPr>
                <w:noProof/>
                <w:webHidden/>
              </w:rPr>
              <w:tab/>
            </w:r>
            <w:r w:rsidR="00BF277A">
              <w:rPr>
                <w:noProof/>
                <w:webHidden/>
              </w:rPr>
              <w:fldChar w:fldCharType="begin"/>
            </w:r>
            <w:r w:rsidR="00BF277A">
              <w:rPr>
                <w:noProof/>
                <w:webHidden/>
              </w:rPr>
              <w:instrText xml:space="preserve"> PAGEREF _Toc169934785 \h </w:instrText>
            </w:r>
            <w:r w:rsidR="00BF277A">
              <w:rPr>
                <w:noProof/>
                <w:webHidden/>
              </w:rPr>
            </w:r>
            <w:r w:rsidR="00BF277A">
              <w:rPr>
                <w:noProof/>
                <w:webHidden/>
              </w:rPr>
              <w:fldChar w:fldCharType="separate"/>
            </w:r>
            <w:r w:rsidR="00F43608">
              <w:rPr>
                <w:noProof/>
                <w:webHidden/>
              </w:rPr>
              <w:t>5</w:t>
            </w:r>
            <w:r w:rsidR="00BF277A">
              <w:rPr>
                <w:noProof/>
                <w:webHidden/>
              </w:rPr>
              <w:fldChar w:fldCharType="end"/>
            </w:r>
          </w:hyperlink>
        </w:p>
        <w:p w14:paraId="2BD6AEC7" w14:textId="2B6FA4F3"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86" w:history="1">
            <w:r w:rsidR="00BF277A" w:rsidRPr="00985FE7">
              <w:rPr>
                <w:rStyle w:val="Hyperlink"/>
                <w:noProof/>
              </w:rPr>
              <w:t>3.1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Welche Daten geh</w:t>
            </w:r>
            <w:r w:rsidR="00BF277A" w:rsidRPr="00985FE7">
              <w:rPr>
                <w:rStyle w:val="Hyperlink"/>
                <w:rFonts w:hint="eastAsia"/>
                <w:noProof/>
              </w:rPr>
              <w:t>ö</w:t>
            </w:r>
            <w:r w:rsidR="00BF277A" w:rsidRPr="00985FE7">
              <w:rPr>
                <w:rStyle w:val="Hyperlink"/>
                <w:noProof/>
              </w:rPr>
              <w:t xml:space="preserve">ren zu diesen </w:t>
            </w:r>
            <w:r w:rsidR="00BF277A" w:rsidRPr="00985FE7">
              <w:rPr>
                <w:rStyle w:val="Hyperlink"/>
                <w:rFonts w:hint="eastAsia"/>
                <w:noProof/>
              </w:rPr>
              <w:t>„</w:t>
            </w:r>
            <w:r w:rsidR="00BF277A" w:rsidRPr="00985FE7">
              <w:rPr>
                <w:rStyle w:val="Hyperlink"/>
                <w:noProof/>
              </w:rPr>
              <w:t>besonderen Kategorien personenbezogenen Daten</w:t>
            </w:r>
            <w:r w:rsidR="00BF277A" w:rsidRPr="00985FE7">
              <w:rPr>
                <w:rStyle w:val="Hyperlink"/>
                <w:rFonts w:hint="eastAsia"/>
                <w:noProof/>
              </w:rPr>
              <w:t>“</w:t>
            </w:r>
            <w:r w:rsidR="00BF277A" w:rsidRPr="00985FE7">
              <w:rPr>
                <w:rStyle w:val="Hyperlink"/>
                <w:noProof/>
              </w:rPr>
              <w:t>?</w:t>
            </w:r>
            <w:r w:rsidR="00BF277A">
              <w:rPr>
                <w:noProof/>
                <w:webHidden/>
              </w:rPr>
              <w:tab/>
            </w:r>
            <w:r w:rsidR="00BF277A">
              <w:rPr>
                <w:noProof/>
                <w:webHidden/>
              </w:rPr>
              <w:fldChar w:fldCharType="begin"/>
            </w:r>
            <w:r w:rsidR="00BF277A">
              <w:rPr>
                <w:noProof/>
                <w:webHidden/>
              </w:rPr>
              <w:instrText xml:space="preserve"> PAGEREF _Toc169934786 \h </w:instrText>
            </w:r>
            <w:r w:rsidR="00BF277A">
              <w:rPr>
                <w:noProof/>
                <w:webHidden/>
              </w:rPr>
            </w:r>
            <w:r w:rsidR="00BF277A">
              <w:rPr>
                <w:noProof/>
                <w:webHidden/>
              </w:rPr>
              <w:fldChar w:fldCharType="separate"/>
            </w:r>
            <w:r w:rsidR="00F43608">
              <w:rPr>
                <w:noProof/>
                <w:webHidden/>
              </w:rPr>
              <w:t>5</w:t>
            </w:r>
            <w:r w:rsidR="00BF277A">
              <w:rPr>
                <w:noProof/>
                <w:webHidden/>
              </w:rPr>
              <w:fldChar w:fldCharType="end"/>
            </w:r>
          </w:hyperlink>
        </w:p>
        <w:p w14:paraId="65FBD4A5" w14:textId="29D161DD"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87" w:history="1">
            <w:r w:rsidR="00BF277A" w:rsidRPr="00985FE7">
              <w:rPr>
                <w:rStyle w:val="Hyperlink"/>
                <w:noProof/>
              </w:rPr>
              <w:t>3.2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Sensibles Datum: Sich daraus ergebende Rahmenbedingungen</w:t>
            </w:r>
            <w:r w:rsidR="00BF277A">
              <w:rPr>
                <w:noProof/>
                <w:webHidden/>
              </w:rPr>
              <w:tab/>
            </w:r>
            <w:r w:rsidR="00BF277A">
              <w:rPr>
                <w:noProof/>
                <w:webHidden/>
              </w:rPr>
              <w:fldChar w:fldCharType="begin"/>
            </w:r>
            <w:r w:rsidR="00BF277A">
              <w:rPr>
                <w:noProof/>
                <w:webHidden/>
              </w:rPr>
              <w:instrText xml:space="preserve"> PAGEREF _Toc169934787 \h </w:instrText>
            </w:r>
            <w:r w:rsidR="00BF277A">
              <w:rPr>
                <w:noProof/>
                <w:webHidden/>
              </w:rPr>
            </w:r>
            <w:r w:rsidR="00BF277A">
              <w:rPr>
                <w:noProof/>
                <w:webHidden/>
              </w:rPr>
              <w:fldChar w:fldCharType="separate"/>
            </w:r>
            <w:r w:rsidR="00F43608">
              <w:rPr>
                <w:noProof/>
                <w:webHidden/>
              </w:rPr>
              <w:t>6</w:t>
            </w:r>
            <w:r w:rsidR="00BF277A">
              <w:rPr>
                <w:noProof/>
                <w:webHidden/>
              </w:rPr>
              <w:fldChar w:fldCharType="end"/>
            </w:r>
          </w:hyperlink>
        </w:p>
        <w:p w14:paraId="09199B4E" w14:textId="1429FA3C"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788" w:history="1">
            <w:r w:rsidR="00BF277A" w:rsidRPr="00985FE7">
              <w:rPr>
                <w:rStyle w:val="Hyperlink"/>
                <w:noProof/>
              </w:rPr>
              <w:t>4</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Rechtfertigungsgr</w:t>
            </w:r>
            <w:r w:rsidR="00BF277A" w:rsidRPr="00985FE7">
              <w:rPr>
                <w:rStyle w:val="Hyperlink"/>
                <w:rFonts w:hint="eastAsia"/>
                <w:noProof/>
              </w:rPr>
              <w:t>ü</w:t>
            </w:r>
            <w:r w:rsidR="00BF277A" w:rsidRPr="00985FE7">
              <w:rPr>
                <w:rStyle w:val="Hyperlink"/>
                <w:noProof/>
              </w:rPr>
              <w:t>nde in 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DS-GVO</w:t>
            </w:r>
            <w:r w:rsidR="00BF277A">
              <w:rPr>
                <w:noProof/>
                <w:webHidden/>
              </w:rPr>
              <w:tab/>
            </w:r>
            <w:r w:rsidR="00BF277A">
              <w:rPr>
                <w:noProof/>
                <w:webHidden/>
              </w:rPr>
              <w:fldChar w:fldCharType="begin"/>
            </w:r>
            <w:r w:rsidR="00BF277A">
              <w:rPr>
                <w:noProof/>
                <w:webHidden/>
              </w:rPr>
              <w:instrText xml:space="preserve"> PAGEREF _Toc169934788 \h </w:instrText>
            </w:r>
            <w:r w:rsidR="00BF277A">
              <w:rPr>
                <w:noProof/>
                <w:webHidden/>
              </w:rPr>
            </w:r>
            <w:r w:rsidR="00BF277A">
              <w:rPr>
                <w:noProof/>
                <w:webHidden/>
              </w:rPr>
              <w:fldChar w:fldCharType="separate"/>
            </w:r>
            <w:r w:rsidR="00F43608">
              <w:rPr>
                <w:noProof/>
                <w:webHidden/>
              </w:rPr>
              <w:t>7</w:t>
            </w:r>
            <w:r w:rsidR="00BF277A">
              <w:rPr>
                <w:noProof/>
                <w:webHidden/>
              </w:rPr>
              <w:fldChar w:fldCharType="end"/>
            </w:r>
          </w:hyperlink>
        </w:p>
        <w:p w14:paraId="3667BF40" w14:textId="03DF996E"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89" w:history="1">
            <w:r w:rsidR="00BF277A" w:rsidRPr="00985FE7">
              <w:rPr>
                <w:rStyle w:val="Hyperlink"/>
                <w:noProof/>
              </w:rPr>
              <w:t>4.1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a DS-GVO: Einwilligung</w:t>
            </w:r>
            <w:r w:rsidR="00BF277A">
              <w:rPr>
                <w:noProof/>
                <w:webHidden/>
              </w:rPr>
              <w:tab/>
            </w:r>
            <w:r w:rsidR="00BF277A">
              <w:rPr>
                <w:noProof/>
                <w:webHidden/>
              </w:rPr>
              <w:fldChar w:fldCharType="begin"/>
            </w:r>
            <w:r w:rsidR="00BF277A">
              <w:rPr>
                <w:noProof/>
                <w:webHidden/>
              </w:rPr>
              <w:instrText xml:space="preserve"> PAGEREF _Toc169934789 \h </w:instrText>
            </w:r>
            <w:r w:rsidR="00BF277A">
              <w:rPr>
                <w:noProof/>
                <w:webHidden/>
              </w:rPr>
            </w:r>
            <w:r w:rsidR="00BF277A">
              <w:rPr>
                <w:noProof/>
                <w:webHidden/>
              </w:rPr>
              <w:fldChar w:fldCharType="separate"/>
            </w:r>
            <w:r w:rsidR="00F43608">
              <w:rPr>
                <w:noProof/>
                <w:webHidden/>
              </w:rPr>
              <w:t>7</w:t>
            </w:r>
            <w:r w:rsidR="00BF277A">
              <w:rPr>
                <w:noProof/>
                <w:webHidden/>
              </w:rPr>
              <w:fldChar w:fldCharType="end"/>
            </w:r>
          </w:hyperlink>
        </w:p>
        <w:p w14:paraId="4520D1C4" w14:textId="11DC2FD7"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0" w:history="1">
            <w:r w:rsidR="00BF277A" w:rsidRPr="00985FE7">
              <w:rPr>
                <w:rStyle w:val="Hyperlink"/>
                <w:noProof/>
              </w:rPr>
              <w:t>4.2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b DS-GVO: Vertrag; eine Vertragspartei muss betroffene Person sein</w:t>
            </w:r>
            <w:r w:rsidR="00BF277A">
              <w:rPr>
                <w:noProof/>
                <w:webHidden/>
              </w:rPr>
              <w:tab/>
            </w:r>
            <w:r w:rsidR="00BF277A">
              <w:rPr>
                <w:noProof/>
                <w:webHidden/>
              </w:rPr>
              <w:fldChar w:fldCharType="begin"/>
            </w:r>
            <w:r w:rsidR="00BF277A">
              <w:rPr>
                <w:noProof/>
                <w:webHidden/>
              </w:rPr>
              <w:instrText xml:space="preserve"> PAGEREF _Toc169934790 \h </w:instrText>
            </w:r>
            <w:r w:rsidR="00BF277A">
              <w:rPr>
                <w:noProof/>
                <w:webHidden/>
              </w:rPr>
            </w:r>
            <w:r w:rsidR="00BF277A">
              <w:rPr>
                <w:noProof/>
                <w:webHidden/>
              </w:rPr>
              <w:fldChar w:fldCharType="separate"/>
            </w:r>
            <w:r w:rsidR="00F43608">
              <w:rPr>
                <w:noProof/>
                <w:webHidden/>
              </w:rPr>
              <w:t>7</w:t>
            </w:r>
            <w:r w:rsidR="00BF277A">
              <w:rPr>
                <w:noProof/>
                <w:webHidden/>
              </w:rPr>
              <w:fldChar w:fldCharType="end"/>
            </w:r>
          </w:hyperlink>
        </w:p>
        <w:p w14:paraId="171C2C0A" w14:textId="4E9381A4"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1" w:history="1">
            <w:r w:rsidR="00BF277A" w:rsidRPr="00985FE7">
              <w:rPr>
                <w:rStyle w:val="Hyperlink"/>
                <w:noProof/>
              </w:rPr>
              <w:t>4.3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c DS-GVO: Zur Erf</w:t>
            </w:r>
            <w:r w:rsidR="00BF277A" w:rsidRPr="00985FE7">
              <w:rPr>
                <w:rStyle w:val="Hyperlink"/>
                <w:rFonts w:hint="eastAsia"/>
                <w:noProof/>
              </w:rPr>
              <w:t>ü</w:t>
            </w:r>
            <w:r w:rsidR="00BF277A" w:rsidRPr="00985FE7">
              <w:rPr>
                <w:rStyle w:val="Hyperlink"/>
                <w:noProof/>
              </w:rPr>
              <w:t>llung einer rechtlichen Verpflichtung erforderlich</w:t>
            </w:r>
            <w:r w:rsidR="00BF277A">
              <w:rPr>
                <w:noProof/>
                <w:webHidden/>
              </w:rPr>
              <w:tab/>
            </w:r>
            <w:r w:rsidR="00BF277A">
              <w:rPr>
                <w:noProof/>
                <w:webHidden/>
              </w:rPr>
              <w:fldChar w:fldCharType="begin"/>
            </w:r>
            <w:r w:rsidR="00BF277A">
              <w:rPr>
                <w:noProof/>
                <w:webHidden/>
              </w:rPr>
              <w:instrText xml:space="preserve"> PAGEREF _Toc169934791 \h </w:instrText>
            </w:r>
            <w:r w:rsidR="00BF277A">
              <w:rPr>
                <w:noProof/>
                <w:webHidden/>
              </w:rPr>
            </w:r>
            <w:r w:rsidR="00BF277A">
              <w:rPr>
                <w:noProof/>
                <w:webHidden/>
              </w:rPr>
              <w:fldChar w:fldCharType="separate"/>
            </w:r>
            <w:r w:rsidR="00F43608">
              <w:rPr>
                <w:noProof/>
                <w:webHidden/>
              </w:rPr>
              <w:t>8</w:t>
            </w:r>
            <w:r w:rsidR="00BF277A">
              <w:rPr>
                <w:noProof/>
                <w:webHidden/>
              </w:rPr>
              <w:fldChar w:fldCharType="end"/>
            </w:r>
          </w:hyperlink>
        </w:p>
        <w:p w14:paraId="2ED23B53" w14:textId="24AAC765"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2" w:history="1">
            <w:r w:rsidR="00BF277A" w:rsidRPr="00985FE7">
              <w:rPr>
                <w:rStyle w:val="Hyperlink"/>
                <w:noProof/>
              </w:rPr>
              <w:t>4.4</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d DS-GVO: Erforderlich, um lebenswichtige Interessen der betroffenen</w:t>
            </w:r>
            <w:r w:rsidR="00F135C3">
              <w:rPr>
                <w:rStyle w:val="Hyperlink"/>
                <w:noProof/>
              </w:rPr>
              <w:br/>
            </w:r>
            <w:r w:rsidR="00F135C3" w:rsidRPr="00F135C3">
              <w:rPr>
                <w:rStyle w:val="Hyperlink"/>
                <w:noProof/>
              </w:rPr>
              <w:tab/>
            </w:r>
            <w:r w:rsidR="00BF277A" w:rsidRPr="00985FE7">
              <w:rPr>
                <w:rStyle w:val="Hyperlink"/>
                <w:noProof/>
              </w:rPr>
              <w:t>Person oder einer anderen nat</w:t>
            </w:r>
            <w:r w:rsidR="00BF277A" w:rsidRPr="00985FE7">
              <w:rPr>
                <w:rStyle w:val="Hyperlink"/>
                <w:rFonts w:hint="eastAsia"/>
                <w:noProof/>
              </w:rPr>
              <w:t>ü</w:t>
            </w:r>
            <w:r w:rsidR="00BF277A" w:rsidRPr="00985FE7">
              <w:rPr>
                <w:rStyle w:val="Hyperlink"/>
                <w:noProof/>
              </w:rPr>
              <w:t>rlichen Person zu sch</w:t>
            </w:r>
            <w:r w:rsidR="00BF277A" w:rsidRPr="00985FE7">
              <w:rPr>
                <w:rStyle w:val="Hyperlink"/>
                <w:rFonts w:hint="eastAsia"/>
                <w:noProof/>
              </w:rPr>
              <w:t>ü</w:t>
            </w:r>
            <w:r w:rsidR="00BF277A" w:rsidRPr="00985FE7">
              <w:rPr>
                <w:rStyle w:val="Hyperlink"/>
                <w:noProof/>
              </w:rPr>
              <w:t>tzen</w:t>
            </w:r>
            <w:r w:rsidR="00BF277A">
              <w:rPr>
                <w:noProof/>
                <w:webHidden/>
              </w:rPr>
              <w:tab/>
            </w:r>
            <w:r w:rsidR="00BF277A">
              <w:rPr>
                <w:noProof/>
                <w:webHidden/>
              </w:rPr>
              <w:fldChar w:fldCharType="begin"/>
            </w:r>
            <w:r w:rsidR="00BF277A">
              <w:rPr>
                <w:noProof/>
                <w:webHidden/>
              </w:rPr>
              <w:instrText xml:space="preserve"> PAGEREF _Toc169934792 \h </w:instrText>
            </w:r>
            <w:r w:rsidR="00BF277A">
              <w:rPr>
                <w:noProof/>
                <w:webHidden/>
              </w:rPr>
            </w:r>
            <w:r w:rsidR="00BF277A">
              <w:rPr>
                <w:noProof/>
                <w:webHidden/>
              </w:rPr>
              <w:fldChar w:fldCharType="separate"/>
            </w:r>
            <w:r w:rsidR="00F43608">
              <w:rPr>
                <w:noProof/>
                <w:webHidden/>
              </w:rPr>
              <w:t>9</w:t>
            </w:r>
            <w:r w:rsidR="00BF277A">
              <w:rPr>
                <w:noProof/>
                <w:webHidden/>
              </w:rPr>
              <w:fldChar w:fldCharType="end"/>
            </w:r>
          </w:hyperlink>
        </w:p>
        <w:p w14:paraId="523AA1C3" w14:textId="787DE814"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3" w:history="1">
            <w:r w:rsidR="00BF277A" w:rsidRPr="00985FE7">
              <w:rPr>
                <w:rStyle w:val="Hyperlink"/>
                <w:noProof/>
              </w:rPr>
              <w:t>4.5</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e DS-GVO: Erforderlich f</w:t>
            </w:r>
            <w:r w:rsidR="00BF277A" w:rsidRPr="00985FE7">
              <w:rPr>
                <w:rStyle w:val="Hyperlink"/>
                <w:rFonts w:hint="eastAsia"/>
                <w:noProof/>
              </w:rPr>
              <w:t>ü</w:t>
            </w:r>
            <w:r w:rsidR="00BF277A" w:rsidRPr="00985FE7">
              <w:rPr>
                <w:rStyle w:val="Hyperlink"/>
                <w:noProof/>
              </w:rPr>
              <w:t>r Wahrnehmung einer Aufgabe, die im</w:t>
            </w:r>
            <w:r w:rsidR="002634BD">
              <w:rPr>
                <w:rStyle w:val="Hyperlink"/>
                <w:noProof/>
              </w:rPr>
              <w:br/>
            </w:r>
            <w:r w:rsidR="002634BD" w:rsidRPr="002634BD">
              <w:rPr>
                <w:rStyle w:val="Hyperlink"/>
                <w:noProof/>
              </w:rPr>
              <w:tab/>
            </w:r>
            <w:r w:rsidR="00BF277A" w:rsidRPr="00985FE7">
              <w:rPr>
                <w:rStyle w:val="Hyperlink"/>
                <w:rFonts w:hint="eastAsia"/>
                <w:noProof/>
              </w:rPr>
              <w:t>ö</w:t>
            </w:r>
            <w:r w:rsidR="00BF277A" w:rsidRPr="00985FE7">
              <w:rPr>
                <w:rStyle w:val="Hyperlink"/>
                <w:noProof/>
              </w:rPr>
              <w:t>ffentlichen Interesse liegt oder in Aus</w:t>
            </w:r>
            <w:r w:rsidR="00BF277A" w:rsidRPr="00985FE7">
              <w:rPr>
                <w:rStyle w:val="Hyperlink"/>
                <w:rFonts w:hint="eastAsia"/>
                <w:noProof/>
              </w:rPr>
              <w:t>ü</w:t>
            </w:r>
            <w:r w:rsidR="00BF277A" w:rsidRPr="00985FE7">
              <w:rPr>
                <w:rStyle w:val="Hyperlink"/>
                <w:noProof/>
              </w:rPr>
              <w:t xml:space="preserve">bung </w:t>
            </w:r>
            <w:r w:rsidR="00BF277A" w:rsidRPr="00985FE7">
              <w:rPr>
                <w:rStyle w:val="Hyperlink"/>
                <w:rFonts w:hint="eastAsia"/>
                <w:noProof/>
              </w:rPr>
              <w:t>ö</w:t>
            </w:r>
            <w:r w:rsidR="00BF277A" w:rsidRPr="00985FE7">
              <w:rPr>
                <w:rStyle w:val="Hyperlink"/>
                <w:noProof/>
              </w:rPr>
              <w:t xml:space="preserve">ffentlicher Gewalt, die </w:t>
            </w:r>
            <w:r w:rsidR="002634BD">
              <w:rPr>
                <w:rStyle w:val="Hyperlink"/>
                <w:noProof/>
              </w:rPr>
              <w:br/>
            </w:r>
            <w:r w:rsidR="002634BD" w:rsidRPr="002634BD">
              <w:rPr>
                <w:rStyle w:val="Hyperlink"/>
                <w:noProof/>
              </w:rPr>
              <w:tab/>
            </w:r>
            <w:r w:rsidR="00BF277A" w:rsidRPr="00985FE7">
              <w:rPr>
                <w:rStyle w:val="Hyperlink"/>
                <w:noProof/>
              </w:rPr>
              <w:t xml:space="preserve">Verantwortlichen </w:t>
            </w:r>
            <w:r w:rsidR="00BF277A" w:rsidRPr="00985FE7">
              <w:rPr>
                <w:rStyle w:val="Hyperlink"/>
                <w:rFonts w:hint="eastAsia"/>
                <w:noProof/>
              </w:rPr>
              <w:t>ü</w:t>
            </w:r>
            <w:r w:rsidR="00BF277A" w:rsidRPr="00985FE7">
              <w:rPr>
                <w:rStyle w:val="Hyperlink"/>
                <w:noProof/>
              </w:rPr>
              <w:t>bertragen wurde, erfolgt</w:t>
            </w:r>
            <w:r w:rsidR="00BF277A">
              <w:rPr>
                <w:noProof/>
                <w:webHidden/>
              </w:rPr>
              <w:tab/>
            </w:r>
            <w:r w:rsidR="00BF277A">
              <w:rPr>
                <w:noProof/>
                <w:webHidden/>
              </w:rPr>
              <w:fldChar w:fldCharType="begin"/>
            </w:r>
            <w:r w:rsidR="00BF277A">
              <w:rPr>
                <w:noProof/>
                <w:webHidden/>
              </w:rPr>
              <w:instrText xml:space="preserve"> PAGEREF _Toc169934793 \h </w:instrText>
            </w:r>
            <w:r w:rsidR="00BF277A">
              <w:rPr>
                <w:noProof/>
                <w:webHidden/>
              </w:rPr>
            </w:r>
            <w:r w:rsidR="00BF277A">
              <w:rPr>
                <w:noProof/>
                <w:webHidden/>
              </w:rPr>
              <w:fldChar w:fldCharType="separate"/>
            </w:r>
            <w:r w:rsidR="00F43608">
              <w:rPr>
                <w:noProof/>
                <w:webHidden/>
              </w:rPr>
              <w:t>10</w:t>
            </w:r>
            <w:r w:rsidR="00BF277A">
              <w:rPr>
                <w:noProof/>
                <w:webHidden/>
              </w:rPr>
              <w:fldChar w:fldCharType="end"/>
            </w:r>
          </w:hyperlink>
        </w:p>
        <w:p w14:paraId="2E5CA20A" w14:textId="08EA3F90"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4" w:history="1">
            <w:r w:rsidR="00BF277A" w:rsidRPr="00985FE7">
              <w:rPr>
                <w:rStyle w:val="Hyperlink"/>
                <w:noProof/>
              </w:rPr>
              <w:t>4.6</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lit.</w:t>
            </w:r>
            <w:r w:rsidR="00BF277A" w:rsidRPr="00985FE7">
              <w:rPr>
                <w:rStyle w:val="Hyperlink"/>
                <w:rFonts w:hint="eastAsia"/>
                <w:noProof/>
              </w:rPr>
              <w:t> </w:t>
            </w:r>
            <w:r w:rsidR="00BF277A" w:rsidRPr="00985FE7">
              <w:rPr>
                <w:rStyle w:val="Hyperlink"/>
                <w:noProof/>
              </w:rPr>
              <w:t>f DS-GVO: Interessenabw</w:t>
            </w:r>
            <w:r w:rsidR="00BF277A" w:rsidRPr="00985FE7">
              <w:rPr>
                <w:rStyle w:val="Hyperlink"/>
                <w:rFonts w:hint="eastAsia"/>
                <w:noProof/>
              </w:rPr>
              <w:t>ä</w:t>
            </w:r>
            <w:r w:rsidR="00BF277A" w:rsidRPr="00985FE7">
              <w:rPr>
                <w:rStyle w:val="Hyperlink"/>
                <w:noProof/>
              </w:rPr>
              <w:t>gung</w:t>
            </w:r>
            <w:r w:rsidR="00BF277A">
              <w:rPr>
                <w:noProof/>
                <w:webHidden/>
              </w:rPr>
              <w:tab/>
            </w:r>
            <w:r w:rsidR="00BF277A">
              <w:rPr>
                <w:noProof/>
                <w:webHidden/>
              </w:rPr>
              <w:fldChar w:fldCharType="begin"/>
            </w:r>
            <w:r w:rsidR="00BF277A">
              <w:rPr>
                <w:noProof/>
                <w:webHidden/>
              </w:rPr>
              <w:instrText xml:space="preserve"> PAGEREF _Toc169934794 \h </w:instrText>
            </w:r>
            <w:r w:rsidR="00BF277A">
              <w:rPr>
                <w:noProof/>
                <w:webHidden/>
              </w:rPr>
            </w:r>
            <w:r w:rsidR="00BF277A">
              <w:rPr>
                <w:noProof/>
                <w:webHidden/>
              </w:rPr>
              <w:fldChar w:fldCharType="separate"/>
            </w:r>
            <w:r w:rsidR="00F43608">
              <w:rPr>
                <w:noProof/>
                <w:webHidden/>
              </w:rPr>
              <w:t>12</w:t>
            </w:r>
            <w:r w:rsidR="00BF277A">
              <w:rPr>
                <w:noProof/>
                <w:webHidden/>
              </w:rPr>
              <w:fldChar w:fldCharType="end"/>
            </w:r>
          </w:hyperlink>
        </w:p>
        <w:p w14:paraId="32C11833" w14:textId="00E77E6B"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795" w:history="1">
            <w:r w:rsidR="00BF277A" w:rsidRPr="00985FE7">
              <w:rPr>
                <w:rStyle w:val="Hyperlink"/>
                <w:noProof/>
              </w:rPr>
              <w:t>5</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Zuordnung Bedingungen 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DS-GVO zu 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DS-GVO</w:t>
            </w:r>
            <w:r w:rsidR="00BF277A">
              <w:rPr>
                <w:noProof/>
                <w:webHidden/>
              </w:rPr>
              <w:tab/>
            </w:r>
            <w:r w:rsidR="00BF277A">
              <w:rPr>
                <w:noProof/>
                <w:webHidden/>
              </w:rPr>
              <w:fldChar w:fldCharType="begin"/>
            </w:r>
            <w:r w:rsidR="00BF277A">
              <w:rPr>
                <w:noProof/>
                <w:webHidden/>
              </w:rPr>
              <w:instrText xml:space="preserve"> PAGEREF _Toc169934795 \h </w:instrText>
            </w:r>
            <w:r w:rsidR="00BF277A">
              <w:rPr>
                <w:noProof/>
                <w:webHidden/>
              </w:rPr>
            </w:r>
            <w:r w:rsidR="00BF277A">
              <w:rPr>
                <w:noProof/>
                <w:webHidden/>
              </w:rPr>
              <w:fldChar w:fldCharType="separate"/>
            </w:r>
            <w:r w:rsidR="00F43608">
              <w:rPr>
                <w:noProof/>
                <w:webHidden/>
              </w:rPr>
              <w:t>16</w:t>
            </w:r>
            <w:r w:rsidR="00BF277A">
              <w:rPr>
                <w:noProof/>
                <w:webHidden/>
              </w:rPr>
              <w:fldChar w:fldCharType="end"/>
            </w:r>
          </w:hyperlink>
        </w:p>
        <w:p w14:paraId="34CA29B4" w14:textId="576B6B51"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6" w:history="1">
            <w:r w:rsidR="00BF277A" w:rsidRPr="00985FE7">
              <w:rPr>
                <w:rStyle w:val="Hyperlink"/>
                <w:noProof/>
              </w:rPr>
              <w:t>5.1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a DS-GVO</w:t>
            </w:r>
            <w:r w:rsidR="00BF277A">
              <w:rPr>
                <w:noProof/>
                <w:webHidden/>
              </w:rPr>
              <w:tab/>
            </w:r>
            <w:r w:rsidR="00BF277A">
              <w:rPr>
                <w:noProof/>
                <w:webHidden/>
              </w:rPr>
              <w:fldChar w:fldCharType="begin"/>
            </w:r>
            <w:r w:rsidR="00BF277A">
              <w:rPr>
                <w:noProof/>
                <w:webHidden/>
              </w:rPr>
              <w:instrText xml:space="preserve"> PAGEREF _Toc169934796 \h </w:instrText>
            </w:r>
            <w:r w:rsidR="00BF277A">
              <w:rPr>
                <w:noProof/>
                <w:webHidden/>
              </w:rPr>
            </w:r>
            <w:r w:rsidR="00BF277A">
              <w:rPr>
                <w:noProof/>
                <w:webHidden/>
              </w:rPr>
              <w:fldChar w:fldCharType="separate"/>
            </w:r>
            <w:r w:rsidR="00F43608">
              <w:rPr>
                <w:noProof/>
                <w:webHidden/>
              </w:rPr>
              <w:t>16</w:t>
            </w:r>
            <w:r w:rsidR="00BF277A">
              <w:rPr>
                <w:noProof/>
                <w:webHidden/>
              </w:rPr>
              <w:fldChar w:fldCharType="end"/>
            </w:r>
          </w:hyperlink>
        </w:p>
        <w:p w14:paraId="4AAEBBAD" w14:textId="6F2E8CF3"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7" w:history="1">
            <w:r w:rsidR="00BF277A" w:rsidRPr="00985FE7">
              <w:rPr>
                <w:rStyle w:val="Hyperlink"/>
                <w:noProof/>
              </w:rPr>
              <w:t>5.2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b DS-GVO</w:t>
            </w:r>
            <w:r w:rsidR="00BF277A">
              <w:rPr>
                <w:noProof/>
                <w:webHidden/>
              </w:rPr>
              <w:tab/>
            </w:r>
            <w:r w:rsidR="00BF277A">
              <w:rPr>
                <w:noProof/>
                <w:webHidden/>
              </w:rPr>
              <w:fldChar w:fldCharType="begin"/>
            </w:r>
            <w:r w:rsidR="00BF277A">
              <w:rPr>
                <w:noProof/>
                <w:webHidden/>
              </w:rPr>
              <w:instrText xml:space="preserve"> PAGEREF _Toc169934797 \h </w:instrText>
            </w:r>
            <w:r w:rsidR="00BF277A">
              <w:rPr>
                <w:noProof/>
                <w:webHidden/>
              </w:rPr>
            </w:r>
            <w:r w:rsidR="00BF277A">
              <w:rPr>
                <w:noProof/>
                <w:webHidden/>
              </w:rPr>
              <w:fldChar w:fldCharType="separate"/>
            </w:r>
            <w:r w:rsidR="00F43608">
              <w:rPr>
                <w:noProof/>
                <w:webHidden/>
              </w:rPr>
              <w:t>16</w:t>
            </w:r>
            <w:r w:rsidR="00BF277A">
              <w:rPr>
                <w:noProof/>
                <w:webHidden/>
              </w:rPr>
              <w:fldChar w:fldCharType="end"/>
            </w:r>
          </w:hyperlink>
        </w:p>
        <w:p w14:paraId="2C62BB28" w14:textId="6D9A1B28"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8" w:history="1">
            <w:r w:rsidR="00BF277A" w:rsidRPr="00985FE7">
              <w:rPr>
                <w:rStyle w:val="Hyperlink"/>
                <w:noProof/>
              </w:rPr>
              <w:t>5.3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c DS-GVO</w:t>
            </w:r>
            <w:r w:rsidR="00BF277A">
              <w:rPr>
                <w:noProof/>
                <w:webHidden/>
              </w:rPr>
              <w:tab/>
            </w:r>
            <w:r w:rsidR="00BF277A">
              <w:rPr>
                <w:noProof/>
                <w:webHidden/>
              </w:rPr>
              <w:fldChar w:fldCharType="begin"/>
            </w:r>
            <w:r w:rsidR="00BF277A">
              <w:rPr>
                <w:noProof/>
                <w:webHidden/>
              </w:rPr>
              <w:instrText xml:space="preserve"> PAGEREF _Toc169934798 \h </w:instrText>
            </w:r>
            <w:r w:rsidR="00BF277A">
              <w:rPr>
                <w:noProof/>
                <w:webHidden/>
              </w:rPr>
            </w:r>
            <w:r w:rsidR="00BF277A">
              <w:rPr>
                <w:noProof/>
                <w:webHidden/>
              </w:rPr>
              <w:fldChar w:fldCharType="separate"/>
            </w:r>
            <w:r w:rsidR="00F43608">
              <w:rPr>
                <w:noProof/>
                <w:webHidden/>
              </w:rPr>
              <w:t>16</w:t>
            </w:r>
            <w:r w:rsidR="00BF277A">
              <w:rPr>
                <w:noProof/>
                <w:webHidden/>
              </w:rPr>
              <w:fldChar w:fldCharType="end"/>
            </w:r>
          </w:hyperlink>
        </w:p>
        <w:p w14:paraId="62B2C92B" w14:textId="3986B014"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799" w:history="1">
            <w:r w:rsidR="00BF277A" w:rsidRPr="00985FE7">
              <w:rPr>
                <w:rStyle w:val="Hyperlink"/>
                <w:noProof/>
              </w:rPr>
              <w:t>5.4</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d DS-GVO</w:t>
            </w:r>
            <w:r w:rsidR="00BF277A">
              <w:rPr>
                <w:noProof/>
                <w:webHidden/>
              </w:rPr>
              <w:tab/>
            </w:r>
            <w:r w:rsidR="00BF277A">
              <w:rPr>
                <w:noProof/>
                <w:webHidden/>
              </w:rPr>
              <w:fldChar w:fldCharType="begin"/>
            </w:r>
            <w:r w:rsidR="00BF277A">
              <w:rPr>
                <w:noProof/>
                <w:webHidden/>
              </w:rPr>
              <w:instrText xml:space="preserve"> PAGEREF _Toc169934799 \h </w:instrText>
            </w:r>
            <w:r w:rsidR="00BF277A">
              <w:rPr>
                <w:noProof/>
                <w:webHidden/>
              </w:rPr>
            </w:r>
            <w:r w:rsidR="00BF277A">
              <w:rPr>
                <w:noProof/>
                <w:webHidden/>
              </w:rPr>
              <w:fldChar w:fldCharType="separate"/>
            </w:r>
            <w:r w:rsidR="00F43608">
              <w:rPr>
                <w:noProof/>
                <w:webHidden/>
              </w:rPr>
              <w:t>16</w:t>
            </w:r>
            <w:r w:rsidR="00BF277A">
              <w:rPr>
                <w:noProof/>
                <w:webHidden/>
              </w:rPr>
              <w:fldChar w:fldCharType="end"/>
            </w:r>
          </w:hyperlink>
        </w:p>
        <w:p w14:paraId="7FDC5613" w14:textId="35347CEC"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0" w:history="1">
            <w:r w:rsidR="00BF277A" w:rsidRPr="00985FE7">
              <w:rPr>
                <w:rStyle w:val="Hyperlink"/>
                <w:noProof/>
              </w:rPr>
              <w:t>5.5</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e DS-GVO</w:t>
            </w:r>
            <w:r w:rsidR="00BF277A">
              <w:rPr>
                <w:noProof/>
                <w:webHidden/>
              </w:rPr>
              <w:tab/>
            </w:r>
            <w:r w:rsidR="00BF277A">
              <w:rPr>
                <w:noProof/>
                <w:webHidden/>
              </w:rPr>
              <w:fldChar w:fldCharType="begin"/>
            </w:r>
            <w:r w:rsidR="00BF277A">
              <w:rPr>
                <w:noProof/>
                <w:webHidden/>
              </w:rPr>
              <w:instrText xml:space="preserve"> PAGEREF _Toc169934800 \h </w:instrText>
            </w:r>
            <w:r w:rsidR="00BF277A">
              <w:rPr>
                <w:noProof/>
                <w:webHidden/>
              </w:rPr>
            </w:r>
            <w:r w:rsidR="00BF277A">
              <w:rPr>
                <w:noProof/>
                <w:webHidden/>
              </w:rPr>
              <w:fldChar w:fldCharType="separate"/>
            </w:r>
            <w:r w:rsidR="00F43608">
              <w:rPr>
                <w:noProof/>
                <w:webHidden/>
              </w:rPr>
              <w:t>17</w:t>
            </w:r>
            <w:r w:rsidR="00BF277A">
              <w:rPr>
                <w:noProof/>
                <w:webHidden/>
              </w:rPr>
              <w:fldChar w:fldCharType="end"/>
            </w:r>
          </w:hyperlink>
        </w:p>
        <w:p w14:paraId="42DF26D7" w14:textId="29F499B8"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1" w:history="1">
            <w:r w:rsidR="00BF277A" w:rsidRPr="00985FE7">
              <w:rPr>
                <w:rStyle w:val="Hyperlink"/>
                <w:noProof/>
              </w:rPr>
              <w:t>5.6</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f DS-GVO</w:t>
            </w:r>
            <w:r w:rsidR="00BF277A">
              <w:rPr>
                <w:noProof/>
                <w:webHidden/>
              </w:rPr>
              <w:tab/>
            </w:r>
            <w:r w:rsidR="00BF277A">
              <w:rPr>
                <w:noProof/>
                <w:webHidden/>
              </w:rPr>
              <w:fldChar w:fldCharType="begin"/>
            </w:r>
            <w:r w:rsidR="00BF277A">
              <w:rPr>
                <w:noProof/>
                <w:webHidden/>
              </w:rPr>
              <w:instrText xml:space="preserve"> PAGEREF _Toc169934801 \h </w:instrText>
            </w:r>
            <w:r w:rsidR="00BF277A">
              <w:rPr>
                <w:noProof/>
                <w:webHidden/>
              </w:rPr>
            </w:r>
            <w:r w:rsidR="00BF277A">
              <w:rPr>
                <w:noProof/>
                <w:webHidden/>
              </w:rPr>
              <w:fldChar w:fldCharType="separate"/>
            </w:r>
            <w:r w:rsidR="00F43608">
              <w:rPr>
                <w:noProof/>
                <w:webHidden/>
              </w:rPr>
              <w:t>17</w:t>
            </w:r>
            <w:r w:rsidR="00BF277A">
              <w:rPr>
                <w:noProof/>
                <w:webHidden/>
              </w:rPr>
              <w:fldChar w:fldCharType="end"/>
            </w:r>
          </w:hyperlink>
        </w:p>
        <w:p w14:paraId="05E1DD67" w14:textId="2372842F"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2" w:history="1">
            <w:r w:rsidR="00BF277A" w:rsidRPr="00985FE7">
              <w:rPr>
                <w:rStyle w:val="Hyperlink"/>
                <w:noProof/>
              </w:rPr>
              <w:t>5.7</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g DS-GVO</w:t>
            </w:r>
            <w:r w:rsidR="00BF277A">
              <w:rPr>
                <w:noProof/>
                <w:webHidden/>
              </w:rPr>
              <w:tab/>
            </w:r>
            <w:r w:rsidR="00BF277A">
              <w:rPr>
                <w:noProof/>
                <w:webHidden/>
              </w:rPr>
              <w:fldChar w:fldCharType="begin"/>
            </w:r>
            <w:r w:rsidR="00BF277A">
              <w:rPr>
                <w:noProof/>
                <w:webHidden/>
              </w:rPr>
              <w:instrText xml:space="preserve"> PAGEREF _Toc169934802 \h </w:instrText>
            </w:r>
            <w:r w:rsidR="00BF277A">
              <w:rPr>
                <w:noProof/>
                <w:webHidden/>
              </w:rPr>
            </w:r>
            <w:r w:rsidR="00BF277A">
              <w:rPr>
                <w:noProof/>
                <w:webHidden/>
              </w:rPr>
              <w:fldChar w:fldCharType="separate"/>
            </w:r>
            <w:r w:rsidR="00F43608">
              <w:rPr>
                <w:noProof/>
                <w:webHidden/>
              </w:rPr>
              <w:t>17</w:t>
            </w:r>
            <w:r w:rsidR="00BF277A">
              <w:rPr>
                <w:noProof/>
                <w:webHidden/>
              </w:rPr>
              <w:fldChar w:fldCharType="end"/>
            </w:r>
          </w:hyperlink>
        </w:p>
        <w:p w14:paraId="44F75CFC" w14:textId="3CF95039"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3" w:history="1">
            <w:r w:rsidR="00BF277A" w:rsidRPr="00985FE7">
              <w:rPr>
                <w:rStyle w:val="Hyperlink"/>
                <w:noProof/>
              </w:rPr>
              <w:t>5.8</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h DS-GVO</w:t>
            </w:r>
            <w:r w:rsidR="00BF277A">
              <w:rPr>
                <w:noProof/>
                <w:webHidden/>
              </w:rPr>
              <w:tab/>
            </w:r>
            <w:r w:rsidR="00BF277A">
              <w:rPr>
                <w:noProof/>
                <w:webHidden/>
              </w:rPr>
              <w:fldChar w:fldCharType="begin"/>
            </w:r>
            <w:r w:rsidR="00BF277A">
              <w:rPr>
                <w:noProof/>
                <w:webHidden/>
              </w:rPr>
              <w:instrText xml:space="preserve"> PAGEREF _Toc169934803 \h </w:instrText>
            </w:r>
            <w:r w:rsidR="00BF277A">
              <w:rPr>
                <w:noProof/>
                <w:webHidden/>
              </w:rPr>
            </w:r>
            <w:r w:rsidR="00BF277A">
              <w:rPr>
                <w:noProof/>
                <w:webHidden/>
              </w:rPr>
              <w:fldChar w:fldCharType="separate"/>
            </w:r>
            <w:r w:rsidR="00F43608">
              <w:rPr>
                <w:noProof/>
                <w:webHidden/>
              </w:rPr>
              <w:t>18</w:t>
            </w:r>
            <w:r w:rsidR="00BF277A">
              <w:rPr>
                <w:noProof/>
                <w:webHidden/>
              </w:rPr>
              <w:fldChar w:fldCharType="end"/>
            </w:r>
          </w:hyperlink>
        </w:p>
        <w:p w14:paraId="60B6FB99" w14:textId="3B75943A"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4" w:history="1">
            <w:r w:rsidR="00BF277A" w:rsidRPr="00985FE7">
              <w:rPr>
                <w:rStyle w:val="Hyperlink"/>
                <w:noProof/>
              </w:rPr>
              <w:t>5.9</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i DS-GVO</w:t>
            </w:r>
            <w:r w:rsidR="00BF277A">
              <w:rPr>
                <w:noProof/>
                <w:webHidden/>
              </w:rPr>
              <w:tab/>
            </w:r>
            <w:r w:rsidR="00BF277A">
              <w:rPr>
                <w:noProof/>
                <w:webHidden/>
              </w:rPr>
              <w:fldChar w:fldCharType="begin"/>
            </w:r>
            <w:r w:rsidR="00BF277A">
              <w:rPr>
                <w:noProof/>
                <w:webHidden/>
              </w:rPr>
              <w:instrText xml:space="preserve"> PAGEREF _Toc169934804 \h </w:instrText>
            </w:r>
            <w:r w:rsidR="00BF277A">
              <w:rPr>
                <w:noProof/>
                <w:webHidden/>
              </w:rPr>
            </w:r>
            <w:r w:rsidR="00BF277A">
              <w:rPr>
                <w:noProof/>
                <w:webHidden/>
              </w:rPr>
              <w:fldChar w:fldCharType="separate"/>
            </w:r>
            <w:r w:rsidR="00F43608">
              <w:rPr>
                <w:noProof/>
                <w:webHidden/>
              </w:rPr>
              <w:t>19</w:t>
            </w:r>
            <w:r w:rsidR="00BF277A">
              <w:rPr>
                <w:noProof/>
                <w:webHidden/>
              </w:rPr>
              <w:fldChar w:fldCharType="end"/>
            </w:r>
          </w:hyperlink>
        </w:p>
        <w:p w14:paraId="66DF046E" w14:textId="0BFD6A60"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5" w:history="1">
            <w:r w:rsidR="00BF277A" w:rsidRPr="00985FE7">
              <w:rPr>
                <w:rStyle w:val="Hyperlink"/>
                <w:noProof/>
              </w:rPr>
              <w:t>5.10</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2 lit.</w:t>
            </w:r>
            <w:r w:rsidR="00BF277A" w:rsidRPr="00985FE7">
              <w:rPr>
                <w:rStyle w:val="Hyperlink"/>
                <w:rFonts w:hint="eastAsia"/>
                <w:noProof/>
              </w:rPr>
              <w:t> </w:t>
            </w:r>
            <w:r w:rsidR="00BF277A" w:rsidRPr="00985FE7">
              <w:rPr>
                <w:rStyle w:val="Hyperlink"/>
                <w:noProof/>
              </w:rPr>
              <w:t>j DS-GVO</w:t>
            </w:r>
            <w:r w:rsidR="00BF277A">
              <w:rPr>
                <w:noProof/>
                <w:webHidden/>
              </w:rPr>
              <w:tab/>
            </w:r>
            <w:r w:rsidR="00BF277A">
              <w:rPr>
                <w:noProof/>
                <w:webHidden/>
              </w:rPr>
              <w:fldChar w:fldCharType="begin"/>
            </w:r>
            <w:r w:rsidR="00BF277A">
              <w:rPr>
                <w:noProof/>
                <w:webHidden/>
              </w:rPr>
              <w:instrText xml:space="preserve"> PAGEREF _Toc169934805 \h </w:instrText>
            </w:r>
            <w:r w:rsidR="00BF277A">
              <w:rPr>
                <w:noProof/>
                <w:webHidden/>
              </w:rPr>
            </w:r>
            <w:r w:rsidR="00BF277A">
              <w:rPr>
                <w:noProof/>
                <w:webHidden/>
              </w:rPr>
              <w:fldChar w:fldCharType="separate"/>
            </w:r>
            <w:r w:rsidR="00F43608">
              <w:rPr>
                <w:noProof/>
                <w:webHidden/>
              </w:rPr>
              <w:t>20</w:t>
            </w:r>
            <w:r w:rsidR="00BF277A">
              <w:rPr>
                <w:noProof/>
                <w:webHidden/>
              </w:rPr>
              <w:fldChar w:fldCharType="end"/>
            </w:r>
          </w:hyperlink>
        </w:p>
        <w:p w14:paraId="14B9E6BA" w14:textId="10418871"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806" w:history="1">
            <w:r w:rsidR="00BF277A" w:rsidRPr="00985FE7">
              <w:rPr>
                <w:rStyle w:val="Hyperlink"/>
                <w:noProof/>
              </w:rPr>
              <w:t>6</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Nationale Erlaubnistatbest</w:t>
            </w:r>
            <w:r w:rsidR="00BF277A" w:rsidRPr="00985FE7">
              <w:rPr>
                <w:rStyle w:val="Hyperlink"/>
                <w:rFonts w:hint="eastAsia"/>
                <w:noProof/>
              </w:rPr>
              <w:t>ä</w:t>
            </w:r>
            <w:r w:rsidR="00BF277A" w:rsidRPr="00985FE7">
              <w:rPr>
                <w:rStyle w:val="Hyperlink"/>
                <w:noProof/>
              </w:rPr>
              <w:t>nde: Rahmenbedingungen</w:t>
            </w:r>
            <w:r w:rsidR="00BF277A">
              <w:rPr>
                <w:noProof/>
                <w:webHidden/>
              </w:rPr>
              <w:tab/>
            </w:r>
            <w:r w:rsidR="00BF277A">
              <w:rPr>
                <w:noProof/>
                <w:webHidden/>
              </w:rPr>
              <w:fldChar w:fldCharType="begin"/>
            </w:r>
            <w:r w:rsidR="00BF277A">
              <w:rPr>
                <w:noProof/>
                <w:webHidden/>
              </w:rPr>
              <w:instrText xml:space="preserve"> PAGEREF _Toc169934806 \h </w:instrText>
            </w:r>
            <w:r w:rsidR="00BF277A">
              <w:rPr>
                <w:noProof/>
                <w:webHidden/>
              </w:rPr>
            </w:r>
            <w:r w:rsidR="00BF277A">
              <w:rPr>
                <w:noProof/>
                <w:webHidden/>
              </w:rPr>
              <w:fldChar w:fldCharType="separate"/>
            </w:r>
            <w:r w:rsidR="00F43608">
              <w:rPr>
                <w:noProof/>
                <w:webHidden/>
              </w:rPr>
              <w:t>21</w:t>
            </w:r>
            <w:r w:rsidR="00BF277A">
              <w:rPr>
                <w:noProof/>
                <w:webHidden/>
              </w:rPr>
              <w:fldChar w:fldCharType="end"/>
            </w:r>
          </w:hyperlink>
        </w:p>
        <w:p w14:paraId="3AD51D3A" w14:textId="761D821C"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7" w:history="1">
            <w:r w:rsidR="00BF277A" w:rsidRPr="00985FE7">
              <w:rPr>
                <w:rStyle w:val="Hyperlink"/>
                <w:noProof/>
              </w:rPr>
              <w:t>6.1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Nationale Gesetzgebung muss EU Grundrechtecharta beachten</w:t>
            </w:r>
            <w:r w:rsidR="00BF277A">
              <w:rPr>
                <w:noProof/>
                <w:webHidden/>
              </w:rPr>
              <w:tab/>
            </w:r>
            <w:r w:rsidR="00BF277A">
              <w:rPr>
                <w:noProof/>
                <w:webHidden/>
              </w:rPr>
              <w:fldChar w:fldCharType="begin"/>
            </w:r>
            <w:r w:rsidR="00BF277A">
              <w:rPr>
                <w:noProof/>
                <w:webHidden/>
              </w:rPr>
              <w:instrText xml:space="preserve"> PAGEREF _Toc169934807 \h </w:instrText>
            </w:r>
            <w:r w:rsidR="00BF277A">
              <w:rPr>
                <w:noProof/>
                <w:webHidden/>
              </w:rPr>
            </w:r>
            <w:r w:rsidR="00BF277A">
              <w:rPr>
                <w:noProof/>
                <w:webHidden/>
              </w:rPr>
              <w:fldChar w:fldCharType="separate"/>
            </w:r>
            <w:r w:rsidR="00F43608">
              <w:rPr>
                <w:noProof/>
                <w:webHidden/>
              </w:rPr>
              <w:t>21</w:t>
            </w:r>
            <w:r w:rsidR="00BF277A">
              <w:rPr>
                <w:noProof/>
                <w:webHidden/>
              </w:rPr>
              <w:fldChar w:fldCharType="end"/>
            </w:r>
          </w:hyperlink>
        </w:p>
        <w:p w14:paraId="1CCF01A1" w14:textId="0280E9E7"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8" w:history="1">
            <w:r w:rsidR="00BF277A" w:rsidRPr="00985FE7">
              <w:rPr>
                <w:rStyle w:val="Hyperlink"/>
                <w:noProof/>
              </w:rPr>
              <w:t>6.2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Rahmenbedingungen f</w:t>
            </w:r>
            <w:r w:rsidR="00BF277A" w:rsidRPr="00985FE7">
              <w:rPr>
                <w:rStyle w:val="Hyperlink"/>
                <w:rFonts w:hint="eastAsia"/>
                <w:noProof/>
              </w:rPr>
              <w:t>ü</w:t>
            </w:r>
            <w:r w:rsidR="00BF277A" w:rsidRPr="00985FE7">
              <w:rPr>
                <w:rStyle w:val="Hyperlink"/>
                <w:noProof/>
              </w:rPr>
              <w:t>r nationale Gesetzgebung</w:t>
            </w:r>
            <w:r w:rsidR="00BF277A">
              <w:rPr>
                <w:noProof/>
                <w:webHidden/>
              </w:rPr>
              <w:tab/>
            </w:r>
            <w:r w:rsidR="00BF277A">
              <w:rPr>
                <w:noProof/>
                <w:webHidden/>
              </w:rPr>
              <w:fldChar w:fldCharType="begin"/>
            </w:r>
            <w:r w:rsidR="00BF277A">
              <w:rPr>
                <w:noProof/>
                <w:webHidden/>
              </w:rPr>
              <w:instrText xml:space="preserve"> PAGEREF _Toc169934808 \h </w:instrText>
            </w:r>
            <w:r w:rsidR="00BF277A">
              <w:rPr>
                <w:noProof/>
                <w:webHidden/>
              </w:rPr>
            </w:r>
            <w:r w:rsidR="00BF277A">
              <w:rPr>
                <w:noProof/>
                <w:webHidden/>
              </w:rPr>
              <w:fldChar w:fldCharType="separate"/>
            </w:r>
            <w:r w:rsidR="00F43608">
              <w:rPr>
                <w:noProof/>
                <w:webHidden/>
              </w:rPr>
              <w:t>21</w:t>
            </w:r>
            <w:r w:rsidR="00BF277A">
              <w:rPr>
                <w:noProof/>
                <w:webHidden/>
              </w:rPr>
              <w:fldChar w:fldCharType="end"/>
            </w:r>
          </w:hyperlink>
        </w:p>
        <w:p w14:paraId="4C7E42DF" w14:textId="792A0DE9"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09" w:history="1">
            <w:r w:rsidR="00BF277A" w:rsidRPr="00985FE7">
              <w:rPr>
                <w:rStyle w:val="Hyperlink"/>
                <w:noProof/>
              </w:rPr>
              <w:t>6.3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 xml:space="preserve">Reichweite der </w:t>
            </w:r>
            <w:r w:rsidR="00BF277A" w:rsidRPr="00985FE7">
              <w:rPr>
                <w:rStyle w:val="Hyperlink"/>
                <w:rFonts w:hint="eastAsia"/>
                <w:noProof/>
              </w:rPr>
              <w:t>Ö</w:t>
            </w:r>
            <w:r w:rsidR="00BF277A" w:rsidRPr="00985FE7">
              <w:rPr>
                <w:rStyle w:val="Hyperlink"/>
                <w:noProof/>
              </w:rPr>
              <w:t>ffnungsklausel in Art.</w:t>
            </w:r>
            <w:r w:rsidR="00BF277A" w:rsidRPr="00985FE7">
              <w:rPr>
                <w:rStyle w:val="Hyperlink"/>
                <w:rFonts w:hint="eastAsia"/>
                <w:noProof/>
              </w:rPr>
              <w:t> </w:t>
            </w:r>
            <w:r w:rsidR="00BF277A" w:rsidRPr="00985FE7">
              <w:rPr>
                <w:rStyle w:val="Hyperlink"/>
                <w:noProof/>
              </w:rPr>
              <w:t>9 Abs.</w:t>
            </w:r>
            <w:r w:rsidR="00BF277A" w:rsidRPr="00985FE7">
              <w:rPr>
                <w:rStyle w:val="Hyperlink"/>
                <w:rFonts w:hint="eastAsia"/>
                <w:noProof/>
              </w:rPr>
              <w:t> </w:t>
            </w:r>
            <w:r w:rsidR="00BF277A" w:rsidRPr="00985FE7">
              <w:rPr>
                <w:rStyle w:val="Hyperlink"/>
                <w:noProof/>
              </w:rPr>
              <w:t>4 DS-GVO f</w:t>
            </w:r>
            <w:r w:rsidR="00BF277A" w:rsidRPr="00985FE7">
              <w:rPr>
                <w:rStyle w:val="Hyperlink"/>
                <w:rFonts w:hint="eastAsia"/>
                <w:noProof/>
              </w:rPr>
              <w:t>ü</w:t>
            </w:r>
            <w:r w:rsidR="00BF277A" w:rsidRPr="00985FE7">
              <w:rPr>
                <w:rStyle w:val="Hyperlink"/>
                <w:noProof/>
              </w:rPr>
              <w:t>r nationale Erlaubnisnormen</w:t>
            </w:r>
            <w:r w:rsidR="00BF277A">
              <w:rPr>
                <w:noProof/>
                <w:webHidden/>
              </w:rPr>
              <w:tab/>
            </w:r>
            <w:r w:rsidR="00BF277A">
              <w:rPr>
                <w:noProof/>
                <w:webHidden/>
              </w:rPr>
              <w:fldChar w:fldCharType="begin"/>
            </w:r>
            <w:r w:rsidR="00BF277A">
              <w:rPr>
                <w:noProof/>
                <w:webHidden/>
              </w:rPr>
              <w:instrText xml:space="preserve"> PAGEREF _Toc169934809 \h </w:instrText>
            </w:r>
            <w:r w:rsidR="00BF277A">
              <w:rPr>
                <w:noProof/>
                <w:webHidden/>
              </w:rPr>
            </w:r>
            <w:r w:rsidR="00BF277A">
              <w:rPr>
                <w:noProof/>
                <w:webHidden/>
              </w:rPr>
              <w:fldChar w:fldCharType="separate"/>
            </w:r>
            <w:r w:rsidR="00F43608">
              <w:rPr>
                <w:noProof/>
                <w:webHidden/>
              </w:rPr>
              <w:t>22</w:t>
            </w:r>
            <w:r w:rsidR="00BF277A">
              <w:rPr>
                <w:noProof/>
                <w:webHidden/>
              </w:rPr>
              <w:fldChar w:fldCharType="end"/>
            </w:r>
          </w:hyperlink>
        </w:p>
        <w:p w14:paraId="23F456AD" w14:textId="77777777" w:rsidR="00F43608" w:rsidRDefault="00F43608">
          <w:pPr>
            <w:spacing w:after="0" w:line="240" w:lineRule="auto"/>
            <w:jc w:val="left"/>
            <w:rPr>
              <w:rFonts w:cstheme="minorHAnsi"/>
              <w:b/>
              <w:bCs/>
              <w:noProof/>
            </w:rPr>
          </w:pPr>
          <w:r>
            <w:rPr>
              <w:noProof/>
            </w:rPr>
            <w:br w:type="page"/>
          </w:r>
        </w:p>
        <w:p w14:paraId="22D8467F" w14:textId="374D1A3D"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10" w:history="1">
            <w:r w:rsidR="00BF277A" w:rsidRPr="00985FE7">
              <w:rPr>
                <w:rStyle w:val="Hyperlink"/>
                <w:noProof/>
              </w:rPr>
              <w:t>6.4</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Wie lange gilt ein Gesetz?</w:t>
            </w:r>
            <w:r w:rsidR="00BF277A">
              <w:rPr>
                <w:noProof/>
                <w:webHidden/>
              </w:rPr>
              <w:tab/>
            </w:r>
            <w:r w:rsidR="00BF277A">
              <w:rPr>
                <w:noProof/>
                <w:webHidden/>
              </w:rPr>
              <w:fldChar w:fldCharType="begin"/>
            </w:r>
            <w:r w:rsidR="00BF277A">
              <w:rPr>
                <w:noProof/>
                <w:webHidden/>
              </w:rPr>
              <w:instrText xml:space="preserve"> PAGEREF _Toc169934810 \h </w:instrText>
            </w:r>
            <w:r w:rsidR="00BF277A">
              <w:rPr>
                <w:noProof/>
                <w:webHidden/>
              </w:rPr>
            </w:r>
            <w:r w:rsidR="00BF277A">
              <w:rPr>
                <w:noProof/>
                <w:webHidden/>
              </w:rPr>
              <w:fldChar w:fldCharType="separate"/>
            </w:r>
            <w:r w:rsidR="00F43608">
              <w:rPr>
                <w:noProof/>
                <w:webHidden/>
              </w:rPr>
              <w:t>23</w:t>
            </w:r>
            <w:r w:rsidR="00BF277A">
              <w:rPr>
                <w:noProof/>
                <w:webHidden/>
              </w:rPr>
              <w:fldChar w:fldCharType="end"/>
            </w:r>
          </w:hyperlink>
        </w:p>
        <w:p w14:paraId="5E1535AD" w14:textId="6E3229B9"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11" w:history="1">
            <w:r w:rsidR="00BF277A" w:rsidRPr="00985FE7">
              <w:rPr>
                <w:rStyle w:val="Hyperlink"/>
                <w:noProof/>
              </w:rPr>
              <w:t>6.5</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Nationale Regelungen m</w:t>
            </w:r>
            <w:r w:rsidR="00BF277A" w:rsidRPr="00985FE7">
              <w:rPr>
                <w:rStyle w:val="Hyperlink"/>
                <w:rFonts w:hint="eastAsia"/>
                <w:noProof/>
              </w:rPr>
              <w:t>ü</w:t>
            </w:r>
            <w:r w:rsidR="00BF277A" w:rsidRPr="00985FE7">
              <w:rPr>
                <w:rStyle w:val="Hyperlink"/>
                <w:noProof/>
              </w:rPr>
              <w:t>ssen Anforderungen aus Art.</w:t>
            </w:r>
            <w:r w:rsidR="00BF277A" w:rsidRPr="00985FE7">
              <w:rPr>
                <w:rStyle w:val="Hyperlink"/>
                <w:rFonts w:hint="eastAsia"/>
                <w:noProof/>
              </w:rPr>
              <w:t> </w:t>
            </w:r>
            <w:r w:rsidR="00BF277A" w:rsidRPr="00985FE7">
              <w:rPr>
                <w:rStyle w:val="Hyperlink"/>
                <w:noProof/>
              </w:rPr>
              <w:t>6 Abs.</w:t>
            </w:r>
            <w:r w:rsidR="00BF277A" w:rsidRPr="00985FE7">
              <w:rPr>
                <w:rStyle w:val="Hyperlink"/>
                <w:rFonts w:hint="eastAsia"/>
                <w:noProof/>
              </w:rPr>
              <w:t> </w:t>
            </w:r>
            <w:r w:rsidR="00BF277A" w:rsidRPr="00985FE7">
              <w:rPr>
                <w:rStyle w:val="Hyperlink"/>
                <w:noProof/>
              </w:rPr>
              <w:t>1 DS-GVO gen</w:t>
            </w:r>
            <w:r w:rsidR="00BF277A" w:rsidRPr="00985FE7">
              <w:rPr>
                <w:rStyle w:val="Hyperlink"/>
                <w:rFonts w:hint="eastAsia"/>
                <w:noProof/>
              </w:rPr>
              <w:t>ü</w:t>
            </w:r>
            <w:r w:rsidR="00BF277A" w:rsidRPr="00985FE7">
              <w:rPr>
                <w:rStyle w:val="Hyperlink"/>
                <w:noProof/>
              </w:rPr>
              <w:t>gen</w:t>
            </w:r>
            <w:r w:rsidR="00BF277A">
              <w:rPr>
                <w:noProof/>
                <w:webHidden/>
              </w:rPr>
              <w:tab/>
            </w:r>
            <w:r w:rsidR="00BF277A">
              <w:rPr>
                <w:noProof/>
                <w:webHidden/>
              </w:rPr>
              <w:fldChar w:fldCharType="begin"/>
            </w:r>
            <w:r w:rsidR="00BF277A">
              <w:rPr>
                <w:noProof/>
                <w:webHidden/>
              </w:rPr>
              <w:instrText xml:space="preserve"> PAGEREF _Toc169934811 \h </w:instrText>
            </w:r>
            <w:r w:rsidR="00BF277A">
              <w:rPr>
                <w:noProof/>
                <w:webHidden/>
              </w:rPr>
            </w:r>
            <w:r w:rsidR="00BF277A">
              <w:rPr>
                <w:noProof/>
                <w:webHidden/>
              </w:rPr>
              <w:fldChar w:fldCharType="separate"/>
            </w:r>
            <w:r w:rsidR="00F43608">
              <w:rPr>
                <w:noProof/>
                <w:webHidden/>
              </w:rPr>
              <w:t>24</w:t>
            </w:r>
            <w:r w:rsidR="00BF277A">
              <w:rPr>
                <w:noProof/>
                <w:webHidden/>
              </w:rPr>
              <w:fldChar w:fldCharType="end"/>
            </w:r>
          </w:hyperlink>
        </w:p>
        <w:p w14:paraId="6EB908E2" w14:textId="28DF95A6"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12" w:history="1">
            <w:r w:rsidR="00BF277A" w:rsidRPr="00985FE7">
              <w:rPr>
                <w:rStyle w:val="Hyperlink"/>
                <w:noProof/>
              </w:rPr>
              <w:t>6.6</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Landes- vs. Bundesrecht</w:t>
            </w:r>
            <w:r w:rsidR="00BF277A">
              <w:rPr>
                <w:noProof/>
                <w:webHidden/>
              </w:rPr>
              <w:tab/>
            </w:r>
            <w:r w:rsidR="00BF277A">
              <w:rPr>
                <w:noProof/>
                <w:webHidden/>
              </w:rPr>
              <w:fldChar w:fldCharType="begin"/>
            </w:r>
            <w:r w:rsidR="00BF277A">
              <w:rPr>
                <w:noProof/>
                <w:webHidden/>
              </w:rPr>
              <w:instrText xml:space="preserve"> PAGEREF _Toc169934812 \h </w:instrText>
            </w:r>
            <w:r w:rsidR="00BF277A">
              <w:rPr>
                <w:noProof/>
                <w:webHidden/>
              </w:rPr>
            </w:r>
            <w:r w:rsidR="00BF277A">
              <w:rPr>
                <w:noProof/>
                <w:webHidden/>
              </w:rPr>
              <w:fldChar w:fldCharType="separate"/>
            </w:r>
            <w:r w:rsidR="00F43608">
              <w:rPr>
                <w:noProof/>
                <w:webHidden/>
              </w:rPr>
              <w:t>24</w:t>
            </w:r>
            <w:r w:rsidR="00BF277A">
              <w:rPr>
                <w:noProof/>
                <w:webHidden/>
              </w:rPr>
              <w:fldChar w:fldCharType="end"/>
            </w:r>
          </w:hyperlink>
        </w:p>
        <w:p w14:paraId="4B96BA8A" w14:textId="637D1CCB" w:rsidR="00BF277A" w:rsidRDefault="00000000">
          <w:pPr>
            <w:pStyle w:val="Verzeichnis3"/>
            <w:rPr>
              <w:rFonts w:eastAsiaTheme="minorEastAsia" w:cstheme="minorBidi"/>
              <w:noProof/>
              <w:kern w:val="2"/>
              <w:sz w:val="24"/>
              <w:szCs w:val="24"/>
              <w:lang w:eastAsia="de-DE"/>
              <w14:ligatures w14:val="standardContextual"/>
            </w:rPr>
          </w:pPr>
          <w:hyperlink w:anchor="_Toc169934813" w:history="1">
            <w:r w:rsidR="00BF277A" w:rsidRPr="00985FE7">
              <w:rPr>
                <w:rStyle w:val="Hyperlink"/>
                <w:noProof/>
              </w:rPr>
              <w:t>6.6.1</w:t>
            </w:r>
            <w:r w:rsidR="00BF277A">
              <w:rPr>
                <w:rFonts w:eastAsiaTheme="minorEastAsia" w:cstheme="minorBidi"/>
                <w:noProof/>
                <w:kern w:val="2"/>
                <w:sz w:val="24"/>
                <w:szCs w:val="24"/>
                <w:lang w:eastAsia="de-DE"/>
                <w14:ligatures w14:val="standardContextual"/>
              </w:rPr>
              <w:tab/>
            </w:r>
            <w:r w:rsidR="00BF277A" w:rsidRPr="00985FE7">
              <w:rPr>
                <w:rStyle w:val="Hyperlink"/>
                <w:rFonts w:hint="eastAsia"/>
                <w:noProof/>
              </w:rPr>
              <w:t>Ä</w:t>
            </w:r>
            <w:r w:rsidR="00BF277A" w:rsidRPr="00985FE7">
              <w:rPr>
                <w:rStyle w:val="Hyperlink"/>
                <w:noProof/>
              </w:rPr>
              <w:t xml:space="preserve">rztliches Berufsrecht und </w:t>
            </w:r>
            <w:r w:rsidR="00BF277A" w:rsidRPr="00985FE7">
              <w:rPr>
                <w:rStyle w:val="Hyperlink"/>
                <w:rFonts w:hint="eastAsia"/>
                <w:noProof/>
              </w:rPr>
              <w:t>ä</w:t>
            </w:r>
            <w:r w:rsidR="00BF277A" w:rsidRPr="00985FE7">
              <w:rPr>
                <w:rStyle w:val="Hyperlink"/>
                <w:noProof/>
              </w:rPr>
              <w:t>rztliche Schweigepflicht</w:t>
            </w:r>
            <w:r w:rsidR="00BF277A">
              <w:rPr>
                <w:noProof/>
                <w:webHidden/>
              </w:rPr>
              <w:tab/>
            </w:r>
            <w:r w:rsidR="00BF277A">
              <w:rPr>
                <w:noProof/>
                <w:webHidden/>
              </w:rPr>
              <w:fldChar w:fldCharType="begin"/>
            </w:r>
            <w:r w:rsidR="00BF277A">
              <w:rPr>
                <w:noProof/>
                <w:webHidden/>
              </w:rPr>
              <w:instrText xml:space="preserve"> PAGEREF _Toc169934813 \h </w:instrText>
            </w:r>
            <w:r w:rsidR="00BF277A">
              <w:rPr>
                <w:noProof/>
                <w:webHidden/>
              </w:rPr>
            </w:r>
            <w:r w:rsidR="00BF277A">
              <w:rPr>
                <w:noProof/>
                <w:webHidden/>
              </w:rPr>
              <w:fldChar w:fldCharType="separate"/>
            </w:r>
            <w:r w:rsidR="00F43608">
              <w:rPr>
                <w:noProof/>
                <w:webHidden/>
              </w:rPr>
              <w:t>26</w:t>
            </w:r>
            <w:r w:rsidR="00BF277A">
              <w:rPr>
                <w:noProof/>
                <w:webHidden/>
              </w:rPr>
              <w:fldChar w:fldCharType="end"/>
            </w:r>
          </w:hyperlink>
        </w:p>
        <w:p w14:paraId="707F2476" w14:textId="49DD012A" w:rsidR="00BF277A" w:rsidRDefault="00000000">
          <w:pPr>
            <w:pStyle w:val="Verzeichnis3"/>
            <w:rPr>
              <w:rFonts w:eastAsiaTheme="minorEastAsia" w:cstheme="minorBidi"/>
              <w:noProof/>
              <w:kern w:val="2"/>
              <w:sz w:val="24"/>
              <w:szCs w:val="24"/>
              <w:lang w:eastAsia="de-DE"/>
              <w14:ligatures w14:val="standardContextual"/>
            </w:rPr>
          </w:pPr>
          <w:hyperlink w:anchor="_Toc169934814" w:history="1">
            <w:r w:rsidR="00BF277A" w:rsidRPr="00985FE7">
              <w:rPr>
                <w:rStyle w:val="Hyperlink"/>
                <w:noProof/>
              </w:rPr>
              <w:t>6.6.2</w:t>
            </w:r>
            <w:r w:rsidR="00BF277A">
              <w:rPr>
                <w:rFonts w:eastAsiaTheme="minorEastAsia" w:cstheme="minorBidi"/>
                <w:noProof/>
                <w:kern w:val="2"/>
                <w:sz w:val="24"/>
                <w:szCs w:val="24"/>
                <w:lang w:eastAsia="de-DE"/>
                <w14:ligatures w14:val="standardContextual"/>
              </w:rPr>
              <w:tab/>
            </w:r>
            <w:r w:rsidR="00BF277A" w:rsidRPr="00985FE7">
              <w:rPr>
                <w:rStyle w:val="Hyperlink"/>
                <w:noProof/>
              </w:rPr>
              <w:t>Sonderfall: Qualit</w:t>
            </w:r>
            <w:r w:rsidR="00BF277A" w:rsidRPr="00985FE7">
              <w:rPr>
                <w:rStyle w:val="Hyperlink"/>
                <w:rFonts w:hint="eastAsia"/>
                <w:noProof/>
              </w:rPr>
              <w:t>ä</w:t>
            </w:r>
            <w:r w:rsidR="00BF277A" w:rsidRPr="00985FE7">
              <w:rPr>
                <w:rStyle w:val="Hyperlink"/>
                <w:noProof/>
              </w:rPr>
              <w:t>tssicherung und Sozialversicherung</w:t>
            </w:r>
            <w:r w:rsidR="00BF277A">
              <w:rPr>
                <w:noProof/>
                <w:webHidden/>
              </w:rPr>
              <w:tab/>
            </w:r>
            <w:r w:rsidR="00BF277A">
              <w:rPr>
                <w:noProof/>
                <w:webHidden/>
              </w:rPr>
              <w:fldChar w:fldCharType="begin"/>
            </w:r>
            <w:r w:rsidR="00BF277A">
              <w:rPr>
                <w:noProof/>
                <w:webHidden/>
              </w:rPr>
              <w:instrText xml:space="preserve"> PAGEREF _Toc169934814 \h </w:instrText>
            </w:r>
            <w:r w:rsidR="00BF277A">
              <w:rPr>
                <w:noProof/>
                <w:webHidden/>
              </w:rPr>
            </w:r>
            <w:r w:rsidR="00BF277A">
              <w:rPr>
                <w:noProof/>
                <w:webHidden/>
              </w:rPr>
              <w:fldChar w:fldCharType="separate"/>
            </w:r>
            <w:r w:rsidR="00F43608">
              <w:rPr>
                <w:noProof/>
                <w:webHidden/>
              </w:rPr>
              <w:t>27</w:t>
            </w:r>
            <w:r w:rsidR="00BF277A">
              <w:rPr>
                <w:noProof/>
                <w:webHidden/>
              </w:rPr>
              <w:fldChar w:fldCharType="end"/>
            </w:r>
          </w:hyperlink>
        </w:p>
        <w:p w14:paraId="58A6A506" w14:textId="32804B54" w:rsidR="00BF277A" w:rsidRDefault="00000000">
          <w:pPr>
            <w:pStyle w:val="Verzeichnis3"/>
            <w:rPr>
              <w:rFonts w:eastAsiaTheme="minorEastAsia" w:cstheme="minorBidi"/>
              <w:noProof/>
              <w:kern w:val="2"/>
              <w:sz w:val="24"/>
              <w:szCs w:val="24"/>
              <w:lang w:eastAsia="de-DE"/>
              <w14:ligatures w14:val="standardContextual"/>
            </w:rPr>
          </w:pPr>
          <w:hyperlink w:anchor="_Toc169934815" w:history="1">
            <w:r w:rsidR="00BF277A" w:rsidRPr="00985FE7">
              <w:rPr>
                <w:rStyle w:val="Hyperlink"/>
                <w:noProof/>
              </w:rPr>
              <w:t>6.6.3</w:t>
            </w:r>
            <w:r w:rsidR="00BF277A">
              <w:rPr>
                <w:rFonts w:eastAsiaTheme="minorEastAsia" w:cstheme="minorBidi"/>
                <w:noProof/>
                <w:kern w:val="2"/>
                <w:sz w:val="24"/>
                <w:szCs w:val="24"/>
                <w:lang w:eastAsia="de-DE"/>
                <w14:ligatures w14:val="standardContextual"/>
              </w:rPr>
              <w:tab/>
            </w:r>
            <w:r w:rsidR="00BF277A" w:rsidRPr="00985FE7">
              <w:rPr>
                <w:rStyle w:val="Hyperlink"/>
                <w:noProof/>
              </w:rPr>
              <w:t>Sonderfall: wissenschaftliche Forschung</w:t>
            </w:r>
            <w:r w:rsidR="00BF277A">
              <w:rPr>
                <w:noProof/>
                <w:webHidden/>
              </w:rPr>
              <w:tab/>
            </w:r>
            <w:r w:rsidR="00BF277A">
              <w:rPr>
                <w:noProof/>
                <w:webHidden/>
              </w:rPr>
              <w:fldChar w:fldCharType="begin"/>
            </w:r>
            <w:r w:rsidR="00BF277A">
              <w:rPr>
                <w:noProof/>
                <w:webHidden/>
              </w:rPr>
              <w:instrText xml:space="preserve"> PAGEREF _Toc169934815 \h </w:instrText>
            </w:r>
            <w:r w:rsidR="00BF277A">
              <w:rPr>
                <w:noProof/>
                <w:webHidden/>
              </w:rPr>
            </w:r>
            <w:r w:rsidR="00BF277A">
              <w:rPr>
                <w:noProof/>
                <w:webHidden/>
              </w:rPr>
              <w:fldChar w:fldCharType="separate"/>
            </w:r>
            <w:r w:rsidR="00F43608">
              <w:rPr>
                <w:noProof/>
                <w:webHidden/>
              </w:rPr>
              <w:t>28</w:t>
            </w:r>
            <w:r w:rsidR="00BF277A">
              <w:rPr>
                <w:noProof/>
                <w:webHidden/>
              </w:rPr>
              <w:fldChar w:fldCharType="end"/>
            </w:r>
          </w:hyperlink>
        </w:p>
        <w:p w14:paraId="0C15AF39" w14:textId="0C686F5D"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16" w:history="1">
            <w:r w:rsidR="00BF277A" w:rsidRPr="00985FE7">
              <w:rPr>
                <w:rStyle w:val="Hyperlink"/>
                <w:noProof/>
              </w:rPr>
              <w:t>6.7</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Deutsches Kirchenrecht</w:t>
            </w:r>
            <w:r w:rsidR="00BF277A">
              <w:rPr>
                <w:noProof/>
                <w:webHidden/>
              </w:rPr>
              <w:tab/>
            </w:r>
            <w:r w:rsidR="00BF277A">
              <w:rPr>
                <w:noProof/>
                <w:webHidden/>
              </w:rPr>
              <w:fldChar w:fldCharType="begin"/>
            </w:r>
            <w:r w:rsidR="00BF277A">
              <w:rPr>
                <w:noProof/>
                <w:webHidden/>
              </w:rPr>
              <w:instrText xml:space="preserve"> PAGEREF _Toc169934816 \h </w:instrText>
            </w:r>
            <w:r w:rsidR="00BF277A">
              <w:rPr>
                <w:noProof/>
                <w:webHidden/>
              </w:rPr>
            </w:r>
            <w:r w:rsidR="00BF277A">
              <w:rPr>
                <w:noProof/>
                <w:webHidden/>
              </w:rPr>
              <w:fldChar w:fldCharType="separate"/>
            </w:r>
            <w:r w:rsidR="00F43608">
              <w:rPr>
                <w:noProof/>
                <w:webHidden/>
              </w:rPr>
              <w:t>28</w:t>
            </w:r>
            <w:r w:rsidR="00BF277A">
              <w:rPr>
                <w:noProof/>
                <w:webHidden/>
              </w:rPr>
              <w:fldChar w:fldCharType="end"/>
            </w:r>
          </w:hyperlink>
        </w:p>
        <w:p w14:paraId="36EFE198" w14:textId="12CB244A"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817" w:history="1">
            <w:r w:rsidR="00BF277A" w:rsidRPr="00985FE7">
              <w:rPr>
                <w:rStyle w:val="Hyperlink"/>
                <w:noProof/>
              </w:rPr>
              <w:t>7</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Betrachtete nationale Gesetze</w:t>
            </w:r>
            <w:r w:rsidR="00BF277A">
              <w:rPr>
                <w:noProof/>
                <w:webHidden/>
              </w:rPr>
              <w:tab/>
            </w:r>
            <w:r w:rsidR="00BF277A">
              <w:rPr>
                <w:noProof/>
                <w:webHidden/>
              </w:rPr>
              <w:fldChar w:fldCharType="begin"/>
            </w:r>
            <w:r w:rsidR="00BF277A">
              <w:rPr>
                <w:noProof/>
                <w:webHidden/>
              </w:rPr>
              <w:instrText xml:space="preserve"> PAGEREF _Toc169934817 \h </w:instrText>
            </w:r>
            <w:r w:rsidR="00BF277A">
              <w:rPr>
                <w:noProof/>
                <w:webHidden/>
              </w:rPr>
            </w:r>
            <w:r w:rsidR="00BF277A">
              <w:rPr>
                <w:noProof/>
                <w:webHidden/>
              </w:rPr>
              <w:fldChar w:fldCharType="separate"/>
            </w:r>
            <w:r w:rsidR="00F43608">
              <w:rPr>
                <w:noProof/>
                <w:webHidden/>
              </w:rPr>
              <w:t>33</w:t>
            </w:r>
            <w:r w:rsidR="00BF277A">
              <w:rPr>
                <w:noProof/>
                <w:webHidden/>
              </w:rPr>
              <w:fldChar w:fldCharType="end"/>
            </w:r>
          </w:hyperlink>
        </w:p>
        <w:p w14:paraId="2BAE4D6D" w14:textId="117804FA"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18" w:history="1">
            <w:r w:rsidR="00BF277A" w:rsidRPr="00985FE7">
              <w:rPr>
                <w:rStyle w:val="Hyperlink"/>
                <w:noProof/>
              </w:rPr>
              <w:t>7.1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Bundesrecht</w:t>
            </w:r>
            <w:r w:rsidR="00BF277A">
              <w:rPr>
                <w:noProof/>
                <w:webHidden/>
              </w:rPr>
              <w:tab/>
            </w:r>
            <w:r w:rsidR="00BF277A">
              <w:rPr>
                <w:noProof/>
                <w:webHidden/>
              </w:rPr>
              <w:fldChar w:fldCharType="begin"/>
            </w:r>
            <w:r w:rsidR="00BF277A">
              <w:rPr>
                <w:noProof/>
                <w:webHidden/>
              </w:rPr>
              <w:instrText xml:space="preserve"> PAGEREF _Toc169934818 \h </w:instrText>
            </w:r>
            <w:r w:rsidR="00BF277A">
              <w:rPr>
                <w:noProof/>
                <w:webHidden/>
              </w:rPr>
            </w:r>
            <w:r w:rsidR="00BF277A">
              <w:rPr>
                <w:noProof/>
                <w:webHidden/>
              </w:rPr>
              <w:fldChar w:fldCharType="separate"/>
            </w:r>
            <w:r w:rsidR="00F43608">
              <w:rPr>
                <w:noProof/>
                <w:webHidden/>
              </w:rPr>
              <w:t>33</w:t>
            </w:r>
            <w:r w:rsidR="00BF277A">
              <w:rPr>
                <w:noProof/>
                <w:webHidden/>
              </w:rPr>
              <w:fldChar w:fldCharType="end"/>
            </w:r>
          </w:hyperlink>
        </w:p>
        <w:p w14:paraId="58DD13D5" w14:textId="3DF30D51" w:rsidR="00BF277A" w:rsidRDefault="00000000">
          <w:pPr>
            <w:pStyle w:val="Verzeichnis3"/>
            <w:rPr>
              <w:rFonts w:eastAsiaTheme="minorEastAsia" w:cstheme="minorBidi"/>
              <w:noProof/>
              <w:kern w:val="2"/>
              <w:sz w:val="24"/>
              <w:szCs w:val="24"/>
              <w:lang w:eastAsia="de-DE"/>
              <w14:ligatures w14:val="standardContextual"/>
            </w:rPr>
          </w:pPr>
          <w:hyperlink w:anchor="_Toc169934819" w:history="1">
            <w:r w:rsidR="00BF277A" w:rsidRPr="00985FE7">
              <w:rPr>
                <w:rStyle w:val="Hyperlink"/>
                <w:noProof/>
              </w:rPr>
              <w:t>7.1.1</w:t>
            </w:r>
            <w:r w:rsidR="00BF277A">
              <w:rPr>
                <w:rFonts w:eastAsiaTheme="minorEastAsia" w:cstheme="minorBidi"/>
                <w:noProof/>
                <w:kern w:val="2"/>
                <w:sz w:val="24"/>
                <w:szCs w:val="24"/>
                <w:lang w:eastAsia="de-DE"/>
                <w14:ligatures w14:val="standardContextual"/>
              </w:rPr>
              <w:tab/>
            </w:r>
            <w:r w:rsidR="00BF277A" w:rsidRPr="00985FE7">
              <w:rPr>
                <w:rStyle w:val="Hyperlink"/>
                <w:noProof/>
              </w:rPr>
              <w:t>Bundesdatenschutzgesetz (BDSG)</w:t>
            </w:r>
            <w:r w:rsidR="00BF277A">
              <w:rPr>
                <w:noProof/>
                <w:webHidden/>
              </w:rPr>
              <w:tab/>
            </w:r>
            <w:r w:rsidR="00BF277A">
              <w:rPr>
                <w:noProof/>
                <w:webHidden/>
              </w:rPr>
              <w:fldChar w:fldCharType="begin"/>
            </w:r>
            <w:r w:rsidR="00BF277A">
              <w:rPr>
                <w:noProof/>
                <w:webHidden/>
              </w:rPr>
              <w:instrText xml:space="preserve"> PAGEREF _Toc169934819 \h </w:instrText>
            </w:r>
            <w:r w:rsidR="00BF277A">
              <w:rPr>
                <w:noProof/>
                <w:webHidden/>
              </w:rPr>
            </w:r>
            <w:r w:rsidR="00BF277A">
              <w:rPr>
                <w:noProof/>
                <w:webHidden/>
              </w:rPr>
              <w:fldChar w:fldCharType="separate"/>
            </w:r>
            <w:r w:rsidR="00F43608">
              <w:rPr>
                <w:noProof/>
                <w:webHidden/>
              </w:rPr>
              <w:t>33</w:t>
            </w:r>
            <w:r w:rsidR="00BF277A">
              <w:rPr>
                <w:noProof/>
                <w:webHidden/>
              </w:rPr>
              <w:fldChar w:fldCharType="end"/>
            </w:r>
          </w:hyperlink>
        </w:p>
        <w:p w14:paraId="344EA5ED" w14:textId="6CA088FB" w:rsidR="00BF277A" w:rsidRDefault="00000000">
          <w:pPr>
            <w:pStyle w:val="Verzeichnis4"/>
            <w:rPr>
              <w:rFonts w:eastAsiaTheme="minorEastAsia" w:cstheme="minorBidi"/>
              <w:noProof/>
              <w:kern w:val="2"/>
              <w:sz w:val="24"/>
              <w:szCs w:val="24"/>
              <w:lang w:eastAsia="de-DE"/>
              <w14:ligatures w14:val="standardContextual"/>
            </w:rPr>
          </w:pPr>
          <w:hyperlink w:anchor="_Toc169934820" w:history="1">
            <w:r w:rsidR="00BF277A" w:rsidRPr="00985FE7">
              <w:rPr>
                <w:rStyle w:val="Hyperlink"/>
                <w:noProof/>
              </w:rPr>
              <w:t>7.1.1.1</w:t>
            </w:r>
            <w:r w:rsidR="00BF277A">
              <w:rPr>
                <w:rFonts w:eastAsiaTheme="minorEastAsia" w:cstheme="minorBidi"/>
                <w:noProof/>
                <w:kern w:val="2"/>
                <w:sz w:val="24"/>
                <w:szCs w:val="24"/>
                <w:lang w:eastAsia="de-DE"/>
                <w14:ligatures w14:val="standardContextual"/>
              </w:rPr>
              <w:tab/>
            </w:r>
            <w:r w:rsidR="00BF277A" w:rsidRPr="00985FE7">
              <w:rPr>
                <w:rStyle w:val="Hyperlink"/>
                <w:noProof/>
              </w:rPr>
              <w:t>Patientenbehandlung</w:t>
            </w:r>
            <w:r w:rsidR="00BF277A">
              <w:rPr>
                <w:noProof/>
                <w:webHidden/>
              </w:rPr>
              <w:tab/>
            </w:r>
            <w:r w:rsidR="00BF277A">
              <w:rPr>
                <w:noProof/>
                <w:webHidden/>
              </w:rPr>
              <w:fldChar w:fldCharType="begin"/>
            </w:r>
            <w:r w:rsidR="00BF277A">
              <w:rPr>
                <w:noProof/>
                <w:webHidden/>
              </w:rPr>
              <w:instrText xml:space="preserve"> PAGEREF _Toc169934820 \h </w:instrText>
            </w:r>
            <w:r w:rsidR="00BF277A">
              <w:rPr>
                <w:noProof/>
                <w:webHidden/>
              </w:rPr>
            </w:r>
            <w:r w:rsidR="00BF277A">
              <w:rPr>
                <w:noProof/>
                <w:webHidden/>
              </w:rPr>
              <w:fldChar w:fldCharType="separate"/>
            </w:r>
            <w:r w:rsidR="00F43608">
              <w:rPr>
                <w:noProof/>
                <w:webHidden/>
              </w:rPr>
              <w:t>33</w:t>
            </w:r>
            <w:r w:rsidR="00BF277A">
              <w:rPr>
                <w:noProof/>
                <w:webHidden/>
              </w:rPr>
              <w:fldChar w:fldCharType="end"/>
            </w:r>
          </w:hyperlink>
        </w:p>
        <w:p w14:paraId="48403CE1" w14:textId="44A18B56" w:rsidR="00BF277A" w:rsidRDefault="00000000">
          <w:pPr>
            <w:pStyle w:val="Verzeichnis4"/>
            <w:rPr>
              <w:rFonts w:eastAsiaTheme="minorEastAsia" w:cstheme="minorBidi"/>
              <w:noProof/>
              <w:kern w:val="2"/>
              <w:sz w:val="24"/>
              <w:szCs w:val="24"/>
              <w:lang w:eastAsia="de-DE"/>
              <w14:ligatures w14:val="standardContextual"/>
            </w:rPr>
          </w:pPr>
          <w:hyperlink w:anchor="_Toc169934821" w:history="1">
            <w:r w:rsidR="00BF277A" w:rsidRPr="00985FE7">
              <w:rPr>
                <w:rStyle w:val="Hyperlink"/>
                <w:noProof/>
              </w:rPr>
              <w:t>7.1.1.2</w:t>
            </w:r>
            <w:r w:rsidR="00BF277A">
              <w:rPr>
                <w:rFonts w:eastAsiaTheme="minorEastAsia" w:cstheme="minorBidi"/>
                <w:noProof/>
                <w:kern w:val="2"/>
                <w:sz w:val="24"/>
                <w:szCs w:val="24"/>
                <w:lang w:eastAsia="de-DE"/>
                <w14:ligatures w14:val="standardContextual"/>
              </w:rPr>
              <w:tab/>
            </w:r>
            <w:r w:rsidR="00BF277A" w:rsidRPr="00985FE7">
              <w:rPr>
                <w:rStyle w:val="Hyperlink"/>
                <w:noProof/>
              </w:rPr>
              <w:t>Besch</w:t>
            </w:r>
            <w:r w:rsidR="00BF277A" w:rsidRPr="00985FE7">
              <w:rPr>
                <w:rStyle w:val="Hyperlink"/>
                <w:rFonts w:hint="eastAsia"/>
                <w:noProof/>
              </w:rPr>
              <w:t>ä</w:t>
            </w:r>
            <w:r w:rsidR="00BF277A" w:rsidRPr="00985FE7">
              <w:rPr>
                <w:rStyle w:val="Hyperlink"/>
                <w:noProof/>
              </w:rPr>
              <w:t>ftigungsverh</w:t>
            </w:r>
            <w:r w:rsidR="00BF277A" w:rsidRPr="00985FE7">
              <w:rPr>
                <w:rStyle w:val="Hyperlink"/>
                <w:rFonts w:hint="eastAsia"/>
                <w:noProof/>
              </w:rPr>
              <w:t>ä</w:t>
            </w:r>
            <w:r w:rsidR="00BF277A" w:rsidRPr="00985FE7">
              <w:rPr>
                <w:rStyle w:val="Hyperlink"/>
                <w:noProof/>
              </w:rPr>
              <w:t>ltnis</w:t>
            </w:r>
            <w:r w:rsidR="00BF277A">
              <w:rPr>
                <w:noProof/>
                <w:webHidden/>
              </w:rPr>
              <w:tab/>
            </w:r>
            <w:r w:rsidR="00BF277A">
              <w:rPr>
                <w:noProof/>
                <w:webHidden/>
              </w:rPr>
              <w:fldChar w:fldCharType="begin"/>
            </w:r>
            <w:r w:rsidR="00BF277A">
              <w:rPr>
                <w:noProof/>
                <w:webHidden/>
              </w:rPr>
              <w:instrText xml:space="preserve"> PAGEREF _Toc169934821 \h </w:instrText>
            </w:r>
            <w:r w:rsidR="00BF277A">
              <w:rPr>
                <w:noProof/>
                <w:webHidden/>
              </w:rPr>
            </w:r>
            <w:r w:rsidR="00BF277A">
              <w:rPr>
                <w:noProof/>
                <w:webHidden/>
              </w:rPr>
              <w:fldChar w:fldCharType="separate"/>
            </w:r>
            <w:r w:rsidR="00F43608">
              <w:rPr>
                <w:noProof/>
                <w:webHidden/>
              </w:rPr>
              <w:t>33</w:t>
            </w:r>
            <w:r w:rsidR="00BF277A">
              <w:rPr>
                <w:noProof/>
                <w:webHidden/>
              </w:rPr>
              <w:fldChar w:fldCharType="end"/>
            </w:r>
          </w:hyperlink>
        </w:p>
        <w:p w14:paraId="636C5E06" w14:textId="1ED8FB3A" w:rsidR="00BF277A" w:rsidRDefault="00000000">
          <w:pPr>
            <w:pStyle w:val="Verzeichnis4"/>
            <w:rPr>
              <w:rFonts w:eastAsiaTheme="minorEastAsia" w:cstheme="minorBidi"/>
              <w:noProof/>
              <w:kern w:val="2"/>
              <w:sz w:val="24"/>
              <w:szCs w:val="24"/>
              <w:lang w:eastAsia="de-DE"/>
              <w14:ligatures w14:val="standardContextual"/>
            </w:rPr>
          </w:pPr>
          <w:hyperlink w:anchor="_Toc169934822" w:history="1">
            <w:r w:rsidR="00BF277A" w:rsidRPr="00985FE7">
              <w:rPr>
                <w:rStyle w:val="Hyperlink"/>
                <w:noProof/>
              </w:rPr>
              <w:t>7.1.1.3</w:t>
            </w:r>
            <w:r w:rsidR="00BF277A">
              <w:rPr>
                <w:rFonts w:eastAsiaTheme="minorEastAsia" w:cstheme="minorBidi"/>
                <w:noProof/>
                <w:kern w:val="2"/>
                <w:sz w:val="24"/>
                <w:szCs w:val="24"/>
                <w:lang w:eastAsia="de-DE"/>
                <w14:ligatures w14:val="standardContextual"/>
              </w:rPr>
              <w:tab/>
            </w:r>
            <w:r w:rsidR="00BF277A" w:rsidRPr="00985FE7">
              <w:rPr>
                <w:rStyle w:val="Hyperlink"/>
                <w:noProof/>
              </w:rPr>
              <w:t>Forschung</w:t>
            </w:r>
            <w:r w:rsidR="00BF277A">
              <w:rPr>
                <w:noProof/>
                <w:webHidden/>
              </w:rPr>
              <w:tab/>
            </w:r>
            <w:r w:rsidR="00BF277A">
              <w:rPr>
                <w:noProof/>
                <w:webHidden/>
              </w:rPr>
              <w:fldChar w:fldCharType="begin"/>
            </w:r>
            <w:r w:rsidR="00BF277A">
              <w:rPr>
                <w:noProof/>
                <w:webHidden/>
              </w:rPr>
              <w:instrText xml:space="preserve"> PAGEREF _Toc169934822 \h </w:instrText>
            </w:r>
            <w:r w:rsidR="00BF277A">
              <w:rPr>
                <w:noProof/>
                <w:webHidden/>
              </w:rPr>
            </w:r>
            <w:r w:rsidR="00BF277A">
              <w:rPr>
                <w:noProof/>
                <w:webHidden/>
              </w:rPr>
              <w:fldChar w:fldCharType="separate"/>
            </w:r>
            <w:r w:rsidR="00F43608">
              <w:rPr>
                <w:noProof/>
                <w:webHidden/>
              </w:rPr>
              <w:t>34</w:t>
            </w:r>
            <w:r w:rsidR="00BF277A">
              <w:rPr>
                <w:noProof/>
                <w:webHidden/>
              </w:rPr>
              <w:fldChar w:fldCharType="end"/>
            </w:r>
          </w:hyperlink>
        </w:p>
        <w:p w14:paraId="4F6007A9" w14:textId="18824030" w:rsidR="00BF277A" w:rsidRDefault="00000000">
          <w:pPr>
            <w:pStyle w:val="Verzeichnis3"/>
            <w:rPr>
              <w:rFonts w:eastAsiaTheme="minorEastAsia" w:cstheme="minorBidi"/>
              <w:noProof/>
              <w:kern w:val="2"/>
              <w:sz w:val="24"/>
              <w:szCs w:val="24"/>
              <w:lang w:eastAsia="de-DE"/>
              <w14:ligatures w14:val="standardContextual"/>
            </w:rPr>
          </w:pPr>
          <w:hyperlink w:anchor="_Toc169934823" w:history="1">
            <w:r w:rsidR="00BF277A" w:rsidRPr="00985FE7">
              <w:rPr>
                <w:rStyle w:val="Hyperlink"/>
                <w:noProof/>
              </w:rPr>
              <w:t>7.1.2</w:t>
            </w:r>
            <w:r w:rsidR="00BF277A">
              <w:rPr>
                <w:rFonts w:eastAsiaTheme="minorEastAsia" w:cstheme="minorBidi"/>
                <w:noProof/>
                <w:kern w:val="2"/>
                <w:sz w:val="24"/>
                <w:szCs w:val="24"/>
                <w:lang w:eastAsia="de-DE"/>
                <w14:ligatures w14:val="standardContextual"/>
              </w:rPr>
              <w:tab/>
            </w:r>
            <w:r w:rsidR="00BF277A" w:rsidRPr="00985FE7">
              <w:rPr>
                <w:rStyle w:val="Hyperlink"/>
                <w:noProof/>
              </w:rPr>
              <w:t xml:space="preserve">Gesetz zur Nutzung von Gesundheitsdaten zu gemeinwohlorientierten Forschungszwecken </w:t>
            </w:r>
            <w:r w:rsidR="002634BD">
              <w:rPr>
                <w:rStyle w:val="Hyperlink"/>
                <w:noProof/>
              </w:rPr>
              <w:br/>
            </w:r>
            <w:r w:rsidR="002634BD" w:rsidRPr="002634BD">
              <w:rPr>
                <w:rStyle w:val="Hyperlink"/>
                <w:noProof/>
              </w:rPr>
              <w:tab/>
            </w:r>
            <w:r w:rsidR="00BF277A" w:rsidRPr="00985FE7">
              <w:rPr>
                <w:rStyle w:val="Hyperlink"/>
                <w:noProof/>
              </w:rPr>
              <w:t>und zur datenbasierten Weiterentwicklung des Gesundheitswesens</w:t>
            </w:r>
            <w:r w:rsidR="002634BD">
              <w:rPr>
                <w:rStyle w:val="Hyperlink"/>
                <w:noProof/>
              </w:rPr>
              <w:br/>
            </w:r>
            <w:r w:rsidR="002634BD" w:rsidRPr="002634BD">
              <w:rPr>
                <w:rStyle w:val="Hyperlink"/>
                <w:noProof/>
              </w:rPr>
              <w:tab/>
            </w:r>
            <w:r w:rsidR="00BF277A" w:rsidRPr="00985FE7">
              <w:rPr>
                <w:rStyle w:val="Hyperlink"/>
                <w:noProof/>
              </w:rPr>
              <w:t>(Gesundheitsdatennutzungsgesetz, GDNG)</w:t>
            </w:r>
            <w:r w:rsidR="00BF277A">
              <w:rPr>
                <w:noProof/>
                <w:webHidden/>
              </w:rPr>
              <w:tab/>
            </w:r>
            <w:r w:rsidR="00BF277A">
              <w:rPr>
                <w:noProof/>
                <w:webHidden/>
              </w:rPr>
              <w:fldChar w:fldCharType="begin"/>
            </w:r>
            <w:r w:rsidR="00BF277A">
              <w:rPr>
                <w:noProof/>
                <w:webHidden/>
              </w:rPr>
              <w:instrText xml:space="preserve"> PAGEREF _Toc169934823 \h </w:instrText>
            </w:r>
            <w:r w:rsidR="00BF277A">
              <w:rPr>
                <w:noProof/>
                <w:webHidden/>
              </w:rPr>
            </w:r>
            <w:r w:rsidR="00BF277A">
              <w:rPr>
                <w:noProof/>
                <w:webHidden/>
              </w:rPr>
              <w:fldChar w:fldCharType="separate"/>
            </w:r>
            <w:r w:rsidR="00F43608">
              <w:rPr>
                <w:noProof/>
                <w:webHidden/>
              </w:rPr>
              <w:t>34</w:t>
            </w:r>
            <w:r w:rsidR="00BF277A">
              <w:rPr>
                <w:noProof/>
                <w:webHidden/>
              </w:rPr>
              <w:fldChar w:fldCharType="end"/>
            </w:r>
          </w:hyperlink>
        </w:p>
        <w:p w14:paraId="3212C56C" w14:textId="0E21A6C2" w:rsidR="00BF277A" w:rsidRDefault="00000000">
          <w:pPr>
            <w:pStyle w:val="Verzeichnis4"/>
            <w:rPr>
              <w:rFonts w:eastAsiaTheme="minorEastAsia" w:cstheme="minorBidi"/>
              <w:noProof/>
              <w:kern w:val="2"/>
              <w:sz w:val="24"/>
              <w:szCs w:val="24"/>
              <w:lang w:eastAsia="de-DE"/>
              <w14:ligatures w14:val="standardContextual"/>
            </w:rPr>
          </w:pPr>
          <w:hyperlink w:anchor="_Toc169934824" w:history="1">
            <w:r w:rsidR="00BF277A" w:rsidRPr="00985FE7">
              <w:rPr>
                <w:rStyle w:val="Hyperlink"/>
                <w:noProof/>
              </w:rPr>
              <w:t>7.1.2.1</w:t>
            </w:r>
            <w:r w:rsidR="00BF277A">
              <w:rPr>
                <w:rFonts w:eastAsiaTheme="minorEastAsia" w:cstheme="minorBidi"/>
                <w:noProof/>
                <w:kern w:val="2"/>
                <w:sz w:val="24"/>
                <w:szCs w:val="24"/>
                <w:lang w:eastAsia="de-DE"/>
                <w14:ligatures w14:val="standardContextual"/>
              </w:rPr>
              <w:tab/>
            </w:r>
            <w:r w:rsidR="00BF277A" w:rsidRPr="00985FE7">
              <w:rPr>
                <w:rStyle w:val="Hyperlink"/>
                <w:noProof/>
              </w:rPr>
              <w:t>Allgemein</w:t>
            </w:r>
            <w:r w:rsidR="00BF277A">
              <w:rPr>
                <w:noProof/>
                <w:webHidden/>
              </w:rPr>
              <w:tab/>
            </w:r>
            <w:r w:rsidR="00BF277A">
              <w:rPr>
                <w:noProof/>
                <w:webHidden/>
              </w:rPr>
              <w:fldChar w:fldCharType="begin"/>
            </w:r>
            <w:r w:rsidR="00BF277A">
              <w:rPr>
                <w:noProof/>
                <w:webHidden/>
              </w:rPr>
              <w:instrText xml:space="preserve"> PAGEREF _Toc169934824 \h </w:instrText>
            </w:r>
            <w:r w:rsidR="00BF277A">
              <w:rPr>
                <w:noProof/>
                <w:webHidden/>
              </w:rPr>
            </w:r>
            <w:r w:rsidR="00BF277A">
              <w:rPr>
                <w:noProof/>
                <w:webHidden/>
              </w:rPr>
              <w:fldChar w:fldCharType="separate"/>
            </w:r>
            <w:r w:rsidR="00F43608">
              <w:rPr>
                <w:noProof/>
                <w:webHidden/>
              </w:rPr>
              <w:t>34</w:t>
            </w:r>
            <w:r w:rsidR="00BF277A">
              <w:rPr>
                <w:noProof/>
                <w:webHidden/>
              </w:rPr>
              <w:fldChar w:fldCharType="end"/>
            </w:r>
          </w:hyperlink>
        </w:p>
        <w:p w14:paraId="152C90B6" w14:textId="77729F5A" w:rsidR="00BF277A" w:rsidRDefault="00000000">
          <w:pPr>
            <w:pStyle w:val="Verzeichnis4"/>
            <w:rPr>
              <w:rFonts w:eastAsiaTheme="minorEastAsia" w:cstheme="minorBidi"/>
              <w:noProof/>
              <w:kern w:val="2"/>
              <w:sz w:val="24"/>
              <w:szCs w:val="24"/>
              <w:lang w:eastAsia="de-DE"/>
              <w14:ligatures w14:val="standardContextual"/>
            </w:rPr>
          </w:pPr>
          <w:hyperlink w:anchor="_Toc169934825" w:history="1">
            <w:r w:rsidR="00BF277A" w:rsidRPr="00985FE7">
              <w:rPr>
                <w:rStyle w:val="Hyperlink"/>
                <w:noProof/>
              </w:rPr>
              <w:t>7.1.2.2</w:t>
            </w:r>
            <w:r w:rsidR="00BF277A">
              <w:rPr>
                <w:rFonts w:eastAsiaTheme="minorEastAsia" w:cstheme="minorBidi"/>
                <w:noProof/>
                <w:kern w:val="2"/>
                <w:sz w:val="24"/>
                <w:szCs w:val="24"/>
                <w:lang w:eastAsia="de-DE"/>
                <w14:ligatures w14:val="standardContextual"/>
              </w:rPr>
              <w:tab/>
            </w:r>
            <w:r w:rsidR="00BF277A" w:rsidRPr="00985FE7">
              <w:rPr>
                <w:rStyle w:val="Hyperlink"/>
                <w:noProof/>
              </w:rPr>
              <w:t>GDNG: Bundes- vs. Landesrecht</w:t>
            </w:r>
            <w:r w:rsidR="00BF277A">
              <w:rPr>
                <w:noProof/>
                <w:webHidden/>
              </w:rPr>
              <w:tab/>
            </w:r>
            <w:r w:rsidR="00BF277A">
              <w:rPr>
                <w:noProof/>
                <w:webHidden/>
              </w:rPr>
              <w:fldChar w:fldCharType="begin"/>
            </w:r>
            <w:r w:rsidR="00BF277A">
              <w:rPr>
                <w:noProof/>
                <w:webHidden/>
              </w:rPr>
              <w:instrText xml:space="preserve"> PAGEREF _Toc169934825 \h </w:instrText>
            </w:r>
            <w:r w:rsidR="00BF277A">
              <w:rPr>
                <w:noProof/>
                <w:webHidden/>
              </w:rPr>
            </w:r>
            <w:r w:rsidR="00BF277A">
              <w:rPr>
                <w:noProof/>
                <w:webHidden/>
              </w:rPr>
              <w:fldChar w:fldCharType="separate"/>
            </w:r>
            <w:r w:rsidR="00F43608">
              <w:rPr>
                <w:noProof/>
                <w:webHidden/>
              </w:rPr>
              <w:t>34</w:t>
            </w:r>
            <w:r w:rsidR="00BF277A">
              <w:rPr>
                <w:noProof/>
                <w:webHidden/>
              </w:rPr>
              <w:fldChar w:fldCharType="end"/>
            </w:r>
          </w:hyperlink>
        </w:p>
        <w:p w14:paraId="69B84CBD" w14:textId="69F75F20" w:rsidR="00BF277A" w:rsidRDefault="00000000">
          <w:pPr>
            <w:pStyle w:val="Verzeichnis4"/>
            <w:rPr>
              <w:rFonts w:eastAsiaTheme="minorEastAsia" w:cstheme="minorBidi"/>
              <w:noProof/>
              <w:kern w:val="2"/>
              <w:sz w:val="24"/>
              <w:szCs w:val="24"/>
              <w:lang w:eastAsia="de-DE"/>
              <w14:ligatures w14:val="standardContextual"/>
            </w:rPr>
          </w:pPr>
          <w:hyperlink w:anchor="_Toc169934826" w:history="1">
            <w:r w:rsidR="00BF277A" w:rsidRPr="00985FE7">
              <w:rPr>
                <w:rStyle w:val="Hyperlink"/>
                <w:noProof/>
              </w:rPr>
              <w:t>7.1.2.3</w:t>
            </w:r>
            <w:r w:rsidR="00BF277A">
              <w:rPr>
                <w:rFonts w:eastAsiaTheme="minorEastAsia" w:cstheme="minorBidi"/>
                <w:noProof/>
                <w:kern w:val="2"/>
                <w:sz w:val="24"/>
                <w:szCs w:val="24"/>
                <w:lang w:eastAsia="de-DE"/>
                <w14:ligatures w14:val="standardContextual"/>
              </w:rPr>
              <w:tab/>
            </w:r>
            <w:r w:rsidR="00BF277A" w:rsidRPr="00985FE7">
              <w:rPr>
                <w:rStyle w:val="Hyperlink"/>
                <w:noProof/>
              </w:rPr>
              <w:t>Erlaubnistatbest</w:t>
            </w:r>
            <w:r w:rsidR="00BF277A" w:rsidRPr="00985FE7">
              <w:rPr>
                <w:rStyle w:val="Hyperlink"/>
                <w:rFonts w:hint="eastAsia"/>
                <w:noProof/>
              </w:rPr>
              <w:t>ä</w:t>
            </w:r>
            <w:r w:rsidR="00BF277A" w:rsidRPr="00985FE7">
              <w:rPr>
                <w:rStyle w:val="Hyperlink"/>
                <w:noProof/>
              </w:rPr>
              <w:t>nde des GDNG</w:t>
            </w:r>
            <w:r w:rsidR="00BF277A">
              <w:rPr>
                <w:noProof/>
                <w:webHidden/>
              </w:rPr>
              <w:tab/>
            </w:r>
            <w:r w:rsidR="00BF277A">
              <w:rPr>
                <w:noProof/>
                <w:webHidden/>
              </w:rPr>
              <w:fldChar w:fldCharType="begin"/>
            </w:r>
            <w:r w:rsidR="00BF277A">
              <w:rPr>
                <w:noProof/>
                <w:webHidden/>
              </w:rPr>
              <w:instrText xml:space="preserve"> PAGEREF _Toc169934826 \h </w:instrText>
            </w:r>
            <w:r w:rsidR="00BF277A">
              <w:rPr>
                <w:noProof/>
                <w:webHidden/>
              </w:rPr>
            </w:r>
            <w:r w:rsidR="00BF277A">
              <w:rPr>
                <w:noProof/>
                <w:webHidden/>
              </w:rPr>
              <w:fldChar w:fldCharType="separate"/>
            </w:r>
            <w:r w:rsidR="00F43608">
              <w:rPr>
                <w:noProof/>
                <w:webHidden/>
              </w:rPr>
              <w:t>35</w:t>
            </w:r>
            <w:r w:rsidR="00BF277A">
              <w:rPr>
                <w:noProof/>
                <w:webHidden/>
              </w:rPr>
              <w:fldChar w:fldCharType="end"/>
            </w:r>
          </w:hyperlink>
        </w:p>
        <w:p w14:paraId="5E64D875" w14:textId="49B79179" w:rsidR="00BF277A" w:rsidRDefault="00000000">
          <w:pPr>
            <w:pStyle w:val="Verzeichnis3"/>
            <w:rPr>
              <w:rFonts w:eastAsiaTheme="minorEastAsia" w:cstheme="minorBidi"/>
              <w:noProof/>
              <w:kern w:val="2"/>
              <w:sz w:val="24"/>
              <w:szCs w:val="24"/>
              <w:lang w:eastAsia="de-DE"/>
              <w14:ligatures w14:val="standardContextual"/>
            </w:rPr>
          </w:pPr>
          <w:hyperlink w:anchor="_Toc169934827" w:history="1">
            <w:r w:rsidR="00BF277A" w:rsidRPr="00985FE7">
              <w:rPr>
                <w:rStyle w:val="Hyperlink"/>
                <w:noProof/>
              </w:rPr>
              <w:t>7.1.3</w:t>
            </w:r>
            <w:r w:rsidR="00BF277A">
              <w:rPr>
                <w:rFonts w:eastAsiaTheme="minorEastAsia" w:cstheme="minorBidi"/>
                <w:noProof/>
                <w:kern w:val="2"/>
                <w:sz w:val="24"/>
                <w:szCs w:val="24"/>
                <w:lang w:eastAsia="de-DE"/>
                <w14:ligatures w14:val="standardContextual"/>
              </w:rPr>
              <w:tab/>
            </w:r>
            <w:r w:rsidR="00BF277A" w:rsidRPr="00985FE7">
              <w:rPr>
                <w:rStyle w:val="Hyperlink"/>
                <w:noProof/>
              </w:rPr>
              <w:t>Verarbeitung personenbezogener Daten durch Schwerbehindertenvertretung</w:t>
            </w:r>
            <w:r w:rsidR="00BF277A">
              <w:rPr>
                <w:noProof/>
                <w:webHidden/>
              </w:rPr>
              <w:tab/>
            </w:r>
            <w:r w:rsidR="00BF277A">
              <w:rPr>
                <w:noProof/>
                <w:webHidden/>
              </w:rPr>
              <w:fldChar w:fldCharType="begin"/>
            </w:r>
            <w:r w:rsidR="00BF277A">
              <w:rPr>
                <w:noProof/>
                <w:webHidden/>
              </w:rPr>
              <w:instrText xml:space="preserve"> PAGEREF _Toc169934827 \h </w:instrText>
            </w:r>
            <w:r w:rsidR="00BF277A">
              <w:rPr>
                <w:noProof/>
                <w:webHidden/>
              </w:rPr>
            </w:r>
            <w:r w:rsidR="00BF277A">
              <w:rPr>
                <w:noProof/>
                <w:webHidden/>
              </w:rPr>
              <w:fldChar w:fldCharType="separate"/>
            </w:r>
            <w:r w:rsidR="00F43608">
              <w:rPr>
                <w:noProof/>
                <w:webHidden/>
              </w:rPr>
              <w:t>35</w:t>
            </w:r>
            <w:r w:rsidR="00BF277A">
              <w:rPr>
                <w:noProof/>
                <w:webHidden/>
              </w:rPr>
              <w:fldChar w:fldCharType="end"/>
            </w:r>
          </w:hyperlink>
        </w:p>
        <w:p w14:paraId="5DD0ECA0" w14:textId="24A5CE3E"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28" w:history="1">
            <w:r w:rsidR="00BF277A" w:rsidRPr="00985FE7">
              <w:rPr>
                <w:rStyle w:val="Hyperlink"/>
                <w:noProof/>
              </w:rPr>
              <w:t>7.2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Kirchenrecht</w:t>
            </w:r>
            <w:r w:rsidR="00BF277A">
              <w:rPr>
                <w:noProof/>
                <w:webHidden/>
              </w:rPr>
              <w:tab/>
            </w:r>
            <w:r w:rsidR="00BF277A">
              <w:rPr>
                <w:noProof/>
                <w:webHidden/>
              </w:rPr>
              <w:fldChar w:fldCharType="begin"/>
            </w:r>
            <w:r w:rsidR="00BF277A">
              <w:rPr>
                <w:noProof/>
                <w:webHidden/>
              </w:rPr>
              <w:instrText xml:space="preserve"> PAGEREF _Toc169934828 \h </w:instrText>
            </w:r>
            <w:r w:rsidR="00BF277A">
              <w:rPr>
                <w:noProof/>
                <w:webHidden/>
              </w:rPr>
            </w:r>
            <w:r w:rsidR="00BF277A">
              <w:rPr>
                <w:noProof/>
                <w:webHidden/>
              </w:rPr>
              <w:fldChar w:fldCharType="separate"/>
            </w:r>
            <w:r w:rsidR="00F43608">
              <w:rPr>
                <w:noProof/>
                <w:webHidden/>
              </w:rPr>
              <w:t>37</w:t>
            </w:r>
            <w:r w:rsidR="00BF277A">
              <w:rPr>
                <w:noProof/>
                <w:webHidden/>
              </w:rPr>
              <w:fldChar w:fldCharType="end"/>
            </w:r>
          </w:hyperlink>
        </w:p>
        <w:p w14:paraId="33129416" w14:textId="172DF3BC" w:rsidR="00BF277A" w:rsidRDefault="00000000">
          <w:pPr>
            <w:pStyle w:val="Verzeichnis3"/>
            <w:rPr>
              <w:rFonts w:eastAsiaTheme="minorEastAsia" w:cstheme="minorBidi"/>
              <w:noProof/>
              <w:kern w:val="2"/>
              <w:sz w:val="24"/>
              <w:szCs w:val="24"/>
              <w:lang w:eastAsia="de-DE"/>
              <w14:ligatures w14:val="standardContextual"/>
            </w:rPr>
          </w:pPr>
          <w:hyperlink w:anchor="_Toc169934829" w:history="1">
            <w:r w:rsidR="00BF277A" w:rsidRPr="00985FE7">
              <w:rPr>
                <w:rStyle w:val="Hyperlink"/>
                <w:noProof/>
              </w:rPr>
              <w:t>7.2.1</w:t>
            </w:r>
            <w:r w:rsidR="00BF277A">
              <w:rPr>
                <w:rFonts w:eastAsiaTheme="minorEastAsia" w:cstheme="minorBidi"/>
                <w:noProof/>
                <w:kern w:val="2"/>
                <w:sz w:val="24"/>
                <w:szCs w:val="24"/>
                <w:lang w:eastAsia="de-DE"/>
                <w14:ligatures w14:val="standardContextual"/>
              </w:rPr>
              <w:tab/>
            </w:r>
            <w:r w:rsidR="00BF277A" w:rsidRPr="00985FE7">
              <w:rPr>
                <w:rStyle w:val="Hyperlink"/>
                <w:noProof/>
              </w:rPr>
              <w:t>Landeskrankenhausrecht und Regelungen von Religionsgemeinschaften</w:t>
            </w:r>
            <w:r w:rsidR="00BF277A">
              <w:rPr>
                <w:noProof/>
                <w:webHidden/>
              </w:rPr>
              <w:tab/>
            </w:r>
            <w:r w:rsidR="00BF277A">
              <w:rPr>
                <w:noProof/>
                <w:webHidden/>
              </w:rPr>
              <w:fldChar w:fldCharType="begin"/>
            </w:r>
            <w:r w:rsidR="00BF277A">
              <w:rPr>
                <w:noProof/>
                <w:webHidden/>
              </w:rPr>
              <w:instrText xml:space="preserve"> PAGEREF _Toc169934829 \h </w:instrText>
            </w:r>
            <w:r w:rsidR="00BF277A">
              <w:rPr>
                <w:noProof/>
                <w:webHidden/>
              </w:rPr>
            </w:r>
            <w:r w:rsidR="00BF277A">
              <w:rPr>
                <w:noProof/>
                <w:webHidden/>
              </w:rPr>
              <w:fldChar w:fldCharType="separate"/>
            </w:r>
            <w:r w:rsidR="00F43608">
              <w:rPr>
                <w:noProof/>
                <w:webHidden/>
              </w:rPr>
              <w:t>37</w:t>
            </w:r>
            <w:r w:rsidR="00BF277A">
              <w:rPr>
                <w:noProof/>
                <w:webHidden/>
              </w:rPr>
              <w:fldChar w:fldCharType="end"/>
            </w:r>
          </w:hyperlink>
        </w:p>
        <w:p w14:paraId="6AC7E149" w14:textId="78C312A3" w:rsidR="00BF277A" w:rsidRDefault="00000000">
          <w:pPr>
            <w:pStyle w:val="Verzeichnis4"/>
            <w:rPr>
              <w:rFonts w:eastAsiaTheme="minorEastAsia" w:cstheme="minorBidi"/>
              <w:noProof/>
              <w:kern w:val="2"/>
              <w:sz w:val="24"/>
              <w:szCs w:val="24"/>
              <w:lang w:eastAsia="de-DE"/>
              <w14:ligatures w14:val="standardContextual"/>
            </w:rPr>
          </w:pPr>
          <w:hyperlink w:anchor="_Toc169934830" w:history="1">
            <w:r w:rsidR="00BF277A" w:rsidRPr="00985FE7">
              <w:rPr>
                <w:rStyle w:val="Hyperlink"/>
                <w:noProof/>
              </w:rPr>
              <w:t>7.2.1.1</w:t>
            </w:r>
            <w:r w:rsidR="00BF277A">
              <w:rPr>
                <w:rFonts w:eastAsiaTheme="minorEastAsia" w:cstheme="minorBidi"/>
                <w:noProof/>
                <w:kern w:val="2"/>
                <w:sz w:val="24"/>
                <w:szCs w:val="24"/>
                <w:lang w:eastAsia="de-DE"/>
                <w14:ligatures w14:val="standardContextual"/>
              </w:rPr>
              <w:tab/>
            </w:r>
            <w:r w:rsidR="00BF277A" w:rsidRPr="00985FE7">
              <w:rPr>
                <w:rStyle w:val="Hyperlink"/>
                <w:noProof/>
              </w:rPr>
              <w:t>Geltungsbereich der Landeskrankenhausgesetze</w:t>
            </w:r>
            <w:r w:rsidR="00BF277A">
              <w:rPr>
                <w:noProof/>
                <w:webHidden/>
              </w:rPr>
              <w:tab/>
            </w:r>
            <w:r w:rsidR="00BF277A">
              <w:rPr>
                <w:noProof/>
                <w:webHidden/>
              </w:rPr>
              <w:fldChar w:fldCharType="begin"/>
            </w:r>
            <w:r w:rsidR="00BF277A">
              <w:rPr>
                <w:noProof/>
                <w:webHidden/>
              </w:rPr>
              <w:instrText xml:space="preserve"> PAGEREF _Toc169934830 \h </w:instrText>
            </w:r>
            <w:r w:rsidR="00BF277A">
              <w:rPr>
                <w:noProof/>
                <w:webHidden/>
              </w:rPr>
            </w:r>
            <w:r w:rsidR="00BF277A">
              <w:rPr>
                <w:noProof/>
                <w:webHidden/>
              </w:rPr>
              <w:fldChar w:fldCharType="separate"/>
            </w:r>
            <w:r w:rsidR="00F43608">
              <w:rPr>
                <w:noProof/>
                <w:webHidden/>
              </w:rPr>
              <w:t>37</w:t>
            </w:r>
            <w:r w:rsidR="00BF277A">
              <w:rPr>
                <w:noProof/>
                <w:webHidden/>
              </w:rPr>
              <w:fldChar w:fldCharType="end"/>
            </w:r>
          </w:hyperlink>
        </w:p>
        <w:p w14:paraId="111AB0CC" w14:textId="4ACF24C0" w:rsidR="00BF277A" w:rsidRDefault="00000000">
          <w:pPr>
            <w:pStyle w:val="Verzeichnis4"/>
            <w:rPr>
              <w:rFonts w:eastAsiaTheme="minorEastAsia" w:cstheme="minorBidi"/>
              <w:noProof/>
              <w:kern w:val="2"/>
              <w:sz w:val="24"/>
              <w:szCs w:val="24"/>
              <w:lang w:eastAsia="de-DE"/>
              <w14:ligatures w14:val="standardContextual"/>
            </w:rPr>
          </w:pPr>
          <w:hyperlink w:anchor="_Toc169934831" w:history="1">
            <w:r w:rsidR="00BF277A" w:rsidRPr="00985FE7">
              <w:rPr>
                <w:rStyle w:val="Hyperlink"/>
                <w:noProof/>
              </w:rPr>
              <w:t>7.2.1.2</w:t>
            </w:r>
            <w:r w:rsidR="00BF277A">
              <w:rPr>
                <w:rFonts w:eastAsiaTheme="minorEastAsia" w:cstheme="minorBidi"/>
                <w:noProof/>
                <w:kern w:val="2"/>
                <w:sz w:val="24"/>
                <w:szCs w:val="24"/>
                <w:lang w:eastAsia="de-DE"/>
                <w14:ligatures w14:val="standardContextual"/>
              </w:rPr>
              <w:tab/>
            </w:r>
            <w:r w:rsidR="00BF277A" w:rsidRPr="00985FE7">
              <w:rPr>
                <w:rStyle w:val="Hyperlink"/>
                <w:noProof/>
              </w:rPr>
              <w:t>Ausnahmetatbest</w:t>
            </w:r>
            <w:r w:rsidR="00BF277A" w:rsidRPr="00985FE7">
              <w:rPr>
                <w:rStyle w:val="Hyperlink"/>
                <w:rFonts w:hint="eastAsia"/>
                <w:noProof/>
              </w:rPr>
              <w:t>ä</w:t>
            </w:r>
            <w:r w:rsidR="00BF277A" w:rsidRPr="00985FE7">
              <w:rPr>
                <w:rStyle w:val="Hyperlink"/>
                <w:noProof/>
              </w:rPr>
              <w:t>nde in Landeskrankenhausgesetzen</w:t>
            </w:r>
            <w:r w:rsidR="00BF277A">
              <w:rPr>
                <w:noProof/>
                <w:webHidden/>
              </w:rPr>
              <w:tab/>
            </w:r>
            <w:r w:rsidR="00BF277A">
              <w:rPr>
                <w:noProof/>
                <w:webHidden/>
              </w:rPr>
              <w:fldChar w:fldCharType="begin"/>
            </w:r>
            <w:r w:rsidR="00BF277A">
              <w:rPr>
                <w:noProof/>
                <w:webHidden/>
              </w:rPr>
              <w:instrText xml:space="preserve"> PAGEREF _Toc169934831 \h </w:instrText>
            </w:r>
            <w:r w:rsidR="00BF277A">
              <w:rPr>
                <w:noProof/>
                <w:webHidden/>
              </w:rPr>
            </w:r>
            <w:r w:rsidR="00BF277A">
              <w:rPr>
                <w:noProof/>
                <w:webHidden/>
              </w:rPr>
              <w:fldChar w:fldCharType="separate"/>
            </w:r>
            <w:r w:rsidR="00F43608">
              <w:rPr>
                <w:noProof/>
                <w:webHidden/>
              </w:rPr>
              <w:t>39</w:t>
            </w:r>
            <w:r w:rsidR="00BF277A">
              <w:rPr>
                <w:noProof/>
                <w:webHidden/>
              </w:rPr>
              <w:fldChar w:fldCharType="end"/>
            </w:r>
          </w:hyperlink>
        </w:p>
        <w:p w14:paraId="47FD3E94" w14:textId="2EB166E8" w:rsidR="00BF277A" w:rsidRDefault="00000000">
          <w:pPr>
            <w:pStyle w:val="Verzeichnis4"/>
            <w:rPr>
              <w:rFonts w:eastAsiaTheme="minorEastAsia" w:cstheme="minorBidi"/>
              <w:noProof/>
              <w:kern w:val="2"/>
              <w:sz w:val="24"/>
              <w:szCs w:val="24"/>
              <w:lang w:eastAsia="de-DE"/>
              <w14:ligatures w14:val="standardContextual"/>
            </w:rPr>
          </w:pPr>
          <w:hyperlink w:anchor="_Toc169934832" w:history="1">
            <w:r w:rsidR="00BF277A" w:rsidRPr="00985FE7">
              <w:rPr>
                <w:rStyle w:val="Hyperlink"/>
                <w:noProof/>
              </w:rPr>
              <w:t>7.2.1.3</w:t>
            </w:r>
            <w:r w:rsidR="00BF277A">
              <w:rPr>
                <w:rFonts w:eastAsiaTheme="minorEastAsia" w:cstheme="minorBidi"/>
                <w:noProof/>
                <w:kern w:val="2"/>
                <w:sz w:val="24"/>
                <w:szCs w:val="24"/>
                <w:lang w:eastAsia="de-DE"/>
                <w14:ligatures w14:val="standardContextual"/>
              </w:rPr>
              <w:tab/>
            </w:r>
            <w:r w:rsidR="00BF277A" w:rsidRPr="00985FE7">
              <w:rPr>
                <w:rStyle w:val="Hyperlink"/>
                <w:noProof/>
              </w:rPr>
              <w:t>Ergebnis</w:t>
            </w:r>
            <w:r w:rsidR="00BF277A">
              <w:rPr>
                <w:noProof/>
                <w:webHidden/>
              </w:rPr>
              <w:tab/>
            </w:r>
            <w:r w:rsidR="00BF277A">
              <w:rPr>
                <w:noProof/>
                <w:webHidden/>
              </w:rPr>
              <w:fldChar w:fldCharType="begin"/>
            </w:r>
            <w:r w:rsidR="00BF277A">
              <w:rPr>
                <w:noProof/>
                <w:webHidden/>
              </w:rPr>
              <w:instrText xml:space="preserve"> PAGEREF _Toc169934832 \h </w:instrText>
            </w:r>
            <w:r w:rsidR="00BF277A">
              <w:rPr>
                <w:noProof/>
                <w:webHidden/>
              </w:rPr>
            </w:r>
            <w:r w:rsidR="00BF277A">
              <w:rPr>
                <w:noProof/>
                <w:webHidden/>
              </w:rPr>
              <w:fldChar w:fldCharType="separate"/>
            </w:r>
            <w:r w:rsidR="00F43608">
              <w:rPr>
                <w:noProof/>
                <w:webHidden/>
              </w:rPr>
              <w:t>40</w:t>
            </w:r>
            <w:r w:rsidR="00BF277A">
              <w:rPr>
                <w:noProof/>
                <w:webHidden/>
              </w:rPr>
              <w:fldChar w:fldCharType="end"/>
            </w:r>
          </w:hyperlink>
        </w:p>
        <w:p w14:paraId="59567DA5" w14:textId="45A5D2BF" w:rsidR="00BF277A" w:rsidRDefault="00000000">
          <w:pPr>
            <w:pStyle w:val="Verzeichnis3"/>
            <w:rPr>
              <w:rFonts w:eastAsiaTheme="minorEastAsia" w:cstheme="minorBidi"/>
              <w:noProof/>
              <w:kern w:val="2"/>
              <w:sz w:val="24"/>
              <w:szCs w:val="24"/>
              <w:lang w:eastAsia="de-DE"/>
              <w14:ligatures w14:val="standardContextual"/>
            </w:rPr>
          </w:pPr>
          <w:hyperlink w:anchor="_Toc169934833" w:history="1">
            <w:r w:rsidR="00BF277A" w:rsidRPr="00985FE7">
              <w:rPr>
                <w:rStyle w:val="Hyperlink"/>
                <w:noProof/>
              </w:rPr>
              <w:t>7.2.2</w:t>
            </w:r>
            <w:r w:rsidR="00BF277A">
              <w:rPr>
                <w:rFonts w:eastAsiaTheme="minorEastAsia" w:cstheme="minorBidi"/>
                <w:noProof/>
                <w:kern w:val="2"/>
                <w:sz w:val="24"/>
                <w:szCs w:val="24"/>
                <w:lang w:eastAsia="de-DE"/>
                <w14:ligatures w14:val="standardContextual"/>
              </w:rPr>
              <w:tab/>
            </w:r>
            <w:r w:rsidR="00BF277A" w:rsidRPr="00985FE7">
              <w:rPr>
                <w:rStyle w:val="Hyperlink"/>
                <w:noProof/>
              </w:rPr>
              <w:t>Erlaubnistatbest</w:t>
            </w:r>
            <w:r w:rsidR="00BF277A" w:rsidRPr="00985FE7">
              <w:rPr>
                <w:rStyle w:val="Hyperlink"/>
                <w:rFonts w:hint="eastAsia"/>
                <w:noProof/>
              </w:rPr>
              <w:t>ä</w:t>
            </w:r>
            <w:r w:rsidR="00BF277A" w:rsidRPr="00985FE7">
              <w:rPr>
                <w:rStyle w:val="Hyperlink"/>
                <w:noProof/>
              </w:rPr>
              <w:t>nde der ev. Kirche in Bezug auf Patientenversorgung</w:t>
            </w:r>
            <w:r w:rsidR="00BF277A">
              <w:rPr>
                <w:noProof/>
                <w:webHidden/>
              </w:rPr>
              <w:tab/>
            </w:r>
            <w:r w:rsidR="00BF277A">
              <w:rPr>
                <w:noProof/>
                <w:webHidden/>
              </w:rPr>
              <w:fldChar w:fldCharType="begin"/>
            </w:r>
            <w:r w:rsidR="00BF277A">
              <w:rPr>
                <w:noProof/>
                <w:webHidden/>
              </w:rPr>
              <w:instrText xml:space="preserve"> PAGEREF _Toc169934833 \h </w:instrText>
            </w:r>
            <w:r w:rsidR="00BF277A">
              <w:rPr>
                <w:noProof/>
                <w:webHidden/>
              </w:rPr>
            </w:r>
            <w:r w:rsidR="00BF277A">
              <w:rPr>
                <w:noProof/>
                <w:webHidden/>
              </w:rPr>
              <w:fldChar w:fldCharType="separate"/>
            </w:r>
            <w:r w:rsidR="00F43608">
              <w:rPr>
                <w:noProof/>
                <w:webHidden/>
              </w:rPr>
              <w:t>40</w:t>
            </w:r>
            <w:r w:rsidR="00BF277A">
              <w:rPr>
                <w:noProof/>
                <w:webHidden/>
              </w:rPr>
              <w:fldChar w:fldCharType="end"/>
            </w:r>
          </w:hyperlink>
        </w:p>
        <w:p w14:paraId="661F0086" w14:textId="6CB9BE53" w:rsidR="00BF277A" w:rsidRDefault="00000000">
          <w:pPr>
            <w:pStyle w:val="Verzeichnis4"/>
            <w:rPr>
              <w:rFonts w:eastAsiaTheme="minorEastAsia" w:cstheme="minorBidi"/>
              <w:noProof/>
              <w:kern w:val="2"/>
              <w:sz w:val="24"/>
              <w:szCs w:val="24"/>
              <w:lang w:eastAsia="de-DE"/>
              <w14:ligatures w14:val="standardContextual"/>
            </w:rPr>
          </w:pPr>
          <w:hyperlink w:anchor="_Toc169934834" w:history="1">
            <w:r w:rsidR="00BF277A" w:rsidRPr="00985FE7">
              <w:rPr>
                <w:rStyle w:val="Hyperlink"/>
                <w:noProof/>
              </w:rPr>
              <w:t>7.2.2.1</w:t>
            </w:r>
            <w:r w:rsidR="00BF277A">
              <w:rPr>
                <w:rFonts w:eastAsiaTheme="minorEastAsia" w:cstheme="minorBidi"/>
                <w:noProof/>
                <w:kern w:val="2"/>
                <w:sz w:val="24"/>
                <w:szCs w:val="24"/>
                <w:lang w:eastAsia="de-DE"/>
                <w14:ligatures w14:val="standardContextual"/>
              </w:rPr>
              <w:tab/>
            </w:r>
            <w:r w:rsidR="00BF277A" w:rsidRPr="00985FE7">
              <w:rPr>
                <w:rStyle w:val="Hyperlink"/>
                <w:noProof/>
              </w:rPr>
              <w:t>Bremische evangelische Kirche</w:t>
            </w:r>
            <w:r w:rsidR="00BF277A">
              <w:rPr>
                <w:noProof/>
                <w:webHidden/>
              </w:rPr>
              <w:tab/>
            </w:r>
            <w:r w:rsidR="00BF277A">
              <w:rPr>
                <w:noProof/>
                <w:webHidden/>
              </w:rPr>
              <w:fldChar w:fldCharType="begin"/>
            </w:r>
            <w:r w:rsidR="00BF277A">
              <w:rPr>
                <w:noProof/>
                <w:webHidden/>
              </w:rPr>
              <w:instrText xml:space="preserve"> PAGEREF _Toc169934834 \h </w:instrText>
            </w:r>
            <w:r w:rsidR="00BF277A">
              <w:rPr>
                <w:noProof/>
                <w:webHidden/>
              </w:rPr>
            </w:r>
            <w:r w:rsidR="00BF277A">
              <w:rPr>
                <w:noProof/>
                <w:webHidden/>
              </w:rPr>
              <w:fldChar w:fldCharType="separate"/>
            </w:r>
            <w:r w:rsidR="00F43608">
              <w:rPr>
                <w:noProof/>
                <w:webHidden/>
              </w:rPr>
              <w:t>40</w:t>
            </w:r>
            <w:r w:rsidR="00BF277A">
              <w:rPr>
                <w:noProof/>
                <w:webHidden/>
              </w:rPr>
              <w:fldChar w:fldCharType="end"/>
            </w:r>
          </w:hyperlink>
        </w:p>
        <w:p w14:paraId="4E640FDC" w14:textId="7690C6CB" w:rsidR="00BF277A" w:rsidRDefault="00000000">
          <w:pPr>
            <w:pStyle w:val="Verzeichnis3"/>
            <w:rPr>
              <w:rFonts w:eastAsiaTheme="minorEastAsia" w:cstheme="minorBidi"/>
              <w:noProof/>
              <w:kern w:val="2"/>
              <w:sz w:val="24"/>
              <w:szCs w:val="24"/>
              <w:lang w:eastAsia="de-DE"/>
              <w14:ligatures w14:val="standardContextual"/>
            </w:rPr>
          </w:pPr>
          <w:hyperlink w:anchor="_Toc169934835" w:history="1">
            <w:r w:rsidR="00BF277A" w:rsidRPr="00985FE7">
              <w:rPr>
                <w:rStyle w:val="Hyperlink"/>
                <w:noProof/>
              </w:rPr>
              <w:t>7.2.3</w:t>
            </w:r>
            <w:r w:rsidR="00BF277A">
              <w:rPr>
                <w:rFonts w:eastAsiaTheme="minorEastAsia" w:cstheme="minorBidi"/>
                <w:noProof/>
                <w:kern w:val="2"/>
                <w:sz w:val="24"/>
                <w:szCs w:val="24"/>
                <w:lang w:eastAsia="de-DE"/>
                <w14:ligatures w14:val="standardContextual"/>
              </w:rPr>
              <w:tab/>
            </w:r>
            <w:r w:rsidR="00BF277A" w:rsidRPr="00985FE7">
              <w:rPr>
                <w:rStyle w:val="Hyperlink"/>
                <w:noProof/>
              </w:rPr>
              <w:t>Erlaubnistatbest</w:t>
            </w:r>
            <w:r w:rsidR="00BF277A" w:rsidRPr="00985FE7">
              <w:rPr>
                <w:rStyle w:val="Hyperlink"/>
                <w:rFonts w:hint="eastAsia"/>
                <w:noProof/>
              </w:rPr>
              <w:t>ä</w:t>
            </w:r>
            <w:r w:rsidR="00BF277A" w:rsidRPr="00985FE7">
              <w:rPr>
                <w:rStyle w:val="Hyperlink"/>
                <w:noProof/>
              </w:rPr>
              <w:t>nde der kath. Kirche in Bezug auf Patientenversorgung</w:t>
            </w:r>
            <w:r w:rsidR="00BF277A">
              <w:rPr>
                <w:noProof/>
                <w:webHidden/>
              </w:rPr>
              <w:tab/>
            </w:r>
            <w:r w:rsidR="00BF277A">
              <w:rPr>
                <w:noProof/>
                <w:webHidden/>
              </w:rPr>
              <w:fldChar w:fldCharType="begin"/>
            </w:r>
            <w:r w:rsidR="00BF277A">
              <w:rPr>
                <w:noProof/>
                <w:webHidden/>
              </w:rPr>
              <w:instrText xml:space="preserve"> PAGEREF _Toc169934835 \h </w:instrText>
            </w:r>
            <w:r w:rsidR="00BF277A">
              <w:rPr>
                <w:noProof/>
                <w:webHidden/>
              </w:rPr>
            </w:r>
            <w:r w:rsidR="00BF277A">
              <w:rPr>
                <w:noProof/>
                <w:webHidden/>
              </w:rPr>
              <w:fldChar w:fldCharType="separate"/>
            </w:r>
            <w:r w:rsidR="00F43608">
              <w:rPr>
                <w:noProof/>
                <w:webHidden/>
              </w:rPr>
              <w:t>42</w:t>
            </w:r>
            <w:r w:rsidR="00BF277A">
              <w:rPr>
                <w:noProof/>
                <w:webHidden/>
              </w:rPr>
              <w:fldChar w:fldCharType="end"/>
            </w:r>
          </w:hyperlink>
        </w:p>
        <w:p w14:paraId="6FC15C70" w14:textId="1BFB1BC2" w:rsidR="00BF277A" w:rsidRDefault="00000000">
          <w:pPr>
            <w:pStyle w:val="Verzeichnis4"/>
            <w:rPr>
              <w:rFonts w:eastAsiaTheme="minorEastAsia" w:cstheme="minorBidi"/>
              <w:noProof/>
              <w:kern w:val="2"/>
              <w:sz w:val="24"/>
              <w:szCs w:val="24"/>
              <w:lang w:eastAsia="de-DE"/>
              <w14:ligatures w14:val="standardContextual"/>
            </w:rPr>
          </w:pPr>
          <w:hyperlink w:anchor="_Toc169934836" w:history="1">
            <w:r w:rsidR="00BF277A" w:rsidRPr="00985FE7">
              <w:rPr>
                <w:rStyle w:val="Hyperlink"/>
                <w:noProof/>
              </w:rPr>
              <w:t>7.2.3.1</w:t>
            </w:r>
            <w:r w:rsidR="00BF277A">
              <w:rPr>
                <w:rFonts w:eastAsiaTheme="minorEastAsia" w:cstheme="minorBidi"/>
                <w:noProof/>
                <w:kern w:val="2"/>
                <w:sz w:val="24"/>
                <w:szCs w:val="24"/>
                <w:lang w:eastAsia="de-DE"/>
                <w14:ligatures w14:val="standardContextual"/>
              </w:rPr>
              <w:tab/>
            </w:r>
            <w:r w:rsidR="00BF277A" w:rsidRPr="00985FE7">
              <w:rPr>
                <w:rStyle w:val="Hyperlink"/>
                <w:noProof/>
              </w:rPr>
              <w:t>Seelsorge im Krankenhaus</w:t>
            </w:r>
            <w:r w:rsidR="00BF277A">
              <w:rPr>
                <w:noProof/>
                <w:webHidden/>
              </w:rPr>
              <w:tab/>
            </w:r>
            <w:r w:rsidR="00BF277A">
              <w:rPr>
                <w:noProof/>
                <w:webHidden/>
              </w:rPr>
              <w:fldChar w:fldCharType="begin"/>
            </w:r>
            <w:r w:rsidR="00BF277A">
              <w:rPr>
                <w:noProof/>
                <w:webHidden/>
              </w:rPr>
              <w:instrText xml:space="preserve"> PAGEREF _Toc169934836 \h </w:instrText>
            </w:r>
            <w:r w:rsidR="00BF277A">
              <w:rPr>
                <w:noProof/>
                <w:webHidden/>
              </w:rPr>
            </w:r>
            <w:r w:rsidR="00BF277A">
              <w:rPr>
                <w:noProof/>
                <w:webHidden/>
              </w:rPr>
              <w:fldChar w:fldCharType="separate"/>
            </w:r>
            <w:r w:rsidR="00F43608">
              <w:rPr>
                <w:noProof/>
                <w:webHidden/>
              </w:rPr>
              <w:t>42</w:t>
            </w:r>
            <w:r w:rsidR="00BF277A">
              <w:rPr>
                <w:noProof/>
                <w:webHidden/>
              </w:rPr>
              <w:fldChar w:fldCharType="end"/>
            </w:r>
          </w:hyperlink>
        </w:p>
        <w:p w14:paraId="680415A5" w14:textId="2FD5223B"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37" w:history="1">
            <w:r w:rsidR="00BF277A" w:rsidRPr="00985FE7">
              <w:rPr>
                <w:rStyle w:val="Hyperlink"/>
                <w:noProof/>
              </w:rPr>
              <w:t>7.3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Landesrecht</w:t>
            </w:r>
            <w:r w:rsidR="00BF277A">
              <w:rPr>
                <w:noProof/>
                <w:webHidden/>
              </w:rPr>
              <w:tab/>
            </w:r>
            <w:r w:rsidR="00BF277A">
              <w:rPr>
                <w:noProof/>
                <w:webHidden/>
              </w:rPr>
              <w:fldChar w:fldCharType="begin"/>
            </w:r>
            <w:r w:rsidR="00BF277A">
              <w:rPr>
                <w:noProof/>
                <w:webHidden/>
              </w:rPr>
              <w:instrText xml:space="preserve"> PAGEREF _Toc169934837 \h </w:instrText>
            </w:r>
            <w:r w:rsidR="00BF277A">
              <w:rPr>
                <w:noProof/>
                <w:webHidden/>
              </w:rPr>
            </w:r>
            <w:r w:rsidR="00BF277A">
              <w:rPr>
                <w:noProof/>
                <w:webHidden/>
              </w:rPr>
              <w:fldChar w:fldCharType="separate"/>
            </w:r>
            <w:r w:rsidR="00F43608">
              <w:rPr>
                <w:noProof/>
                <w:webHidden/>
              </w:rPr>
              <w:t>43</w:t>
            </w:r>
            <w:r w:rsidR="00BF277A">
              <w:rPr>
                <w:noProof/>
                <w:webHidden/>
              </w:rPr>
              <w:fldChar w:fldCharType="end"/>
            </w:r>
          </w:hyperlink>
        </w:p>
        <w:p w14:paraId="7FBF3693" w14:textId="70CA2CEF" w:rsidR="00BF277A" w:rsidRDefault="00000000">
          <w:pPr>
            <w:pStyle w:val="Verzeichnis3"/>
            <w:rPr>
              <w:rFonts w:eastAsiaTheme="minorEastAsia" w:cstheme="minorBidi"/>
              <w:noProof/>
              <w:kern w:val="2"/>
              <w:sz w:val="24"/>
              <w:szCs w:val="24"/>
              <w:lang w:eastAsia="de-DE"/>
              <w14:ligatures w14:val="standardContextual"/>
            </w:rPr>
          </w:pPr>
          <w:hyperlink w:anchor="_Toc169934838" w:history="1">
            <w:r w:rsidR="00BF277A" w:rsidRPr="00985FE7">
              <w:rPr>
                <w:rStyle w:val="Hyperlink"/>
                <w:noProof/>
              </w:rPr>
              <w:t>7.3.1</w:t>
            </w:r>
            <w:r w:rsidR="00BF277A">
              <w:rPr>
                <w:rFonts w:eastAsiaTheme="minorEastAsia" w:cstheme="minorBidi"/>
                <w:noProof/>
                <w:kern w:val="2"/>
                <w:sz w:val="24"/>
                <w:szCs w:val="24"/>
                <w:lang w:eastAsia="de-DE"/>
                <w14:ligatures w14:val="standardContextual"/>
              </w:rPr>
              <w:tab/>
            </w:r>
            <w:r w:rsidR="00BF277A" w:rsidRPr="00985FE7">
              <w:rPr>
                <w:rStyle w:val="Hyperlink"/>
                <w:noProof/>
              </w:rPr>
              <w:t>Landeskrankenhausgesetze</w:t>
            </w:r>
            <w:r w:rsidR="00BF277A">
              <w:rPr>
                <w:noProof/>
                <w:webHidden/>
              </w:rPr>
              <w:tab/>
            </w:r>
            <w:r w:rsidR="00BF277A">
              <w:rPr>
                <w:noProof/>
                <w:webHidden/>
              </w:rPr>
              <w:fldChar w:fldCharType="begin"/>
            </w:r>
            <w:r w:rsidR="00BF277A">
              <w:rPr>
                <w:noProof/>
                <w:webHidden/>
              </w:rPr>
              <w:instrText xml:space="preserve"> PAGEREF _Toc169934838 \h </w:instrText>
            </w:r>
            <w:r w:rsidR="00BF277A">
              <w:rPr>
                <w:noProof/>
                <w:webHidden/>
              </w:rPr>
            </w:r>
            <w:r w:rsidR="00BF277A">
              <w:rPr>
                <w:noProof/>
                <w:webHidden/>
              </w:rPr>
              <w:fldChar w:fldCharType="separate"/>
            </w:r>
            <w:r w:rsidR="00F43608">
              <w:rPr>
                <w:noProof/>
                <w:webHidden/>
              </w:rPr>
              <w:t>43</w:t>
            </w:r>
            <w:r w:rsidR="00BF277A">
              <w:rPr>
                <w:noProof/>
                <w:webHidden/>
              </w:rPr>
              <w:fldChar w:fldCharType="end"/>
            </w:r>
          </w:hyperlink>
        </w:p>
        <w:p w14:paraId="659DAB39" w14:textId="6027F5F1" w:rsidR="00BF277A" w:rsidRDefault="00000000">
          <w:pPr>
            <w:pStyle w:val="Verzeichnis4"/>
            <w:rPr>
              <w:rFonts w:eastAsiaTheme="minorEastAsia" w:cstheme="minorBidi"/>
              <w:noProof/>
              <w:kern w:val="2"/>
              <w:sz w:val="24"/>
              <w:szCs w:val="24"/>
              <w:lang w:eastAsia="de-DE"/>
              <w14:ligatures w14:val="standardContextual"/>
            </w:rPr>
          </w:pPr>
          <w:hyperlink w:anchor="_Toc169934839" w:history="1">
            <w:r w:rsidR="00BF277A" w:rsidRPr="00985FE7">
              <w:rPr>
                <w:rStyle w:val="Hyperlink"/>
                <w:noProof/>
              </w:rPr>
              <w:t>7.3.1.1</w:t>
            </w:r>
            <w:r w:rsidR="00BF277A">
              <w:rPr>
                <w:rFonts w:eastAsiaTheme="minorEastAsia" w:cstheme="minorBidi"/>
                <w:noProof/>
                <w:kern w:val="2"/>
                <w:sz w:val="24"/>
                <w:szCs w:val="24"/>
                <w:lang w:eastAsia="de-DE"/>
                <w14:ligatures w14:val="standardContextual"/>
              </w:rPr>
              <w:tab/>
            </w:r>
            <w:r w:rsidR="00BF277A" w:rsidRPr="00985FE7">
              <w:rPr>
                <w:rStyle w:val="Hyperlink"/>
                <w:noProof/>
              </w:rPr>
              <w:t>Patientenbehandlung</w:t>
            </w:r>
            <w:r w:rsidR="00BF277A">
              <w:rPr>
                <w:noProof/>
                <w:webHidden/>
              </w:rPr>
              <w:tab/>
            </w:r>
            <w:r w:rsidR="00BF277A">
              <w:rPr>
                <w:noProof/>
                <w:webHidden/>
              </w:rPr>
              <w:fldChar w:fldCharType="begin"/>
            </w:r>
            <w:r w:rsidR="00BF277A">
              <w:rPr>
                <w:noProof/>
                <w:webHidden/>
              </w:rPr>
              <w:instrText xml:space="preserve"> PAGEREF _Toc169934839 \h </w:instrText>
            </w:r>
            <w:r w:rsidR="00BF277A">
              <w:rPr>
                <w:noProof/>
                <w:webHidden/>
              </w:rPr>
            </w:r>
            <w:r w:rsidR="00BF277A">
              <w:rPr>
                <w:noProof/>
                <w:webHidden/>
              </w:rPr>
              <w:fldChar w:fldCharType="separate"/>
            </w:r>
            <w:r w:rsidR="00F43608">
              <w:rPr>
                <w:noProof/>
                <w:webHidden/>
              </w:rPr>
              <w:t>43</w:t>
            </w:r>
            <w:r w:rsidR="00BF277A">
              <w:rPr>
                <w:noProof/>
                <w:webHidden/>
              </w:rPr>
              <w:fldChar w:fldCharType="end"/>
            </w:r>
          </w:hyperlink>
        </w:p>
        <w:p w14:paraId="6CBE936E" w14:textId="0BC9FAC1" w:rsidR="00BF277A" w:rsidRDefault="00000000">
          <w:pPr>
            <w:pStyle w:val="Verzeichnis4"/>
            <w:rPr>
              <w:rFonts w:eastAsiaTheme="minorEastAsia" w:cstheme="minorBidi"/>
              <w:noProof/>
              <w:kern w:val="2"/>
              <w:sz w:val="24"/>
              <w:szCs w:val="24"/>
              <w:lang w:eastAsia="de-DE"/>
              <w14:ligatures w14:val="standardContextual"/>
            </w:rPr>
          </w:pPr>
          <w:hyperlink w:anchor="_Toc169934840" w:history="1">
            <w:r w:rsidR="00BF277A" w:rsidRPr="00985FE7">
              <w:rPr>
                <w:rStyle w:val="Hyperlink"/>
                <w:noProof/>
              </w:rPr>
              <w:t>7.3.1.2</w:t>
            </w:r>
            <w:r w:rsidR="00BF277A">
              <w:rPr>
                <w:rFonts w:eastAsiaTheme="minorEastAsia" w:cstheme="minorBidi"/>
                <w:noProof/>
                <w:kern w:val="2"/>
                <w:sz w:val="24"/>
                <w:szCs w:val="24"/>
                <w:lang w:eastAsia="de-DE"/>
                <w14:ligatures w14:val="standardContextual"/>
              </w:rPr>
              <w:tab/>
            </w:r>
            <w:r w:rsidR="00BF277A" w:rsidRPr="00985FE7">
              <w:rPr>
                <w:rStyle w:val="Hyperlink"/>
                <w:noProof/>
              </w:rPr>
              <w:t>Forschung</w:t>
            </w:r>
            <w:r w:rsidR="00BF277A">
              <w:rPr>
                <w:noProof/>
                <w:webHidden/>
              </w:rPr>
              <w:tab/>
            </w:r>
            <w:r w:rsidR="00BF277A">
              <w:rPr>
                <w:noProof/>
                <w:webHidden/>
              </w:rPr>
              <w:fldChar w:fldCharType="begin"/>
            </w:r>
            <w:r w:rsidR="00BF277A">
              <w:rPr>
                <w:noProof/>
                <w:webHidden/>
              </w:rPr>
              <w:instrText xml:space="preserve"> PAGEREF _Toc169934840 \h </w:instrText>
            </w:r>
            <w:r w:rsidR="00BF277A">
              <w:rPr>
                <w:noProof/>
                <w:webHidden/>
              </w:rPr>
            </w:r>
            <w:r w:rsidR="00BF277A">
              <w:rPr>
                <w:noProof/>
                <w:webHidden/>
              </w:rPr>
              <w:fldChar w:fldCharType="separate"/>
            </w:r>
            <w:r w:rsidR="00F43608">
              <w:rPr>
                <w:noProof/>
                <w:webHidden/>
              </w:rPr>
              <w:t>44</w:t>
            </w:r>
            <w:r w:rsidR="00BF277A">
              <w:rPr>
                <w:noProof/>
                <w:webHidden/>
              </w:rPr>
              <w:fldChar w:fldCharType="end"/>
            </w:r>
          </w:hyperlink>
        </w:p>
        <w:p w14:paraId="662AC81D" w14:textId="09F85711" w:rsidR="00BF277A" w:rsidRDefault="00000000">
          <w:pPr>
            <w:pStyle w:val="Verzeichnis4"/>
            <w:rPr>
              <w:rFonts w:eastAsiaTheme="minorEastAsia" w:cstheme="minorBidi"/>
              <w:noProof/>
              <w:kern w:val="2"/>
              <w:sz w:val="24"/>
              <w:szCs w:val="24"/>
              <w:lang w:eastAsia="de-DE"/>
              <w14:ligatures w14:val="standardContextual"/>
            </w:rPr>
          </w:pPr>
          <w:hyperlink w:anchor="_Toc169934841" w:history="1">
            <w:r w:rsidR="00BF277A" w:rsidRPr="00985FE7">
              <w:rPr>
                <w:rStyle w:val="Hyperlink"/>
                <w:noProof/>
              </w:rPr>
              <w:t>7.3.1.3</w:t>
            </w:r>
            <w:r w:rsidR="00BF277A">
              <w:rPr>
                <w:rFonts w:eastAsiaTheme="minorEastAsia" w:cstheme="minorBidi"/>
                <w:noProof/>
                <w:kern w:val="2"/>
                <w:sz w:val="24"/>
                <w:szCs w:val="24"/>
                <w:lang w:eastAsia="de-DE"/>
                <w14:ligatures w14:val="standardContextual"/>
              </w:rPr>
              <w:tab/>
            </w:r>
            <w:r w:rsidR="00BF277A" w:rsidRPr="00985FE7">
              <w:rPr>
                <w:rStyle w:val="Hyperlink"/>
                <w:noProof/>
              </w:rPr>
              <w:t>Soziale Betreuung</w:t>
            </w:r>
            <w:r w:rsidR="00BF277A">
              <w:rPr>
                <w:noProof/>
                <w:webHidden/>
              </w:rPr>
              <w:tab/>
            </w:r>
            <w:r w:rsidR="00BF277A">
              <w:rPr>
                <w:noProof/>
                <w:webHidden/>
              </w:rPr>
              <w:fldChar w:fldCharType="begin"/>
            </w:r>
            <w:r w:rsidR="00BF277A">
              <w:rPr>
                <w:noProof/>
                <w:webHidden/>
              </w:rPr>
              <w:instrText xml:space="preserve"> PAGEREF _Toc169934841 \h </w:instrText>
            </w:r>
            <w:r w:rsidR="00BF277A">
              <w:rPr>
                <w:noProof/>
                <w:webHidden/>
              </w:rPr>
            </w:r>
            <w:r w:rsidR="00BF277A">
              <w:rPr>
                <w:noProof/>
                <w:webHidden/>
              </w:rPr>
              <w:fldChar w:fldCharType="separate"/>
            </w:r>
            <w:r w:rsidR="00F43608">
              <w:rPr>
                <w:noProof/>
                <w:webHidden/>
              </w:rPr>
              <w:t>45</w:t>
            </w:r>
            <w:r w:rsidR="00BF277A">
              <w:rPr>
                <w:noProof/>
                <w:webHidden/>
              </w:rPr>
              <w:fldChar w:fldCharType="end"/>
            </w:r>
          </w:hyperlink>
        </w:p>
        <w:p w14:paraId="124BE2C5" w14:textId="4B5A66A5" w:rsidR="00BF277A" w:rsidRDefault="00000000">
          <w:pPr>
            <w:pStyle w:val="Verzeichnis4"/>
            <w:rPr>
              <w:rFonts w:eastAsiaTheme="minorEastAsia" w:cstheme="minorBidi"/>
              <w:noProof/>
              <w:kern w:val="2"/>
              <w:sz w:val="24"/>
              <w:szCs w:val="24"/>
              <w:lang w:eastAsia="de-DE"/>
              <w14:ligatures w14:val="standardContextual"/>
            </w:rPr>
          </w:pPr>
          <w:hyperlink w:anchor="_Toc169934842" w:history="1">
            <w:r w:rsidR="00BF277A" w:rsidRPr="00985FE7">
              <w:rPr>
                <w:rStyle w:val="Hyperlink"/>
                <w:noProof/>
              </w:rPr>
              <w:t>7.3.1.4</w:t>
            </w:r>
            <w:r w:rsidR="00BF277A">
              <w:rPr>
                <w:rFonts w:eastAsiaTheme="minorEastAsia" w:cstheme="minorBidi"/>
                <w:noProof/>
                <w:kern w:val="2"/>
                <w:sz w:val="24"/>
                <w:szCs w:val="24"/>
                <w:lang w:eastAsia="de-DE"/>
                <w14:ligatures w14:val="standardContextual"/>
              </w:rPr>
              <w:tab/>
            </w:r>
            <w:r w:rsidR="00BF277A" w:rsidRPr="00985FE7">
              <w:rPr>
                <w:rStyle w:val="Hyperlink"/>
                <w:noProof/>
              </w:rPr>
              <w:t>Rechnungspr</w:t>
            </w:r>
            <w:r w:rsidR="00BF277A" w:rsidRPr="00985FE7">
              <w:rPr>
                <w:rStyle w:val="Hyperlink"/>
                <w:rFonts w:hint="eastAsia"/>
                <w:noProof/>
              </w:rPr>
              <w:t>ü</w:t>
            </w:r>
            <w:r w:rsidR="00BF277A" w:rsidRPr="00985FE7">
              <w:rPr>
                <w:rStyle w:val="Hyperlink"/>
                <w:noProof/>
              </w:rPr>
              <w:t>fung und -stellung</w:t>
            </w:r>
            <w:r w:rsidR="00BF277A">
              <w:rPr>
                <w:noProof/>
                <w:webHidden/>
              </w:rPr>
              <w:tab/>
            </w:r>
            <w:r w:rsidR="00BF277A">
              <w:rPr>
                <w:noProof/>
                <w:webHidden/>
              </w:rPr>
              <w:fldChar w:fldCharType="begin"/>
            </w:r>
            <w:r w:rsidR="00BF277A">
              <w:rPr>
                <w:noProof/>
                <w:webHidden/>
              </w:rPr>
              <w:instrText xml:space="preserve"> PAGEREF _Toc169934842 \h </w:instrText>
            </w:r>
            <w:r w:rsidR="00BF277A">
              <w:rPr>
                <w:noProof/>
                <w:webHidden/>
              </w:rPr>
            </w:r>
            <w:r w:rsidR="00BF277A">
              <w:rPr>
                <w:noProof/>
                <w:webHidden/>
              </w:rPr>
              <w:fldChar w:fldCharType="separate"/>
            </w:r>
            <w:r w:rsidR="00F43608">
              <w:rPr>
                <w:noProof/>
                <w:webHidden/>
              </w:rPr>
              <w:t>45</w:t>
            </w:r>
            <w:r w:rsidR="00BF277A">
              <w:rPr>
                <w:noProof/>
                <w:webHidden/>
              </w:rPr>
              <w:fldChar w:fldCharType="end"/>
            </w:r>
          </w:hyperlink>
        </w:p>
        <w:p w14:paraId="04475811" w14:textId="0EDF70D4" w:rsidR="00BF277A" w:rsidRDefault="00000000">
          <w:pPr>
            <w:pStyle w:val="Verzeichnis4"/>
            <w:rPr>
              <w:rFonts w:eastAsiaTheme="minorEastAsia" w:cstheme="minorBidi"/>
              <w:noProof/>
              <w:kern w:val="2"/>
              <w:sz w:val="24"/>
              <w:szCs w:val="24"/>
              <w:lang w:eastAsia="de-DE"/>
              <w14:ligatures w14:val="standardContextual"/>
            </w:rPr>
          </w:pPr>
          <w:hyperlink w:anchor="_Toc169934843" w:history="1">
            <w:r w:rsidR="00BF277A" w:rsidRPr="00985FE7">
              <w:rPr>
                <w:rStyle w:val="Hyperlink"/>
                <w:noProof/>
              </w:rPr>
              <w:t>7.3.1.5</w:t>
            </w:r>
            <w:r w:rsidR="00BF277A">
              <w:rPr>
                <w:rFonts w:eastAsiaTheme="minorEastAsia" w:cstheme="minorBidi"/>
                <w:noProof/>
                <w:kern w:val="2"/>
                <w:sz w:val="24"/>
                <w:szCs w:val="24"/>
                <w:lang w:eastAsia="de-DE"/>
                <w14:ligatures w14:val="standardContextual"/>
              </w:rPr>
              <w:tab/>
            </w:r>
            <w:r w:rsidR="00BF277A" w:rsidRPr="00985FE7">
              <w:rPr>
                <w:rStyle w:val="Hyperlink"/>
                <w:noProof/>
              </w:rPr>
              <w:t>Zwecke der Qualit</w:t>
            </w:r>
            <w:r w:rsidR="00BF277A" w:rsidRPr="00985FE7">
              <w:rPr>
                <w:rStyle w:val="Hyperlink"/>
                <w:rFonts w:hint="eastAsia"/>
                <w:noProof/>
              </w:rPr>
              <w:t>ä</w:t>
            </w:r>
            <w:r w:rsidR="00BF277A" w:rsidRPr="00985FE7">
              <w:rPr>
                <w:rStyle w:val="Hyperlink"/>
                <w:noProof/>
              </w:rPr>
              <w:t>tssicherung</w:t>
            </w:r>
            <w:r w:rsidR="00BF277A">
              <w:rPr>
                <w:noProof/>
                <w:webHidden/>
              </w:rPr>
              <w:tab/>
            </w:r>
            <w:r w:rsidR="00BF277A">
              <w:rPr>
                <w:noProof/>
                <w:webHidden/>
              </w:rPr>
              <w:fldChar w:fldCharType="begin"/>
            </w:r>
            <w:r w:rsidR="00BF277A">
              <w:rPr>
                <w:noProof/>
                <w:webHidden/>
              </w:rPr>
              <w:instrText xml:space="preserve"> PAGEREF _Toc169934843 \h </w:instrText>
            </w:r>
            <w:r w:rsidR="00BF277A">
              <w:rPr>
                <w:noProof/>
                <w:webHidden/>
              </w:rPr>
            </w:r>
            <w:r w:rsidR="00BF277A">
              <w:rPr>
                <w:noProof/>
                <w:webHidden/>
              </w:rPr>
              <w:fldChar w:fldCharType="separate"/>
            </w:r>
            <w:r w:rsidR="00F43608">
              <w:rPr>
                <w:noProof/>
                <w:webHidden/>
              </w:rPr>
              <w:t>46</w:t>
            </w:r>
            <w:r w:rsidR="00BF277A">
              <w:rPr>
                <w:noProof/>
                <w:webHidden/>
              </w:rPr>
              <w:fldChar w:fldCharType="end"/>
            </w:r>
          </w:hyperlink>
        </w:p>
        <w:p w14:paraId="400A3601" w14:textId="48EB27CA" w:rsidR="00BF277A" w:rsidRDefault="00000000">
          <w:pPr>
            <w:pStyle w:val="Verzeichnis4"/>
            <w:rPr>
              <w:rFonts w:eastAsiaTheme="minorEastAsia" w:cstheme="minorBidi"/>
              <w:noProof/>
              <w:kern w:val="2"/>
              <w:sz w:val="24"/>
              <w:szCs w:val="24"/>
              <w:lang w:eastAsia="de-DE"/>
              <w14:ligatures w14:val="standardContextual"/>
            </w:rPr>
          </w:pPr>
          <w:hyperlink w:anchor="_Toc169934844" w:history="1">
            <w:r w:rsidR="00BF277A" w:rsidRPr="00985FE7">
              <w:rPr>
                <w:rStyle w:val="Hyperlink"/>
                <w:noProof/>
              </w:rPr>
              <w:t>7.3.1.6</w:t>
            </w:r>
            <w:r w:rsidR="00BF277A">
              <w:rPr>
                <w:rFonts w:eastAsiaTheme="minorEastAsia" w:cstheme="minorBidi"/>
                <w:noProof/>
                <w:kern w:val="2"/>
                <w:sz w:val="24"/>
                <w:szCs w:val="24"/>
                <w:lang w:eastAsia="de-DE"/>
                <w14:ligatures w14:val="standardContextual"/>
              </w:rPr>
              <w:tab/>
            </w:r>
            <w:r w:rsidR="00BF277A" w:rsidRPr="00985FE7">
              <w:rPr>
                <w:rStyle w:val="Hyperlink"/>
                <w:noProof/>
              </w:rPr>
              <w:t>Auswertung zu statistischen Zwecken</w:t>
            </w:r>
            <w:r w:rsidR="00BF277A">
              <w:rPr>
                <w:noProof/>
                <w:webHidden/>
              </w:rPr>
              <w:tab/>
            </w:r>
            <w:r w:rsidR="00BF277A">
              <w:rPr>
                <w:noProof/>
                <w:webHidden/>
              </w:rPr>
              <w:fldChar w:fldCharType="begin"/>
            </w:r>
            <w:r w:rsidR="00BF277A">
              <w:rPr>
                <w:noProof/>
                <w:webHidden/>
              </w:rPr>
              <w:instrText xml:space="preserve"> PAGEREF _Toc169934844 \h </w:instrText>
            </w:r>
            <w:r w:rsidR="00BF277A">
              <w:rPr>
                <w:noProof/>
                <w:webHidden/>
              </w:rPr>
            </w:r>
            <w:r w:rsidR="00BF277A">
              <w:rPr>
                <w:noProof/>
                <w:webHidden/>
              </w:rPr>
              <w:fldChar w:fldCharType="separate"/>
            </w:r>
            <w:r w:rsidR="00F43608">
              <w:rPr>
                <w:noProof/>
                <w:webHidden/>
              </w:rPr>
              <w:t>47</w:t>
            </w:r>
            <w:r w:rsidR="00BF277A">
              <w:rPr>
                <w:noProof/>
                <w:webHidden/>
              </w:rPr>
              <w:fldChar w:fldCharType="end"/>
            </w:r>
          </w:hyperlink>
        </w:p>
        <w:p w14:paraId="62C6962F" w14:textId="572DABD2" w:rsidR="00BF277A" w:rsidRDefault="00000000">
          <w:pPr>
            <w:pStyle w:val="Verzeichnis4"/>
            <w:rPr>
              <w:rFonts w:eastAsiaTheme="minorEastAsia" w:cstheme="minorBidi"/>
              <w:noProof/>
              <w:kern w:val="2"/>
              <w:sz w:val="24"/>
              <w:szCs w:val="24"/>
              <w:lang w:eastAsia="de-DE"/>
              <w14:ligatures w14:val="standardContextual"/>
            </w:rPr>
          </w:pPr>
          <w:hyperlink w:anchor="_Toc169934845" w:history="1">
            <w:r w:rsidR="00BF277A" w:rsidRPr="00985FE7">
              <w:rPr>
                <w:rStyle w:val="Hyperlink"/>
                <w:noProof/>
              </w:rPr>
              <w:t>7.3.1.7</w:t>
            </w:r>
            <w:r w:rsidR="00BF277A">
              <w:rPr>
                <w:rFonts w:eastAsiaTheme="minorEastAsia" w:cstheme="minorBidi"/>
                <w:noProof/>
                <w:kern w:val="2"/>
                <w:sz w:val="24"/>
                <w:szCs w:val="24"/>
                <w:lang w:eastAsia="de-DE"/>
                <w14:ligatures w14:val="standardContextual"/>
              </w:rPr>
              <w:tab/>
            </w:r>
            <w:r w:rsidR="00BF277A" w:rsidRPr="00985FE7">
              <w:rPr>
                <w:rStyle w:val="Hyperlink"/>
                <w:noProof/>
              </w:rPr>
              <w:t xml:space="preserve">Aus-, Fort- und Weiterbildung von </w:t>
            </w:r>
            <w:r w:rsidR="00BF277A" w:rsidRPr="00985FE7">
              <w:rPr>
                <w:rStyle w:val="Hyperlink"/>
                <w:rFonts w:hint="eastAsia"/>
                <w:noProof/>
              </w:rPr>
              <w:t>Ä</w:t>
            </w:r>
            <w:r w:rsidR="00BF277A" w:rsidRPr="00985FE7">
              <w:rPr>
                <w:rStyle w:val="Hyperlink"/>
                <w:noProof/>
              </w:rPr>
              <w:t>rzten und von Angeh</w:t>
            </w:r>
            <w:r w:rsidR="00BF277A" w:rsidRPr="00985FE7">
              <w:rPr>
                <w:rStyle w:val="Hyperlink"/>
                <w:rFonts w:hint="eastAsia"/>
                <w:noProof/>
              </w:rPr>
              <w:t>ö</w:t>
            </w:r>
            <w:r w:rsidR="00BF277A" w:rsidRPr="00985FE7">
              <w:rPr>
                <w:rStyle w:val="Hyperlink"/>
                <w:noProof/>
              </w:rPr>
              <w:t xml:space="preserve">rigen anderer Berufe des </w:t>
            </w:r>
            <w:r w:rsidR="002634BD">
              <w:rPr>
                <w:rStyle w:val="Hyperlink"/>
                <w:noProof/>
              </w:rPr>
              <w:br/>
            </w:r>
            <w:r w:rsidR="002634BD" w:rsidRPr="002634BD">
              <w:rPr>
                <w:rStyle w:val="Hyperlink"/>
                <w:noProof/>
              </w:rPr>
              <w:tab/>
            </w:r>
            <w:r w:rsidR="00BF277A" w:rsidRPr="00985FE7">
              <w:rPr>
                <w:rStyle w:val="Hyperlink"/>
                <w:noProof/>
              </w:rPr>
              <w:t>Gesundheitswesens</w:t>
            </w:r>
            <w:r w:rsidR="00BF277A">
              <w:rPr>
                <w:noProof/>
                <w:webHidden/>
              </w:rPr>
              <w:tab/>
            </w:r>
            <w:r w:rsidR="00BF277A">
              <w:rPr>
                <w:noProof/>
                <w:webHidden/>
              </w:rPr>
              <w:fldChar w:fldCharType="begin"/>
            </w:r>
            <w:r w:rsidR="00BF277A">
              <w:rPr>
                <w:noProof/>
                <w:webHidden/>
              </w:rPr>
              <w:instrText xml:space="preserve"> PAGEREF _Toc169934845 \h </w:instrText>
            </w:r>
            <w:r w:rsidR="00BF277A">
              <w:rPr>
                <w:noProof/>
                <w:webHidden/>
              </w:rPr>
            </w:r>
            <w:r w:rsidR="00BF277A">
              <w:rPr>
                <w:noProof/>
                <w:webHidden/>
              </w:rPr>
              <w:fldChar w:fldCharType="separate"/>
            </w:r>
            <w:r w:rsidR="00F43608">
              <w:rPr>
                <w:noProof/>
                <w:webHidden/>
              </w:rPr>
              <w:t>48</w:t>
            </w:r>
            <w:r w:rsidR="00BF277A">
              <w:rPr>
                <w:noProof/>
                <w:webHidden/>
              </w:rPr>
              <w:fldChar w:fldCharType="end"/>
            </w:r>
          </w:hyperlink>
        </w:p>
        <w:p w14:paraId="777C7066" w14:textId="3D31C1D2" w:rsidR="00BF277A" w:rsidRDefault="00000000">
          <w:pPr>
            <w:pStyle w:val="Verzeichnis4"/>
            <w:rPr>
              <w:rFonts w:eastAsiaTheme="minorEastAsia" w:cstheme="minorBidi"/>
              <w:noProof/>
              <w:kern w:val="2"/>
              <w:sz w:val="24"/>
              <w:szCs w:val="24"/>
              <w:lang w:eastAsia="de-DE"/>
              <w14:ligatures w14:val="standardContextual"/>
            </w:rPr>
          </w:pPr>
          <w:hyperlink w:anchor="_Toc169934846" w:history="1">
            <w:r w:rsidR="00BF277A" w:rsidRPr="00985FE7">
              <w:rPr>
                <w:rStyle w:val="Hyperlink"/>
                <w:noProof/>
              </w:rPr>
              <w:t>7.3.1.8</w:t>
            </w:r>
            <w:r w:rsidR="00BF277A">
              <w:rPr>
                <w:rFonts w:eastAsiaTheme="minorEastAsia" w:cstheme="minorBidi"/>
                <w:noProof/>
                <w:kern w:val="2"/>
                <w:sz w:val="24"/>
                <w:szCs w:val="24"/>
                <w:lang w:eastAsia="de-DE"/>
                <w14:ligatures w14:val="standardContextual"/>
              </w:rPr>
              <w:tab/>
            </w:r>
            <w:r w:rsidR="00BF277A" w:rsidRPr="00985FE7">
              <w:rPr>
                <w:rStyle w:val="Hyperlink"/>
                <w:noProof/>
              </w:rPr>
              <w:t>F</w:t>
            </w:r>
            <w:r w:rsidR="00BF277A" w:rsidRPr="00985FE7">
              <w:rPr>
                <w:rStyle w:val="Hyperlink"/>
                <w:rFonts w:hint="eastAsia"/>
                <w:noProof/>
              </w:rPr>
              <w:t>ü</w:t>
            </w:r>
            <w:r w:rsidR="00BF277A" w:rsidRPr="00985FE7">
              <w:rPr>
                <w:rStyle w:val="Hyperlink"/>
                <w:noProof/>
              </w:rPr>
              <w:t>r Zwecke des Patienten- und Besch</w:t>
            </w:r>
            <w:r w:rsidR="00BF277A" w:rsidRPr="00985FE7">
              <w:rPr>
                <w:rStyle w:val="Hyperlink"/>
                <w:rFonts w:hint="eastAsia"/>
                <w:noProof/>
              </w:rPr>
              <w:t>ä</w:t>
            </w:r>
            <w:r w:rsidR="00BF277A" w:rsidRPr="00985FE7">
              <w:rPr>
                <w:rStyle w:val="Hyperlink"/>
                <w:noProof/>
              </w:rPr>
              <w:t>ftigtenschutzes, Hygiene</w:t>
            </w:r>
            <w:r w:rsidR="00BF277A">
              <w:rPr>
                <w:noProof/>
                <w:webHidden/>
              </w:rPr>
              <w:tab/>
            </w:r>
            <w:r w:rsidR="00BF277A">
              <w:rPr>
                <w:noProof/>
                <w:webHidden/>
              </w:rPr>
              <w:fldChar w:fldCharType="begin"/>
            </w:r>
            <w:r w:rsidR="00BF277A">
              <w:rPr>
                <w:noProof/>
                <w:webHidden/>
              </w:rPr>
              <w:instrText xml:space="preserve"> PAGEREF _Toc169934846 \h </w:instrText>
            </w:r>
            <w:r w:rsidR="00BF277A">
              <w:rPr>
                <w:noProof/>
                <w:webHidden/>
              </w:rPr>
            </w:r>
            <w:r w:rsidR="00BF277A">
              <w:rPr>
                <w:noProof/>
                <w:webHidden/>
              </w:rPr>
              <w:fldChar w:fldCharType="separate"/>
            </w:r>
            <w:r w:rsidR="00F43608">
              <w:rPr>
                <w:noProof/>
                <w:webHidden/>
              </w:rPr>
              <w:t>49</w:t>
            </w:r>
            <w:r w:rsidR="00BF277A">
              <w:rPr>
                <w:noProof/>
                <w:webHidden/>
              </w:rPr>
              <w:fldChar w:fldCharType="end"/>
            </w:r>
          </w:hyperlink>
        </w:p>
        <w:p w14:paraId="7BF0E566" w14:textId="51E8790F" w:rsidR="00BF277A" w:rsidRDefault="00000000">
          <w:pPr>
            <w:pStyle w:val="Verzeichnis4"/>
            <w:rPr>
              <w:rFonts w:eastAsiaTheme="minorEastAsia" w:cstheme="minorBidi"/>
              <w:noProof/>
              <w:kern w:val="2"/>
              <w:sz w:val="24"/>
              <w:szCs w:val="24"/>
              <w:lang w:eastAsia="de-DE"/>
              <w14:ligatures w14:val="standardContextual"/>
            </w:rPr>
          </w:pPr>
          <w:hyperlink w:anchor="_Toc169934847" w:history="1">
            <w:r w:rsidR="00BF277A" w:rsidRPr="00985FE7">
              <w:rPr>
                <w:rStyle w:val="Hyperlink"/>
                <w:noProof/>
              </w:rPr>
              <w:t>7.3.1.9</w:t>
            </w:r>
            <w:r w:rsidR="00BF277A">
              <w:rPr>
                <w:rFonts w:eastAsiaTheme="minorEastAsia" w:cstheme="minorBidi"/>
                <w:noProof/>
                <w:kern w:val="2"/>
                <w:sz w:val="24"/>
                <w:szCs w:val="24"/>
                <w:lang w:eastAsia="de-DE"/>
                <w14:ligatures w14:val="standardContextual"/>
              </w:rPr>
              <w:tab/>
            </w:r>
            <w:r w:rsidR="00BF277A" w:rsidRPr="00985FE7">
              <w:rPr>
                <w:rStyle w:val="Hyperlink"/>
                <w:noProof/>
              </w:rPr>
              <w:t>Unterrichtung von Angeh</w:t>
            </w:r>
            <w:r w:rsidR="00BF277A" w:rsidRPr="00985FE7">
              <w:rPr>
                <w:rStyle w:val="Hyperlink"/>
                <w:rFonts w:hint="eastAsia"/>
                <w:noProof/>
              </w:rPr>
              <w:t>ö</w:t>
            </w:r>
            <w:r w:rsidR="00BF277A" w:rsidRPr="00985FE7">
              <w:rPr>
                <w:rStyle w:val="Hyperlink"/>
                <w:noProof/>
              </w:rPr>
              <w:t>rigen oder anderen Bezugspersonen,</w:t>
            </w:r>
            <w:r w:rsidR="00BF277A">
              <w:rPr>
                <w:noProof/>
                <w:webHidden/>
              </w:rPr>
              <w:tab/>
            </w:r>
            <w:r w:rsidR="00BF277A">
              <w:rPr>
                <w:noProof/>
                <w:webHidden/>
              </w:rPr>
              <w:fldChar w:fldCharType="begin"/>
            </w:r>
            <w:r w:rsidR="00BF277A">
              <w:rPr>
                <w:noProof/>
                <w:webHidden/>
              </w:rPr>
              <w:instrText xml:space="preserve"> PAGEREF _Toc169934847 \h </w:instrText>
            </w:r>
            <w:r w:rsidR="00BF277A">
              <w:rPr>
                <w:noProof/>
                <w:webHidden/>
              </w:rPr>
            </w:r>
            <w:r w:rsidR="00BF277A">
              <w:rPr>
                <w:noProof/>
                <w:webHidden/>
              </w:rPr>
              <w:fldChar w:fldCharType="separate"/>
            </w:r>
            <w:r w:rsidR="00F43608">
              <w:rPr>
                <w:noProof/>
                <w:webHidden/>
              </w:rPr>
              <w:t>49</w:t>
            </w:r>
            <w:r w:rsidR="00BF277A">
              <w:rPr>
                <w:noProof/>
                <w:webHidden/>
              </w:rPr>
              <w:fldChar w:fldCharType="end"/>
            </w:r>
          </w:hyperlink>
        </w:p>
        <w:p w14:paraId="639D6D11" w14:textId="6861D94F" w:rsidR="00BF277A" w:rsidRDefault="00000000">
          <w:pPr>
            <w:pStyle w:val="Verzeichnis3"/>
            <w:rPr>
              <w:rFonts w:eastAsiaTheme="minorEastAsia" w:cstheme="minorBidi"/>
              <w:noProof/>
              <w:kern w:val="2"/>
              <w:sz w:val="24"/>
              <w:szCs w:val="24"/>
              <w:lang w:eastAsia="de-DE"/>
              <w14:ligatures w14:val="standardContextual"/>
            </w:rPr>
          </w:pPr>
          <w:hyperlink w:anchor="_Toc169934848" w:history="1">
            <w:r w:rsidR="00BF277A" w:rsidRPr="00985FE7">
              <w:rPr>
                <w:rStyle w:val="Hyperlink"/>
                <w:noProof/>
              </w:rPr>
              <w:t>7.3.2</w:t>
            </w:r>
            <w:r w:rsidR="00BF277A">
              <w:rPr>
                <w:rFonts w:eastAsiaTheme="minorEastAsia" w:cstheme="minorBidi"/>
                <w:noProof/>
                <w:kern w:val="2"/>
                <w:sz w:val="24"/>
                <w:szCs w:val="24"/>
                <w:lang w:eastAsia="de-DE"/>
                <w14:ligatures w14:val="standardContextual"/>
              </w:rPr>
              <w:tab/>
            </w:r>
            <w:r w:rsidR="00BF277A" w:rsidRPr="00985FE7">
              <w:rPr>
                <w:rStyle w:val="Hyperlink"/>
                <w:noProof/>
              </w:rPr>
              <w:t>Landesrettungsdienstgesetze</w:t>
            </w:r>
            <w:r w:rsidR="00BF277A">
              <w:rPr>
                <w:noProof/>
                <w:webHidden/>
              </w:rPr>
              <w:tab/>
            </w:r>
            <w:r w:rsidR="00BF277A">
              <w:rPr>
                <w:noProof/>
                <w:webHidden/>
              </w:rPr>
              <w:fldChar w:fldCharType="begin"/>
            </w:r>
            <w:r w:rsidR="00BF277A">
              <w:rPr>
                <w:noProof/>
                <w:webHidden/>
              </w:rPr>
              <w:instrText xml:space="preserve"> PAGEREF _Toc169934848 \h </w:instrText>
            </w:r>
            <w:r w:rsidR="00BF277A">
              <w:rPr>
                <w:noProof/>
                <w:webHidden/>
              </w:rPr>
            </w:r>
            <w:r w:rsidR="00BF277A">
              <w:rPr>
                <w:noProof/>
                <w:webHidden/>
              </w:rPr>
              <w:fldChar w:fldCharType="separate"/>
            </w:r>
            <w:r w:rsidR="00F43608">
              <w:rPr>
                <w:noProof/>
                <w:webHidden/>
              </w:rPr>
              <w:t>50</w:t>
            </w:r>
            <w:r w:rsidR="00BF277A">
              <w:rPr>
                <w:noProof/>
                <w:webHidden/>
              </w:rPr>
              <w:fldChar w:fldCharType="end"/>
            </w:r>
          </w:hyperlink>
        </w:p>
        <w:p w14:paraId="296E1E7D" w14:textId="368C8D71"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849" w:history="1">
            <w:r w:rsidR="00BF277A" w:rsidRPr="00985FE7">
              <w:rPr>
                <w:rStyle w:val="Hyperlink"/>
                <w:noProof/>
              </w:rPr>
              <w:t>8</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Interessenabw</w:t>
            </w:r>
            <w:r w:rsidR="00BF277A" w:rsidRPr="00985FE7">
              <w:rPr>
                <w:rStyle w:val="Hyperlink"/>
                <w:rFonts w:hint="eastAsia"/>
                <w:noProof/>
              </w:rPr>
              <w:t>ä</w:t>
            </w:r>
            <w:r w:rsidR="00BF277A" w:rsidRPr="00985FE7">
              <w:rPr>
                <w:rStyle w:val="Hyperlink"/>
                <w:noProof/>
              </w:rPr>
              <w:t>gung</w:t>
            </w:r>
            <w:r w:rsidR="00BF277A">
              <w:rPr>
                <w:noProof/>
                <w:webHidden/>
              </w:rPr>
              <w:tab/>
            </w:r>
            <w:r w:rsidR="00BF277A">
              <w:rPr>
                <w:noProof/>
                <w:webHidden/>
              </w:rPr>
              <w:fldChar w:fldCharType="begin"/>
            </w:r>
            <w:r w:rsidR="00BF277A">
              <w:rPr>
                <w:noProof/>
                <w:webHidden/>
              </w:rPr>
              <w:instrText xml:space="preserve"> PAGEREF _Toc169934849 \h </w:instrText>
            </w:r>
            <w:r w:rsidR="00BF277A">
              <w:rPr>
                <w:noProof/>
                <w:webHidden/>
              </w:rPr>
            </w:r>
            <w:r w:rsidR="00BF277A">
              <w:rPr>
                <w:noProof/>
                <w:webHidden/>
              </w:rPr>
              <w:fldChar w:fldCharType="separate"/>
            </w:r>
            <w:r w:rsidR="00F43608">
              <w:rPr>
                <w:noProof/>
                <w:webHidden/>
              </w:rPr>
              <w:t>52</w:t>
            </w:r>
            <w:r w:rsidR="00BF277A">
              <w:rPr>
                <w:noProof/>
                <w:webHidden/>
              </w:rPr>
              <w:fldChar w:fldCharType="end"/>
            </w:r>
          </w:hyperlink>
        </w:p>
        <w:p w14:paraId="009457D0" w14:textId="2D43CC92"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50" w:history="1">
            <w:r w:rsidR="00BF277A" w:rsidRPr="00985FE7">
              <w:rPr>
                <w:rStyle w:val="Hyperlink"/>
                <w:noProof/>
              </w:rPr>
              <w:t>8.1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Vorgaben der DS-GVO</w:t>
            </w:r>
            <w:r w:rsidR="00BF277A">
              <w:rPr>
                <w:noProof/>
                <w:webHidden/>
              </w:rPr>
              <w:tab/>
            </w:r>
            <w:r w:rsidR="00BF277A">
              <w:rPr>
                <w:noProof/>
                <w:webHidden/>
              </w:rPr>
              <w:fldChar w:fldCharType="begin"/>
            </w:r>
            <w:r w:rsidR="00BF277A">
              <w:rPr>
                <w:noProof/>
                <w:webHidden/>
              </w:rPr>
              <w:instrText xml:space="preserve"> PAGEREF _Toc169934850 \h </w:instrText>
            </w:r>
            <w:r w:rsidR="00BF277A">
              <w:rPr>
                <w:noProof/>
                <w:webHidden/>
              </w:rPr>
            </w:r>
            <w:r w:rsidR="00BF277A">
              <w:rPr>
                <w:noProof/>
                <w:webHidden/>
              </w:rPr>
              <w:fldChar w:fldCharType="separate"/>
            </w:r>
            <w:r w:rsidR="00F43608">
              <w:rPr>
                <w:noProof/>
                <w:webHidden/>
              </w:rPr>
              <w:t>52</w:t>
            </w:r>
            <w:r w:rsidR="00BF277A">
              <w:rPr>
                <w:noProof/>
                <w:webHidden/>
              </w:rPr>
              <w:fldChar w:fldCharType="end"/>
            </w:r>
          </w:hyperlink>
        </w:p>
        <w:p w14:paraId="55F97518" w14:textId="65E9B954" w:rsidR="00BF277A" w:rsidRDefault="00000000">
          <w:pPr>
            <w:pStyle w:val="Verzeichnis3"/>
            <w:rPr>
              <w:rFonts w:eastAsiaTheme="minorEastAsia" w:cstheme="minorBidi"/>
              <w:noProof/>
              <w:kern w:val="2"/>
              <w:sz w:val="24"/>
              <w:szCs w:val="24"/>
              <w:lang w:eastAsia="de-DE"/>
              <w14:ligatures w14:val="standardContextual"/>
            </w:rPr>
          </w:pPr>
          <w:hyperlink w:anchor="_Toc169934851" w:history="1">
            <w:r w:rsidR="00BF277A" w:rsidRPr="00985FE7">
              <w:rPr>
                <w:rStyle w:val="Hyperlink"/>
                <w:noProof/>
              </w:rPr>
              <w:t>8.1.1</w:t>
            </w:r>
            <w:r w:rsidR="00BF277A">
              <w:rPr>
                <w:rFonts w:eastAsiaTheme="minorEastAsia" w:cstheme="minorBidi"/>
                <w:noProof/>
                <w:kern w:val="2"/>
                <w:sz w:val="24"/>
                <w:szCs w:val="24"/>
                <w:lang w:eastAsia="de-DE"/>
                <w14:ligatures w14:val="standardContextual"/>
              </w:rPr>
              <w:tab/>
            </w:r>
            <w:r w:rsidR="00BF277A" w:rsidRPr="00985FE7">
              <w:rPr>
                <w:rStyle w:val="Hyperlink"/>
                <w:noProof/>
              </w:rPr>
              <w:t>Keine Legitimierung der Verarbeitung personenbezogener Daten durch Beh</w:t>
            </w:r>
            <w:r w:rsidR="00BF277A" w:rsidRPr="00985FE7">
              <w:rPr>
                <w:rStyle w:val="Hyperlink"/>
                <w:rFonts w:hint="eastAsia"/>
                <w:noProof/>
              </w:rPr>
              <w:t>ö</w:t>
            </w:r>
            <w:r w:rsidR="00BF277A" w:rsidRPr="00985FE7">
              <w:rPr>
                <w:rStyle w:val="Hyperlink"/>
                <w:noProof/>
              </w:rPr>
              <w:t>rden</w:t>
            </w:r>
            <w:r w:rsidR="00BF277A">
              <w:rPr>
                <w:noProof/>
                <w:webHidden/>
              </w:rPr>
              <w:tab/>
            </w:r>
            <w:r w:rsidR="00BF277A">
              <w:rPr>
                <w:noProof/>
                <w:webHidden/>
              </w:rPr>
              <w:fldChar w:fldCharType="begin"/>
            </w:r>
            <w:r w:rsidR="00BF277A">
              <w:rPr>
                <w:noProof/>
                <w:webHidden/>
              </w:rPr>
              <w:instrText xml:space="preserve"> PAGEREF _Toc169934851 \h </w:instrText>
            </w:r>
            <w:r w:rsidR="00BF277A">
              <w:rPr>
                <w:noProof/>
                <w:webHidden/>
              </w:rPr>
            </w:r>
            <w:r w:rsidR="00BF277A">
              <w:rPr>
                <w:noProof/>
                <w:webHidden/>
              </w:rPr>
              <w:fldChar w:fldCharType="separate"/>
            </w:r>
            <w:r w:rsidR="00F43608">
              <w:rPr>
                <w:noProof/>
                <w:webHidden/>
              </w:rPr>
              <w:t>52</w:t>
            </w:r>
            <w:r w:rsidR="00BF277A">
              <w:rPr>
                <w:noProof/>
                <w:webHidden/>
              </w:rPr>
              <w:fldChar w:fldCharType="end"/>
            </w:r>
          </w:hyperlink>
        </w:p>
        <w:p w14:paraId="5E0DEBD7" w14:textId="55AA47BA" w:rsidR="00BF277A" w:rsidRDefault="00000000">
          <w:pPr>
            <w:pStyle w:val="Verzeichnis3"/>
            <w:rPr>
              <w:rFonts w:eastAsiaTheme="minorEastAsia" w:cstheme="minorBidi"/>
              <w:noProof/>
              <w:kern w:val="2"/>
              <w:sz w:val="24"/>
              <w:szCs w:val="24"/>
              <w:lang w:eastAsia="de-DE"/>
              <w14:ligatures w14:val="standardContextual"/>
            </w:rPr>
          </w:pPr>
          <w:hyperlink w:anchor="_Toc169934852" w:history="1">
            <w:r w:rsidR="00BF277A" w:rsidRPr="00985FE7">
              <w:rPr>
                <w:rStyle w:val="Hyperlink"/>
                <w:noProof/>
              </w:rPr>
              <w:t>8.1.2</w:t>
            </w:r>
            <w:r w:rsidR="00BF277A">
              <w:rPr>
                <w:rFonts w:eastAsiaTheme="minorEastAsia" w:cstheme="minorBidi"/>
                <w:noProof/>
                <w:kern w:val="2"/>
                <w:sz w:val="24"/>
                <w:szCs w:val="24"/>
                <w:lang w:eastAsia="de-DE"/>
                <w14:ligatures w14:val="standardContextual"/>
              </w:rPr>
              <w:tab/>
            </w:r>
            <w:r w:rsidR="00BF277A" w:rsidRPr="00985FE7">
              <w:rPr>
                <w:rStyle w:val="Hyperlink"/>
                <w:noProof/>
              </w:rPr>
              <w:t>Mindestens zu ber</w:t>
            </w:r>
            <w:r w:rsidR="00BF277A" w:rsidRPr="00985FE7">
              <w:rPr>
                <w:rStyle w:val="Hyperlink"/>
                <w:rFonts w:hint="eastAsia"/>
                <w:noProof/>
              </w:rPr>
              <w:t>ü</w:t>
            </w:r>
            <w:r w:rsidR="00BF277A" w:rsidRPr="00985FE7">
              <w:rPr>
                <w:rStyle w:val="Hyperlink"/>
                <w:noProof/>
              </w:rPr>
              <w:t>cksichtigende Faktoren</w:t>
            </w:r>
            <w:r w:rsidR="00BF277A">
              <w:rPr>
                <w:noProof/>
                <w:webHidden/>
              </w:rPr>
              <w:tab/>
            </w:r>
            <w:r w:rsidR="00BF277A">
              <w:rPr>
                <w:noProof/>
                <w:webHidden/>
              </w:rPr>
              <w:fldChar w:fldCharType="begin"/>
            </w:r>
            <w:r w:rsidR="00BF277A">
              <w:rPr>
                <w:noProof/>
                <w:webHidden/>
              </w:rPr>
              <w:instrText xml:space="preserve"> PAGEREF _Toc169934852 \h </w:instrText>
            </w:r>
            <w:r w:rsidR="00BF277A">
              <w:rPr>
                <w:noProof/>
                <w:webHidden/>
              </w:rPr>
            </w:r>
            <w:r w:rsidR="00BF277A">
              <w:rPr>
                <w:noProof/>
                <w:webHidden/>
              </w:rPr>
              <w:fldChar w:fldCharType="separate"/>
            </w:r>
            <w:r w:rsidR="00F43608">
              <w:rPr>
                <w:noProof/>
                <w:webHidden/>
              </w:rPr>
              <w:t>53</w:t>
            </w:r>
            <w:r w:rsidR="00BF277A">
              <w:rPr>
                <w:noProof/>
                <w:webHidden/>
              </w:rPr>
              <w:fldChar w:fldCharType="end"/>
            </w:r>
          </w:hyperlink>
        </w:p>
        <w:p w14:paraId="571D7F68" w14:textId="76DC3D6B" w:rsidR="00BF277A" w:rsidRDefault="00000000">
          <w:pPr>
            <w:pStyle w:val="Verzeichnis3"/>
            <w:rPr>
              <w:rFonts w:eastAsiaTheme="minorEastAsia" w:cstheme="minorBidi"/>
              <w:noProof/>
              <w:kern w:val="2"/>
              <w:sz w:val="24"/>
              <w:szCs w:val="24"/>
              <w:lang w:eastAsia="de-DE"/>
              <w14:ligatures w14:val="standardContextual"/>
            </w:rPr>
          </w:pPr>
          <w:hyperlink w:anchor="_Toc169934853" w:history="1">
            <w:r w:rsidR="00BF277A" w:rsidRPr="00985FE7">
              <w:rPr>
                <w:rStyle w:val="Hyperlink"/>
                <w:noProof/>
              </w:rPr>
              <w:t>8.1.3</w:t>
            </w:r>
            <w:r w:rsidR="00BF277A">
              <w:rPr>
                <w:rFonts w:eastAsiaTheme="minorEastAsia" w:cstheme="minorBidi"/>
                <w:noProof/>
                <w:kern w:val="2"/>
                <w:sz w:val="24"/>
                <w:szCs w:val="24"/>
                <w:lang w:eastAsia="de-DE"/>
                <w14:ligatures w14:val="standardContextual"/>
              </w:rPr>
              <w:tab/>
            </w:r>
            <w:r w:rsidR="00BF277A" w:rsidRPr="00985FE7">
              <w:rPr>
                <w:rStyle w:val="Hyperlink"/>
                <w:noProof/>
              </w:rPr>
              <w:t>Nachweispflicht</w:t>
            </w:r>
            <w:r w:rsidR="00BF277A">
              <w:rPr>
                <w:noProof/>
                <w:webHidden/>
              </w:rPr>
              <w:tab/>
            </w:r>
            <w:r w:rsidR="00BF277A">
              <w:rPr>
                <w:noProof/>
                <w:webHidden/>
              </w:rPr>
              <w:fldChar w:fldCharType="begin"/>
            </w:r>
            <w:r w:rsidR="00BF277A">
              <w:rPr>
                <w:noProof/>
                <w:webHidden/>
              </w:rPr>
              <w:instrText xml:space="preserve"> PAGEREF _Toc169934853 \h </w:instrText>
            </w:r>
            <w:r w:rsidR="00BF277A">
              <w:rPr>
                <w:noProof/>
                <w:webHidden/>
              </w:rPr>
            </w:r>
            <w:r w:rsidR="00BF277A">
              <w:rPr>
                <w:noProof/>
                <w:webHidden/>
              </w:rPr>
              <w:fldChar w:fldCharType="separate"/>
            </w:r>
            <w:r w:rsidR="00F43608">
              <w:rPr>
                <w:noProof/>
                <w:webHidden/>
              </w:rPr>
              <w:t>54</w:t>
            </w:r>
            <w:r w:rsidR="00BF277A">
              <w:rPr>
                <w:noProof/>
                <w:webHidden/>
              </w:rPr>
              <w:fldChar w:fldCharType="end"/>
            </w:r>
          </w:hyperlink>
        </w:p>
        <w:p w14:paraId="21AD8CA1" w14:textId="2F158C29" w:rsidR="00BF277A" w:rsidRDefault="00000000">
          <w:pPr>
            <w:pStyle w:val="Verzeichnis3"/>
            <w:rPr>
              <w:rFonts w:eastAsiaTheme="minorEastAsia" w:cstheme="minorBidi"/>
              <w:noProof/>
              <w:kern w:val="2"/>
              <w:sz w:val="24"/>
              <w:szCs w:val="24"/>
              <w:lang w:eastAsia="de-DE"/>
              <w14:ligatures w14:val="standardContextual"/>
            </w:rPr>
          </w:pPr>
          <w:hyperlink w:anchor="_Toc169934854" w:history="1">
            <w:r w:rsidR="00BF277A" w:rsidRPr="00985FE7">
              <w:rPr>
                <w:rStyle w:val="Hyperlink"/>
                <w:noProof/>
              </w:rPr>
              <w:t>8.1.4</w:t>
            </w:r>
            <w:r w:rsidR="00BF277A">
              <w:rPr>
                <w:rFonts w:eastAsiaTheme="minorEastAsia" w:cstheme="minorBidi"/>
                <w:noProof/>
                <w:kern w:val="2"/>
                <w:sz w:val="24"/>
                <w:szCs w:val="24"/>
                <w:lang w:eastAsia="de-DE"/>
                <w14:ligatures w14:val="standardContextual"/>
              </w:rPr>
              <w:tab/>
            </w:r>
            <w:r w:rsidR="00BF277A" w:rsidRPr="00985FE7">
              <w:rPr>
                <w:rStyle w:val="Hyperlink"/>
                <w:noProof/>
              </w:rPr>
              <w:t>Interessenabw</w:t>
            </w:r>
            <w:r w:rsidR="00BF277A" w:rsidRPr="00985FE7">
              <w:rPr>
                <w:rStyle w:val="Hyperlink"/>
                <w:rFonts w:hint="eastAsia"/>
                <w:noProof/>
              </w:rPr>
              <w:t>ä</w:t>
            </w:r>
            <w:r w:rsidR="00BF277A" w:rsidRPr="00985FE7">
              <w:rPr>
                <w:rStyle w:val="Hyperlink"/>
                <w:noProof/>
              </w:rPr>
              <w:t>gung bei Kindern</w:t>
            </w:r>
            <w:r w:rsidR="00BF277A">
              <w:rPr>
                <w:noProof/>
                <w:webHidden/>
              </w:rPr>
              <w:tab/>
            </w:r>
            <w:r w:rsidR="00BF277A">
              <w:rPr>
                <w:noProof/>
                <w:webHidden/>
              </w:rPr>
              <w:fldChar w:fldCharType="begin"/>
            </w:r>
            <w:r w:rsidR="00BF277A">
              <w:rPr>
                <w:noProof/>
                <w:webHidden/>
              </w:rPr>
              <w:instrText xml:space="preserve"> PAGEREF _Toc169934854 \h </w:instrText>
            </w:r>
            <w:r w:rsidR="00BF277A">
              <w:rPr>
                <w:noProof/>
                <w:webHidden/>
              </w:rPr>
            </w:r>
            <w:r w:rsidR="00BF277A">
              <w:rPr>
                <w:noProof/>
                <w:webHidden/>
              </w:rPr>
              <w:fldChar w:fldCharType="separate"/>
            </w:r>
            <w:r w:rsidR="00F43608">
              <w:rPr>
                <w:noProof/>
                <w:webHidden/>
              </w:rPr>
              <w:t>55</w:t>
            </w:r>
            <w:r w:rsidR="00BF277A">
              <w:rPr>
                <w:noProof/>
                <w:webHidden/>
              </w:rPr>
              <w:fldChar w:fldCharType="end"/>
            </w:r>
          </w:hyperlink>
        </w:p>
        <w:p w14:paraId="19F8B9C8" w14:textId="152185F5" w:rsidR="00BF277A" w:rsidRDefault="00000000">
          <w:pPr>
            <w:pStyle w:val="Verzeichnis3"/>
            <w:rPr>
              <w:rFonts w:eastAsiaTheme="minorEastAsia" w:cstheme="minorBidi"/>
              <w:noProof/>
              <w:kern w:val="2"/>
              <w:sz w:val="24"/>
              <w:szCs w:val="24"/>
              <w:lang w:eastAsia="de-DE"/>
              <w14:ligatures w14:val="standardContextual"/>
            </w:rPr>
          </w:pPr>
          <w:hyperlink w:anchor="_Toc169934855" w:history="1">
            <w:r w:rsidR="00BF277A" w:rsidRPr="00985FE7">
              <w:rPr>
                <w:rStyle w:val="Hyperlink"/>
                <w:noProof/>
              </w:rPr>
              <w:t>8.1.5</w:t>
            </w:r>
            <w:r w:rsidR="00BF277A">
              <w:rPr>
                <w:rFonts w:eastAsiaTheme="minorEastAsia" w:cstheme="minorBidi"/>
                <w:noProof/>
                <w:kern w:val="2"/>
                <w:sz w:val="24"/>
                <w:szCs w:val="24"/>
                <w:lang w:eastAsia="de-DE"/>
                <w14:ligatures w14:val="standardContextual"/>
              </w:rPr>
              <w:tab/>
            </w:r>
            <w:r w:rsidR="00BF277A" w:rsidRPr="00985FE7">
              <w:rPr>
                <w:rStyle w:val="Hyperlink"/>
                <w:noProof/>
              </w:rPr>
              <w:t>Informationspflichten</w:t>
            </w:r>
            <w:r w:rsidR="00BF277A">
              <w:rPr>
                <w:noProof/>
                <w:webHidden/>
              </w:rPr>
              <w:tab/>
            </w:r>
            <w:r w:rsidR="00BF277A">
              <w:rPr>
                <w:noProof/>
                <w:webHidden/>
              </w:rPr>
              <w:fldChar w:fldCharType="begin"/>
            </w:r>
            <w:r w:rsidR="00BF277A">
              <w:rPr>
                <w:noProof/>
                <w:webHidden/>
              </w:rPr>
              <w:instrText xml:space="preserve"> PAGEREF _Toc169934855 \h </w:instrText>
            </w:r>
            <w:r w:rsidR="00BF277A">
              <w:rPr>
                <w:noProof/>
                <w:webHidden/>
              </w:rPr>
            </w:r>
            <w:r w:rsidR="00BF277A">
              <w:rPr>
                <w:noProof/>
                <w:webHidden/>
              </w:rPr>
              <w:fldChar w:fldCharType="separate"/>
            </w:r>
            <w:r w:rsidR="00F43608">
              <w:rPr>
                <w:noProof/>
                <w:webHidden/>
              </w:rPr>
              <w:t>55</w:t>
            </w:r>
            <w:r w:rsidR="00BF277A">
              <w:rPr>
                <w:noProof/>
                <w:webHidden/>
              </w:rPr>
              <w:fldChar w:fldCharType="end"/>
            </w:r>
          </w:hyperlink>
        </w:p>
        <w:p w14:paraId="75FBF775" w14:textId="64C11ECD" w:rsidR="00BF277A" w:rsidRDefault="00000000">
          <w:pPr>
            <w:pStyle w:val="Verzeichnis3"/>
            <w:rPr>
              <w:rFonts w:eastAsiaTheme="minorEastAsia" w:cstheme="minorBidi"/>
              <w:noProof/>
              <w:kern w:val="2"/>
              <w:sz w:val="24"/>
              <w:szCs w:val="24"/>
              <w:lang w:eastAsia="de-DE"/>
              <w14:ligatures w14:val="standardContextual"/>
            </w:rPr>
          </w:pPr>
          <w:hyperlink w:anchor="_Toc169934856" w:history="1">
            <w:r w:rsidR="00BF277A" w:rsidRPr="00985FE7">
              <w:rPr>
                <w:rStyle w:val="Hyperlink"/>
                <w:noProof/>
              </w:rPr>
              <w:t>8.1.6</w:t>
            </w:r>
            <w:r w:rsidR="00BF277A">
              <w:rPr>
                <w:rFonts w:eastAsiaTheme="minorEastAsia" w:cstheme="minorBidi"/>
                <w:noProof/>
                <w:kern w:val="2"/>
                <w:sz w:val="24"/>
                <w:szCs w:val="24"/>
                <w:lang w:eastAsia="de-DE"/>
                <w14:ligatures w14:val="standardContextual"/>
              </w:rPr>
              <w:tab/>
            </w:r>
            <w:r w:rsidR="00BF277A" w:rsidRPr="00985FE7">
              <w:rPr>
                <w:rStyle w:val="Hyperlink"/>
                <w:noProof/>
              </w:rPr>
              <w:t>Widerspruchsrecht beachten</w:t>
            </w:r>
            <w:r w:rsidR="00BF277A">
              <w:rPr>
                <w:noProof/>
                <w:webHidden/>
              </w:rPr>
              <w:tab/>
            </w:r>
            <w:r w:rsidR="00BF277A">
              <w:rPr>
                <w:noProof/>
                <w:webHidden/>
              </w:rPr>
              <w:fldChar w:fldCharType="begin"/>
            </w:r>
            <w:r w:rsidR="00BF277A">
              <w:rPr>
                <w:noProof/>
                <w:webHidden/>
              </w:rPr>
              <w:instrText xml:space="preserve"> PAGEREF _Toc169934856 \h </w:instrText>
            </w:r>
            <w:r w:rsidR="00BF277A">
              <w:rPr>
                <w:noProof/>
                <w:webHidden/>
              </w:rPr>
            </w:r>
            <w:r w:rsidR="00BF277A">
              <w:rPr>
                <w:noProof/>
                <w:webHidden/>
              </w:rPr>
              <w:fldChar w:fldCharType="separate"/>
            </w:r>
            <w:r w:rsidR="00F43608">
              <w:rPr>
                <w:noProof/>
                <w:webHidden/>
              </w:rPr>
              <w:t>55</w:t>
            </w:r>
            <w:r w:rsidR="00BF277A">
              <w:rPr>
                <w:noProof/>
                <w:webHidden/>
              </w:rPr>
              <w:fldChar w:fldCharType="end"/>
            </w:r>
          </w:hyperlink>
        </w:p>
        <w:p w14:paraId="5E51407C" w14:textId="03BE16F6"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57" w:history="1">
            <w:r w:rsidR="00BF277A" w:rsidRPr="00985FE7">
              <w:rPr>
                <w:rStyle w:val="Hyperlink"/>
                <w:noProof/>
              </w:rPr>
              <w:t>8.2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Rechtsprechung des EuGH</w:t>
            </w:r>
            <w:r w:rsidR="00BF277A">
              <w:rPr>
                <w:noProof/>
                <w:webHidden/>
              </w:rPr>
              <w:tab/>
            </w:r>
            <w:r w:rsidR="00BF277A">
              <w:rPr>
                <w:noProof/>
                <w:webHidden/>
              </w:rPr>
              <w:fldChar w:fldCharType="begin"/>
            </w:r>
            <w:r w:rsidR="00BF277A">
              <w:rPr>
                <w:noProof/>
                <w:webHidden/>
              </w:rPr>
              <w:instrText xml:space="preserve"> PAGEREF _Toc169934857 \h </w:instrText>
            </w:r>
            <w:r w:rsidR="00BF277A">
              <w:rPr>
                <w:noProof/>
                <w:webHidden/>
              </w:rPr>
            </w:r>
            <w:r w:rsidR="00BF277A">
              <w:rPr>
                <w:noProof/>
                <w:webHidden/>
              </w:rPr>
              <w:fldChar w:fldCharType="separate"/>
            </w:r>
            <w:r w:rsidR="00F43608">
              <w:rPr>
                <w:noProof/>
                <w:webHidden/>
              </w:rPr>
              <w:t>56</w:t>
            </w:r>
            <w:r w:rsidR="00BF277A">
              <w:rPr>
                <w:noProof/>
                <w:webHidden/>
              </w:rPr>
              <w:fldChar w:fldCharType="end"/>
            </w:r>
          </w:hyperlink>
        </w:p>
        <w:p w14:paraId="6E23ADFC" w14:textId="075F4DE7" w:rsidR="00BF277A" w:rsidRDefault="00000000">
          <w:pPr>
            <w:pStyle w:val="Verzeichnis3"/>
            <w:rPr>
              <w:rFonts w:eastAsiaTheme="minorEastAsia" w:cstheme="minorBidi"/>
              <w:noProof/>
              <w:kern w:val="2"/>
              <w:sz w:val="24"/>
              <w:szCs w:val="24"/>
              <w:lang w:eastAsia="de-DE"/>
              <w14:ligatures w14:val="standardContextual"/>
            </w:rPr>
          </w:pPr>
          <w:hyperlink w:anchor="_Toc169934858" w:history="1">
            <w:r w:rsidR="00BF277A" w:rsidRPr="00985FE7">
              <w:rPr>
                <w:rStyle w:val="Hyperlink"/>
                <w:noProof/>
              </w:rPr>
              <w:t>8.2.1</w:t>
            </w:r>
            <w:r w:rsidR="00BF277A">
              <w:rPr>
                <w:rFonts w:eastAsiaTheme="minorEastAsia" w:cstheme="minorBidi"/>
                <w:noProof/>
                <w:kern w:val="2"/>
                <w:sz w:val="24"/>
                <w:szCs w:val="24"/>
                <w:lang w:eastAsia="de-DE"/>
                <w14:ligatures w14:val="standardContextual"/>
              </w:rPr>
              <w:tab/>
            </w:r>
            <w:r w:rsidR="00BF277A" w:rsidRPr="00985FE7">
              <w:rPr>
                <w:rStyle w:val="Hyperlink"/>
                <w:noProof/>
              </w:rPr>
              <w:t>Konkrete Umst</w:t>
            </w:r>
            <w:r w:rsidR="00BF277A" w:rsidRPr="00985FE7">
              <w:rPr>
                <w:rStyle w:val="Hyperlink"/>
                <w:rFonts w:hint="eastAsia"/>
                <w:noProof/>
              </w:rPr>
              <w:t>ä</w:t>
            </w:r>
            <w:r w:rsidR="00BF277A" w:rsidRPr="00985FE7">
              <w:rPr>
                <w:rStyle w:val="Hyperlink"/>
                <w:noProof/>
              </w:rPr>
              <w:t>nde und Sensibilit</w:t>
            </w:r>
            <w:r w:rsidR="00BF277A" w:rsidRPr="00985FE7">
              <w:rPr>
                <w:rStyle w:val="Hyperlink"/>
                <w:rFonts w:hint="eastAsia"/>
                <w:noProof/>
              </w:rPr>
              <w:t>ä</w:t>
            </w:r>
            <w:r w:rsidR="00BF277A" w:rsidRPr="00985FE7">
              <w:rPr>
                <w:rStyle w:val="Hyperlink"/>
                <w:noProof/>
              </w:rPr>
              <w:t>t der Daten ber</w:t>
            </w:r>
            <w:r w:rsidR="00BF277A" w:rsidRPr="00985FE7">
              <w:rPr>
                <w:rStyle w:val="Hyperlink"/>
                <w:rFonts w:hint="eastAsia"/>
                <w:noProof/>
              </w:rPr>
              <w:t>ü</w:t>
            </w:r>
            <w:r w:rsidR="00BF277A" w:rsidRPr="00985FE7">
              <w:rPr>
                <w:rStyle w:val="Hyperlink"/>
                <w:noProof/>
              </w:rPr>
              <w:t>cksichtigen</w:t>
            </w:r>
            <w:r w:rsidR="00BF277A">
              <w:rPr>
                <w:noProof/>
                <w:webHidden/>
              </w:rPr>
              <w:tab/>
            </w:r>
            <w:r w:rsidR="00BF277A">
              <w:rPr>
                <w:noProof/>
                <w:webHidden/>
              </w:rPr>
              <w:fldChar w:fldCharType="begin"/>
            </w:r>
            <w:r w:rsidR="00BF277A">
              <w:rPr>
                <w:noProof/>
                <w:webHidden/>
              </w:rPr>
              <w:instrText xml:space="preserve"> PAGEREF _Toc169934858 \h </w:instrText>
            </w:r>
            <w:r w:rsidR="00BF277A">
              <w:rPr>
                <w:noProof/>
                <w:webHidden/>
              </w:rPr>
            </w:r>
            <w:r w:rsidR="00BF277A">
              <w:rPr>
                <w:noProof/>
                <w:webHidden/>
              </w:rPr>
              <w:fldChar w:fldCharType="separate"/>
            </w:r>
            <w:r w:rsidR="00F43608">
              <w:rPr>
                <w:noProof/>
                <w:webHidden/>
              </w:rPr>
              <w:t>56</w:t>
            </w:r>
            <w:r w:rsidR="00BF277A">
              <w:rPr>
                <w:noProof/>
                <w:webHidden/>
              </w:rPr>
              <w:fldChar w:fldCharType="end"/>
            </w:r>
          </w:hyperlink>
        </w:p>
        <w:p w14:paraId="69D68DB0" w14:textId="1C7CF9A8" w:rsidR="00BF277A" w:rsidRDefault="00000000">
          <w:pPr>
            <w:pStyle w:val="Verzeichnis3"/>
            <w:rPr>
              <w:rFonts w:eastAsiaTheme="minorEastAsia" w:cstheme="minorBidi"/>
              <w:noProof/>
              <w:kern w:val="2"/>
              <w:sz w:val="24"/>
              <w:szCs w:val="24"/>
              <w:lang w:eastAsia="de-DE"/>
              <w14:ligatures w14:val="standardContextual"/>
            </w:rPr>
          </w:pPr>
          <w:hyperlink w:anchor="_Toc169934859" w:history="1">
            <w:r w:rsidR="00BF277A" w:rsidRPr="00985FE7">
              <w:rPr>
                <w:rStyle w:val="Hyperlink"/>
                <w:noProof/>
              </w:rPr>
              <w:t>8.2.2</w:t>
            </w:r>
            <w:r w:rsidR="00BF277A">
              <w:rPr>
                <w:rFonts w:eastAsiaTheme="minorEastAsia" w:cstheme="minorBidi"/>
                <w:noProof/>
                <w:kern w:val="2"/>
                <w:sz w:val="24"/>
                <w:szCs w:val="24"/>
                <w:lang w:eastAsia="de-DE"/>
                <w14:ligatures w14:val="standardContextual"/>
              </w:rPr>
              <w:tab/>
            </w:r>
            <w:r w:rsidR="00BF277A" w:rsidRPr="00985FE7">
              <w:rPr>
                <w:rStyle w:val="Hyperlink"/>
                <w:noProof/>
              </w:rPr>
              <w:t>Einzelfallbetrachtung erforderlich</w:t>
            </w:r>
            <w:r w:rsidR="00BF277A">
              <w:rPr>
                <w:noProof/>
                <w:webHidden/>
              </w:rPr>
              <w:tab/>
            </w:r>
            <w:r w:rsidR="00BF277A">
              <w:rPr>
                <w:noProof/>
                <w:webHidden/>
              </w:rPr>
              <w:fldChar w:fldCharType="begin"/>
            </w:r>
            <w:r w:rsidR="00BF277A">
              <w:rPr>
                <w:noProof/>
                <w:webHidden/>
              </w:rPr>
              <w:instrText xml:space="preserve"> PAGEREF _Toc169934859 \h </w:instrText>
            </w:r>
            <w:r w:rsidR="00BF277A">
              <w:rPr>
                <w:noProof/>
                <w:webHidden/>
              </w:rPr>
            </w:r>
            <w:r w:rsidR="00BF277A">
              <w:rPr>
                <w:noProof/>
                <w:webHidden/>
              </w:rPr>
              <w:fldChar w:fldCharType="separate"/>
            </w:r>
            <w:r w:rsidR="00F43608">
              <w:rPr>
                <w:noProof/>
                <w:webHidden/>
              </w:rPr>
              <w:t>57</w:t>
            </w:r>
            <w:r w:rsidR="00BF277A">
              <w:rPr>
                <w:noProof/>
                <w:webHidden/>
              </w:rPr>
              <w:fldChar w:fldCharType="end"/>
            </w:r>
          </w:hyperlink>
        </w:p>
        <w:p w14:paraId="67067D90" w14:textId="00E62497" w:rsidR="00BF277A" w:rsidRDefault="00000000">
          <w:pPr>
            <w:pStyle w:val="Verzeichnis3"/>
            <w:rPr>
              <w:rFonts w:eastAsiaTheme="minorEastAsia" w:cstheme="minorBidi"/>
              <w:noProof/>
              <w:kern w:val="2"/>
              <w:sz w:val="24"/>
              <w:szCs w:val="24"/>
              <w:lang w:eastAsia="de-DE"/>
              <w14:ligatures w14:val="standardContextual"/>
            </w:rPr>
          </w:pPr>
          <w:hyperlink w:anchor="_Toc169934860" w:history="1">
            <w:r w:rsidR="00BF277A" w:rsidRPr="00985FE7">
              <w:rPr>
                <w:rStyle w:val="Hyperlink"/>
                <w:noProof/>
              </w:rPr>
              <w:t>8.2.3</w:t>
            </w:r>
            <w:r w:rsidR="00BF277A">
              <w:rPr>
                <w:rFonts w:eastAsiaTheme="minorEastAsia" w:cstheme="minorBidi"/>
                <w:noProof/>
                <w:kern w:val="2"/>
                <w:sz w:val="24"/>
                <w:szCs w:val="24"/>
                <w:lang w:eastAsia="de-DE"/>
                <w14:ligatures w14:val="standardContextual"/>
              </w:rPr>
              <w:tab/>
            </w:r>
            <w:r w:rsidR="00BF277A" w:rsidRPr="00985FE7">
              <w:rPr>
                <w:rStyle w:val="Hyperlink"/>
                <w:noProof/>
              </w:rPr>
              <w:t>Zusammenf</w:t>
            </w:r>
            <w:r w:rsidR="00BF277A" w:rsidRPr="00985FE7">
              <w:rPr>
                <w:rStyle w:val="Hyperlink"/>
                <w:rFonts w:hint="eastAsia"/>
                <w:noProof/>
              </w:rPr>
              <w:t>ü</w:t>
            </w:r>
            <w:r w:rsidR="00BF277A" w:rsidRPr="00985FE7">
              <w:rPr>
                <w:rStyle w:val="Hyperlink"/>
                <w:noProof/>
              </w:rPr>
              <w:t>hren/Verketten personenbezogener Daten</w:t>
            </w:r>
            <w:r w:rsidR="00BF277A">
              <w:rPr>
                <w:noProof/>
                <w:webHidden/>
              </w:rPr>
              <w:tab/>
            </w:r>
            <w:r w:rsidR="00BF277A">
              <w:rPr>
                <w:noProof/>
                <w:webHidden/>
              </w:rPr>
              <w:fldChar w:fldCharType="begin"/>
            </w:r>
            <w:r w:rsidR="00BF277A">
              <w:rPr>
                <w:noProof/>
                <w:webHidden/>
              </w:rPr>
              <w:instrText xml:space="preserve"> PAGEREF _Toc169934860 \h </w:instrText>
            </w:r>
            <w:r w:rsidR="00BF277A">
              <w:rPr>
                <w:noProof/>
                <w:webHidden/>
              </w:rPr>
            </w:r>
            <w:r w:rsidR="00BF277A">
              <w:rPr>
                <w:noProof/>
                <w:webHidden/>
              </w:rPr>
              <w:fldChar w:fldCharType="separate"/>
            </w:r>
            <w:r w:rsidR="00F43608">
              <w:rPr>
                <w:noProof/>
                <w:webHidden/>
              </w:rPr>
              <w:t>57</w:t>
            </w:r>
            <w:r w:rsidR="00BF277A">
              <w:rPr>
                <w:noProof/>
                <w:webHidden/>
              </w:rPr>
              <w:fldChar w:fldCharType="end"/>
            </w:r>
          </w:hyperlink>
        </w:p>
        <w:p w14:paraId="7F0BFB57" w14:textId="3023113D" w:rsidR="00BF277A" w:rsidRDefault="00000000">
          <w:pPr>
            <w:pStyle w:val="Verzeichnis3"/>
            <w:rPr>
              <w:rFonts w:eastAsiaTheme="minorEastAsia" w:cstheme="minorBidi"/>
              <w:noProof/>
              <w:kern w:val="2"/>
              <w:sz w:val="24"/>
              <w:szCs w:val="24"/>
              <w:lang w:eastAsia="de-DE"/>
              <w14:ligatures w14:val="standardContextual"/>
            </w:rPr>
          </w:pPr>
          <w:hyperlink w:anchor="_Toc169934861" w:history="1">
            <w:r w:rsidR="00BF277A" w:rsidRPr="00985FE7">
              <w:rPr>
                <w:rStyle w:val="Hyperlink"/>
                <w:noProof/>
              </w:rPr>
              <w:t>8.2.4</w:t>
            </w:r>
            <w:r w:rsidR="00BF277A">
              <w:rPr>
                <w:rFonts w:eastAsiaTheme="minorEastAsia" w:cstheme="minorBidi"/>
                <w:noProof/>
                <w:kern w:val="2"/>
                <w:sz w:val="24"/>
                <w:szCs w:val="24"/>
                <w:lang w:eastAsia="de-DE"/>
                <w14:ligatures w14:val="standardContextual"/>
              </w:rPr>
              <w:tab/>
            </w:r>
            <w:r w:rsidR="00BF277A" w:rsidRPr="00985FE7">
              <w:rPr>
                <w:rStyle w:val="Hyperlink"/>
                <w:noProof/>
              </w:rPr>
              <w:t>Interesse muss aktuell vorliegen</w:t>
            </w:r>
            <w:r w:rsidR="00BF277A">
              <w:rPr>
                <w:noProof/>
                <w:webHidden/>
              </w:rPr>
              <w:tab/>
            </w:r>
            <w:r w:rsidR="00BF277A">
              <w:rPr>
                <w:noProof/>
                <w:webHidden/>
              </w:rPr>
              <w:fldChar w:fldCharType="begin"/>
            </w:r>
            <w:r w:rsidR="00BF277A">
              <w:rPr>
                <w:noProof/>
                <w:webHidden/>
              </w:rPr>
              <w:instrText xml:space="preserve"> PAGEREF _Toc169934861 \h </w:instrText>
            </w:r>
            <w:r w:rsidR="00BF277A">
              <w:rPr>
                <w:noProof/>
                <w:webHidden/>
              </w:rPr>
            </w:r>
            <w:r w:rsidR="00BF277A">
              <w:rPr>
                <w:noProof/>
                <w:webHidden/>
              </w:rPr>
              <w:fldChar w:fldCharType="separate"/>
            </w:r>
            <w:r w:rsidR="00F43608">
              <w:rPr>
                <w:noProof/>
                <w:webHidden/>
              </w:rPr>
              <w:t>57</w:t>
            </w:r>
            <w:r w:rsidR="00BF277A">
              <w:rPr>
                <w:noProof/>
                <w:webHidden/>
              </w:rPr>
              <w:fldChar w:fldCharType="end"/>
            </w:r>
          </w:hyperlink>
        </w:p>
        <w:p w14:paraId="09B62661" w14:textId="12B56D8B" w:rsidR="00BF277A" w:rsidRDefault="00000000">
          <w:pPr>
            <w:pStyle w:val="Verzeichnis3"/>
            <w:rPr>
              <w:rFonts w:eastAsiaTheme="minorEastAsia" w:cstheme="minorBidi"/>
              <w:noProof/>
              <w:kern w:val="2"/>
              <w:sz w:val="24"/>
              <w:szCs w:val="24"/>
              <w:lang w:eastAsia="de-DE"/>
              <w14:ligatures w14:val="standardContextual"/>
            </w:rPr>
          </w:pPr>
          <w:hyperlink w:anchor="_Toc169934862" w:history="1">
            <w:r w:rsidR="00BF277A" w:rsidRPr="00985FE7">
              <w:rPr>
                <w:rStyle w:val="Hyperlink"/>
                <w:noProof/>
              </w:rPr>
              <w:t>8.2.5</w:t>
            </w:r>
            <w:r w:rsidR="00BF277A">
              <w:rPr>
                <w:rFonts w:eastAsiaTheme="minorEastAsia" w:cstheme="minorBidi"/>
                <w:noProof/>
                <w:kern w:val="2"/>
                <w:sz w:val="24"/>
                <w:szCs w:val="24"/>
                <w:lang w:eastAsia="de-DE"/>
                <w14:ligatures w14:val="standardContextual"/>
              </w:rPr>
              <w:tab/>
            </w:r>
            <w:r w:rsidR="00BF277A" w:rsidRPr="00985FE7">
              <w:rPr>
                <w:rStyle w:val="Hyperlink"/>
                <w:noProof/>
              </w:rPr>
              <w:t>Informationspflichten beachten</w:t>
            </w:r>
            <w:r w:rsidR="00BF277A">
              <w:rPr>
                <w:noProof/>
                <w:webHidden/>
              </w:rPr>
              <w:tab/>
            </w:r>
            <w:r w:rsidR="00BF277A">
              <w:rPr>
                <w:noProof/>
                <w:webHidden/>
              </w:rPr>
              <w:fldChar w:fldCharType="begin"/>
            </w:r>
            <w:r w:rsidR="00BF277A">
              <w:rPr>
                <w:noProof/>
                <w:webHidden/>
              </w:rPr>
              <w:instrText xml:space="preserve"> PAGEREF _Toc169934862 \h </w:instrText>
            </w:r>
            <w:r w:rsidR="00BF277A">
              <w:rPr>
                <w:noProof/>
                <w:webHidden/>
              </w:rPr>
            </w:r>
            <w:r w:rsidR="00BF277A">
              <w:rPr>
                <w:noProof/>
                <w:webHidden/>
              </w:rPr>
              <w:fldChar w:fldCharType="separate"/>
            </w:r>
            <w:r w:rsidR="00F43608">
              <w:rPr>
                <w:noProof/>
                <w:webHidden/>
              </w:rPr>
              <w:t>57</w:t>
            </w:r>
            <w:r w:rsidR="00BF277A">
              <w:rPr>
                <w:noProof/>
                <w:webHidden/>
              </w:rPr>
              <w:fldChar w:fldCharType="end"/>
            </w:r>
          </w:hyperlink>
        </w:p>
        <w:p w14:paraId="2BEB0EC3" w14:textId="665B565C" w:rsidR="00BF277A" w:rsidRDefault="00000000">
          <w:pPr>
            <w:pStyle w:val="Verzeichnis1"/>
            <w:tabs>
              <w:tab w:val="left" w:pos="440"/>
            </w:tabs>
            <w:rPr>
              <w:rFonts w:eastAsiaTheme="minorEastAsia" w:cstheme="minorBidi"/>
              <w:b w:val="0"/>
              <w:bCs w:val="0"/>
              <w:iCs w:val="0"/>
              <w:noProof/>
              <w:kern w:val="2"/>
              <w:lang w:eastAsia="de-DE"/>
              <w14:ligatures w14:val="standardContextual"/>
            </w:rPr>
          </w:pPr>
          <w:hyperlink w:anchor="_Toc169934863" w:history="1">
            <w:r w:rsidR="00BF277A" w:rsidRPr="00985FE7">
              <w:rPr>
                <w:rStyle w:val="Hyperlink"/>
                <w:noProof/>
              </w:rPr>
              <w:t>9</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Beispiele</w:t>
            </w:r>
            <w:r w:rsidR="00BF277A">
              <w:rPr>
                <w:noProof/>
                <w:webHidden/>
              </w:rPr>
              <w:tab/>
            </w:r>
            <w:r w:rsidR="00BF277A">
              <w:rPr>
                <w:noProof/>
                <w:webHidden/>
              </w:rPr>
              <w:fldChar w:fldCharType="begin"/>
            </w:r>
            <w:r w:rsidR="00BF277A">
              <w:rPr>
                <w:noProof/>
                <w:webHidden/>
              </w:rPr>
              <w:instrText xml:space="preserve"> PAGEREF _Toc169934863 \h </w:instrText>
            </w:r>
            <w:r w:rsidR="00BF277A">
              <w:rPr>
                <w:noProof/>
                <w:webHidden/>
              </w:rPr>
            </w:r>
            <w:r w:rsidR="00BF277A">
              <w:rPr>
                <w:noProof/>
                <w:webHidden/>
              </w:rPr>
              <w:fldChar w:fldCharType="separate"/>
            </w:r>
            <w:r w:rsidR="00F43608">
              <w:rPr>
                <w:noProof/>
                <w:webHidden/>
              </w:rPr>
              <w:t>58</w:t>
            </w:r>
            <w:r w:rsidR="00BF277A">
              <w:rPr>
                <w:noProof/>
                <w:webHidden/>
              </w:rPr>
              <w:fldChar w:fldCharType="end"/>
            </w:r>
          </w:hyperlink>
        </w:p>
        <w:p w14:paraId="73A2192A" w14:textId="5F63EAEA"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64" w:history="1">
            <w:r w:rsidR="00BF277A" w:rsidRPr="00985FE7">
              <w:rPr>
                <w:rStyle w:val="Hyperlink"/>
                <w:noProof/>
              </w:rPr>
              <w:t>9.1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Radiologische Forschung: Daten aus dem niedergelassenen Bereich</w:t>
            </w:r>
            <w:r w:rsidR="00BF277A">
              <w:rPr>
                <w:noProof/>
                <w:webHidden/>
              </w:rPr>
              <w:tab/>
            </w:r>
            <w:r w:rsidR="00BF277A">
              <w:rPr>
                <w:noProof/>
                <w:webHidden/>
              </w:rPr>
              <w:fldChar w:fldCharType="begin"/>
            </w:r>
            <w:r w:rsidR="00BF277A">
              <w:rPr>
                <w:noProof/>
                <w:webHidden/>
              </w:rPr>
              <w:instrText xml:space="preserve"> PAGEREF _Toc169934864 \h </w:instrText>
            </w:r>
            <w:r w:rsidR="00BF277A">
              <w:rPr>
                <w:noProof/>
                <w:webHidden/>
              </w:rPr>
            </w:r>
            <w:r w:rsidR="00BF277A">
              <w:rPr>
                <w:noProof/>
                <w:webHidden/>
              </w:rPr>
              <w:fldChar w:fldCharType="separate"/>
            </w:r>
            <w:r w:rsidR="00F43608">
              <w:rPr>
                <w:noProof/>
                <w:webHidden/>
              </w:rPr>
              <w:t>58</w:t>
            </w:r>
            <w:r w:rsidR="00BF277A">
              <w:rPr>
                <w:noProof/>
                <w:webHidden/>
              </w:rPr>
              <w:fldChar w:fldCharType="end"/>
            </w:r>
          </w:hyperlink>
        </w:p>
        <w:p w14:paraId="2CAC67A8" w14:textId="59212002" w:rsidR="00BF277A" w:rsidRDefault="00000000">
          <w:pPr>
            <w:pStyle w:val="Verzeichnis3"/>
            <w:rPr>
              <w:rFonts w:eastAsiaTheme="minorEastAsia" w:cstheme="minorBidi"/>
              <w:noProof/>
              <w:kern w:val="2"/>
              <w:sz w:val="24"/>
              <w:szCs w:val="24"/>
              <w:lang w:eastAsia="de-DE"/>
              <w14:ligatures w14:val="standardContextual"/>
            </w:rPr>
          </w:pPr>
          <w:hyperlink w:anchor="_Toc169934865" w:history="1">
            <w:r w:rsidR="00BF277A" w:rsidRPr="00985FE7">
              <w:rPr>
                <w:rStyle w:val="Hyperlink"/>
                <w:noProof/>
              </w:rPr>
              <w:t>9.1.1</w:t>
            </w:r>
            <w:r w:rsidR="00BF277A">
              <w:rPr>
                <w:rFonts w:eastAsiaTheme="minorEastAsia" w:cstheme="minorBidi"/>
                <w:noProof/>
                <w:kern w:val="2"/>
                <w:sz w:val="24"/>
                <w:szCs w:val="24"/>
                <w:lang w:eastAsia="de-DE"/>
                <w14:ligatures w14:val="standardContextual"/>
              </w:rPr>
              <w:tab/>
            </w:r>
            <w:r w:rsidR="00BF277A" w:rsidRPr="00985FE7">
              <w:rPr>
                <w:rStyle w:val="Hyperlink"/>
                <w:noProof/>
              </w:rPr>
              <w:t>Beschreibung des Vorhabens</w:t>
            </w:r>
            <w:r w:rsidR="00BF277A">
              <w:rPr>
                <w:noProof/>
                <w:webHidden/>
              </w:rPr>
              <w:tab/>
            </w:r>
            <w:r w:rsidR="00BF277A">
              <w:rPr>
                <w:noProof/>
                <w:webHidden/>
              </w:rPr>
              <w:fldChar w:fldCharType="begin"/>
            </w:r>
            <w:r w:rsidR="00BF277A">
              <w:rPr>
                <w:noProof/>
                <w:webHidden/>
              </w:rPr>
              <w:instrText xml:space="preserve"> PAGEREF _Toc169934865 \h </w:instrText>
            </w:r>
            <w:r w:rsidR="00BF277A">
              <w:rPr>
                <w:noProof/>
                <w:webHidden/>
              </w:rPr>
            </w:r>
            <w:r w:rsidR="00BF277A">
              <w:rPr>
                <w:noProof/>
                <w:webHidden/>
              </w:rPr>
              <w:fldChar w:fldCharType="separate"/>
            </w:r>
            <w:r w:rsidR="00F43608">
              <w:rPr>
                <w:noProof/>
                <w:webHidden/>
              </w:rPr>
              <w:t>58</w:t>
            </w:r>
            <w:r w:rsidR="00BF277A">
              <w:rPr>
                <w:noProof/>
                <w:webHidden/>
              </w:rPr>
              <w:fldChar w:fldCharType="end"/>
            </w:r>
          </w:hyperlink>
        </w:p>
        <w:p w14:paraId="6D115432" w14:textId="35CA30D6" w:rsidR="00BF277A" w:rsidRDefault="00000000">
          <w:pPr>
            <w:pStyle w:val="Verzeichnis3"/>
            <w:rPr>
              <w:rFonts w:eastAsiaTheme="minorEastAsia" w:cstheme="minorBidi"/>
              <w:noProof/>
              <w:kern w:val="2"/>
              <w:sz w:val="24"/>
              <w:szCs w:val="24"/>
              <w:lang w:eastAsia="de-DE"/>
              <w14:ligatures w14:val="standardContextual"/>
            </w:rPr>
          </w:pPr>
          <w:hyperlink w:anchor="_Toc169934866" w:history="1">
            <w:r w:rsidR="00BF277A" w:rsidRPr="00985FE7">
              <w:rPr>
                <w:rStyle w:val="Hyperlink"/>
                <w:noProof/>
              </w:rPr>
              <w:t>9.1.2</w:t>
            </w:r>
            <w:r w:rsidR="00BF277A">
              <w:rPr>
                <w:rFonts w:eastAsiaTheme="minorEastAsia" w:cstheme="minorBidi"/>
                <w:noProof/>
                <w:kern w:val="2"/>
                <w:sz w:val="24"/>
                <w:szCs w:val="24"/>
                <w:lang w:eastAsia="de-DE"/>
                <w14:ligatures w14:val="standardContextual"/>
              </w:rPr>
              <w:tab/>
            </w:r>
            <w:r w:rsidR="00BF277A" w:rsidRPr="00985FE7">
              <w:rPr>
                <w:rStyle w:val="Hyperlink"/>
                <w:noProof/>
              </w:rPr>
              <w:t>Berechtigtes Interesse</w:t>
            </w:r>
            <w:r w:rsidR="00BF277A">
              <w:rPr>
                <w:noProof/>
                <w:webHidden/>
              </w:rPr>
              <w:tab/>
            </w:r>
            <w:r w:rsidR="00BF277A">
              <w:rPr>
                <w:noProof/>
                <w:webHidden/>
              </w:rPr>
              <w:fldChar w:fldCharType="begin"/>
            </w:r>
            <w:r w:rsidR="00BF277A">
              <w:rPr>
                <w:noProof/>
                <w:webHidden/>
              </w:rPr>
              <w:instrText xml:space="preserve"> PAGEREF _Toc169934866 \h </w:instrText>
            </w:r>
            <w:r w:rsidR="00BF277A">
              <w:rPr>
                <w:noProof/>
                <w:webHidden/>
              </w:rPr>
            </w:r>
            <w:r w:rsidR="00BF277A">
              <w:rPr>
                <w:noProof/>
                <w:webHidden/>
              </w:rPr>
              <w:fldChar w:fldCharType="separate"/>
            </w:r>
            <w:r w:rsidR="00F43608">
              <w:rPr>
                <w:noProof/>
                <w:webHidden/>
              </w:rPr>
              <w:t>58</w:t>
            </w:r>
            <w:r w:rsidR="00BF277A">
              <w:rPr>
                <w:noProof/>
                <w:webHidden/>
              </w:rPr>
              <w:fldChar w:fldCharType="end"/>
            </w:r>
          </w:hyperlink>
        </w:p>
        <w:p w14:paraId="4CD7FCE5" w14:textId="73AEF584" w:rsidR="00BF277A" w:rsidRDefault="00000000">
          <w:pPr>
            <w:pStyle w:val="Verzeichnis3"/>
            <w:rPr>
              <w:rFonts w:eastAsiaTheme="minorEastAsia" w:cstheme="minorBidi"/>
              <w:noProof/>
              <w:kern w:val="2"/>
              <w:sz w:val="24"/>
              <w:szCs w:val="24"/>
              <w:lang w:eastAsia="de-DE"/>
              <w14:ligatures w14:val="standardContextual"/>
            </w:rPr>
          </w:pPr>
          <w:hyperlink w:anchor="_Toc169934867" w:history="1">
            <w:r w:rsidR="00BF277A" w:rsidRPr="00985FE7">
              <w:rPr>
                <w:rStyle w:val="Hyperlink"/>
                <w:noProof/>
              </w:rPr>
              <w:t>9.1.3</w:t>
            </w:r>
            <w:r w:rsidR="00BF277A">
              <w:rPr>
                <w:rFonts w:eastAsiaTheme="minorEastAsia" w:cstheme="minorBidi"/>
                <w:noProof/>
                <w:kern w:val="2"/>
                <w:sz w:val="24"/>
                <w:szCs w:val="24"/>
                <w:lang w:eastAsia="de-DE"/>
                <w14:ligatures w14:val="standardContextual"/>
              </w:rPr>
              <w:tab/>
            </w:r>
            <w:r w:rsidR="00BF277A" w:rsidRPr="00985FE7">
              <w:rPr>
                <w:rStyle w:val="Hyperlink"/>
                <w:noProof/>
              </w:rPr>
              <w:t>Erforderlichkeit</w:t>
            </w:r>
            <w:r w:rsidR="00BF277A">
              <w:rPr>
                <w:noProof/>
                <w:webHidden/>
              </w:rPr>
              <w:tab/>
            </w:r>
            <w:r w:rsidR="00BF277A">
              <w:rPr>
                <w:noProof/>
                <w:webHidden/>
              </w:rPr>
              <w:fldChar w:fldCharType="begin"/>
            </w:r>
            <w:r w:rsidR="00BF277A">
              <w:rPr>
                <w:noProof/>
                <w:webHidden/>
              </w:rPr>
              <w:instrText xml:space="preserve"> PAGEREF _Toc169934867 \h </w:instrText>
            </w:r>
            <w:r w:rsidR="00BF277A">
              <w:rPr>
                <w:noProof/>
                <w:webHidden/>
              </w:rPr>
            </w:r>
            <w:r w:rsidR="00BF277A">
              <w:rPr>
                <w:noProof/>
                <w:webHidden/>
              </w:rPr>
              <w:fldChar w:fldCharType="separate"/>
            </w:r>
            <w:r w:rsidR="00F43608">
              <w:rPr>
                <w:noProof/>
                <w:webHidden/>
              </w:rPr>
              <w:t>60</w:t>
            </w:r>
            <w:r w:rsidR="00BF277A">
              <w:rPr>
                <w:noProof/>
                <w:webHidden/>
              </w:rPr>
              <w:fldChar w:fldCharType="end"/>
            </w:r>
          </w:hyperlink>
        </w:p>
        <w:p w14:paraId="150DCB6A" w14:textId="1EDF2A36" w:rsidR="00BF277A" w:rsidRDefault="00000000">
          <w:pPr>
            <w:pStyle w:val="Verzeichnis3"/>
            <w:rPr>
              <w:rFonts w:eastAsiaTheme="minorEastAsia" w:cstheme="minorBidi"/>
              <w:noProof/>
              <w:kern w:val="2"/>
              <w:sz w:val="24"/>
              <w:szCs w:val="24"/>
              <w:lang w:eastAsia="de-DE"/>
              <w14:ligatures w14:val="standardContextual"/>
            </w:rPr>
          </w:pPr>
          <w:hyperlink w:anchor="_Toc169934868" w:history="1">
            <w:r w:rsidR="00BF277A" w:rsidRPr="00985FE7">
              <w:rPr>
                <w:rStyle w:val="Hyperlink"/>
                <w:noProof/>
              </w:rPr>
              <w:t>9.1.4</w:t>
            </w:r>
            <w:r w:rsidR="00BF277A">
              <w:rPr>
                <w:rFonts w:eastAsiaTheme="minorEastAsia" w:cstheme="minorBidi"/>
                <w:noProof/>
                <w:kern w:val="2"/>
                <w:sz w:val="24"/>
                <w:szCs w:val="24"/>
                <w:lang w:eastAsia="de-DE"/>
                <w14:ligatures w14:val="standardContextual"/>
              </w:rPr>
              <w:tab/>
            </w:r>
            <w:r w:rsidR="00BF277A" w:rsidRPr="00985FE7">
              <w:rPr>
                <w:rStyle w:val="Hyperlink"/>
                <w:noProof/>
              </w:rPr>
              <w:t>Interessenabw</w:t>
            </w:r>
            <w:r w:rsidR="00BF277A" w:rsidRPr="00985FE7">
              <w:rPr>
                <w:rStyle w:val="Hyperlink"/>
                <w:rFonts w:hint="eastAsia"/>
                <w:noProof/>
              </w:rPr>
              <w:t>ä</w:t>
            </w:r>
            <w:r w:rsidR="00BF277A" w:rsidRPr="00985FE7">
              <w:rPr>
                <w:rStyle w:val="Hyperlink"/>
                <w:noProof/>
              </w:rPr>
              <w:t>gung</w:t>
            </w:r>
            <w:r w:rsidR="00BF277A">
              <w:rPr>
                <w:noProof/>
                <w:webHidden/>
              </w:rPr>
              <w:tab/>
            </w:r>
            <w:r w:rsidR="00BF277A">
              <w:rPr>
                <w:noProof/>
                <w:webHidden/>
              </w:rPr>
              <w:fldChar w:fldCharType="begin"/>
            </w:r>
            <w:r w:rsidR="00BF277A">
              <w:rPr>
                <w:noProof/>
                <w:webHidden/>
              </w:rPr>
              <w:instrText xml:space="preserve"> PAGEREF _Toc169934868 \h </w:instrText>
            </w:r>
            <w:r w:rsidR="00BF277A">
              <w:rPr>
                <w:noProof/>
                <w:webHidden/>
              </w:rPr>
            </w:r>
            <w:r w:rsidR="00BF277A">
              <w:rPr>
                <w:noProof/>
                <w:webHidden/>
              </w:rPr>
              <w:fldChar w:fldCharType="separate"/>
            </w:r>
            <w:r w:rsidR="00F43608">
              <w:rPr>
                <w:noProof/>
                <w:webHidden/>
              </w:rPr>
              <w:t>60</w:t>
            </w:r>
            <w:r w:rsidR="00BF277A">
              <w:rPr>
                <w:noProof/>
                <w:webHidden/>
              </w:rPr>
              <w:fldChar w:fldCharType="end"/>
            </w:r>
          </w:hyperlink>
        </w:p>
        <w:p w14:paraId="4D415C67" w14:textId="6344921B" w:rsidR="00BF277A" w:rsidRDefault="00000000">
          <w:pPr>
            <w:pStyle w:val="Verzeichnis4"/>
            <w:rPr>
              <w:rFonts w:eastAsiaTheme="minorEastAsia" w:cstheme="minorBidi"/>
              <w:noProof/>
              <w:kern w:val="2"/>
              <w:sz w:val="24"/>
              <w:szCs w:val="24"/>
              <w:lang w:eastAsia="de-DE"/>
              <w14:ligatures w14:val="standardContextual"/>
            </w:rPr>
          </w:pPr>
          <w:hyperlink w:anchor="_Toc169934869" w:history="1">
            <w:r w:rsidR="00BF277A" w:rsidRPr="00985FE7">
              <w:rPr>
                <w:rStyle w:val="Hyperlink"/>
                <w:noProof/>
              </w:rPr>
              <w:t>9.1.4.1</w:t>
            </w:r>
            <w:r w:rsidR="00BF277A">
              <w:rPr>
                <w:rFonts w:eastAsiaTheme="minorEastAsia" w:cstheme="minorBidi"/>
                <w:noProof/>
                <w:kern w:val="2"/>
                <w:sz w:val="24"/>
                <w:szCs w:val="24"/>
                <w:lang w:eastAsia="de-DE"/>
                <w14:ligatures w14:val="standardContextual"/>
              </w:rPr>
              <w:tab/>
            </w:r>
            <w:r w:rsidR="00BF277A" w:rsidRPr="00985FE7">
              <w:rPr>
                <w:rStyle w:val="Hyperlink"/>
                <w:noProof/>
              </w:rPr>
              <w:t>Interessiert das Vorhaben die Allgemeinheit und n</w:t>
            </w:r>
            <w:r w:rsidR="00BF277A" w:rsidRPr="00985FE7">
              <w:rPr>
                <w:rStyle w:val="Hyperlink"/>
                <w:rFonts w:hint="eastAsia"/>
                <w:noProof/>
              </w:rPr>
              <w:t>ü</w:t>
            </w:r>
            <w:r w:rsidR="00BF277A" w:rsidRPr="00985FE7">
              <w:rPr>
                <w:rStyle w:val="Hyperlink"/>
                <w:noProof/>
              </w:rPr>
              <w:t xml:space="preserve">tzt das Forschungsergebnis der </w:t>
            </w:r>
            <w:r w:rsidR="002634BD">
              <w:rPr>
                <w:rStyle w:val="Hyperlink"/>
                <w:noProof/>
              </w:rPr>
              <w:br/>
            </w:r>
            <w:r w:rsidR="002634BD" w:rsidRPr="002634BD">
              <w:rPr>
                <w:rStyle w:val="Hyperlink"/>
                <w:noProof/>
              </w:rPr>
              <w:tab/>
            </w:r>
            <w:r w:rsidR="00BF277A" w:rsidRPr="00985FE7">
              <w:rPr>
                <w:rStyle w:val="Hyperlink"/>
                <w:noProof/>
              </w:rPr>
              <w:t>Allgemeinheit?</w:t>
            </w:r>
            <w:r w:rsidR="00BF277A">
              <w:rPr>
                <w:noProof/>
                <w:webHidden/>
              </w:rPr>
              <w:tab/>
            </w:r>
            <w:r w:rsidR="00BF277A">
              <w:rPr>
                <w:noProof/>
                <w:webHidden/>
              </w:rPr>
              <w:fldChar w:fldCharType="begin"/>
            </w:r>
            <w:r w:rsidR="00BF277A">
              <w:rPr>
                <w:noProof/>
                <w:webHidden/>
              </w:rPr>
              <w:instrText xml:space="preserve"> PAGEREF _Toc169934869 \h </w:instrText>
            </w:r>
            <w:r w:rsidR="00BF277A">
              <w:rPr>
                <w:noProof/>
                <w:webHidden/>
              </w:rPr>
            </w:r>
            <w:r w:rsidR="00BF277A">
              <w:rPr>
                <w:noProof/>
                <w:webHidden/>
              </w:rPr>
              <w:fldChar w:fldCharType="separate"/>
            </w:r>
            <w:r w:rsidR="00F43608">
              <w:rPr>
                <w:noProof/>
                <w:webHidden/>
              </w:rPr>
              <w:t>60</w:t>
            </w:r>
            <w:r w:rsidR="00BF277A">
              <w:rPr>
                <w:noProof/>
                <w:webHidden/>
              </w:rPr>
              <w:fldChar w:fldCharType="end"/>
            </w:r>
          </w:hyperlink>
        </w:p>
        <w:p w14:paraId="5F82AC6A" w14:textId="06FFA5F5" w:rsidR="00BF277A" w:rsidRDefault="00000000">
          <w:pPr>
            <w:pStyle w:val="Verzeichnis4"/>
            <w:rPr>
              <w:rFonts w:eastAsiaTheme="minorEastAsia" w:cstheme="minorBidi"/>
              <w:noProof/>
              <w:kern w:val="2"/>
              <w:sz w:val="24"/>
              <w:szCs w:val="24"/>
              <w:lang w:eastAsia="de-DE"/>
              <w14:ligatures w14:val="standardContextual"/>
            </w:rPr>
          </w:pPr>
          <w:hyperlink w:anchor="_Toc169934870" w:history="1">
            <w:r w:rsidR="00BF277A" w:rsidRPr="00985FE7">
              <w:rPr>
                <w:rStyle w:val="Hyperlink"/>
                <w:noProof/>
              </w:rPr>
              <w:t>9.1.4.2</w:t>
            </w:r>
            <w:r w:rsidR="00BF277A">
              <w:rPr>
                <w:rFonts w:eastAsiaTheme="minorEastAsia" w:cstheme="minorBidi"/>
                <w:noProof/>
                <w:kern w:val="2"/>
                <w:sz w:val="24"/>
                <w:szCs w:val="24"/>
                <w:lang w:eastAsia="de-DE"/>
                <w14:ligatures w14:val="standardContextual"/>
              </w:rPr>
              <w:tab/>
            </w:r>
            <w:r w:rsidR="00BF277A" w:rsidRPr="00985FE7">
              <w:rPr>
                <w:rStyle w:val="Hyperlink"/>
                <w:noProof/>
              </w:rPr>
              <w:t>Schutz der betroffenen Personen</w:t>
            </w:r>
            <w:r w:rsidR="00BF277A">
              <w:rPr>
                <w:noProof/>
                <w:webHidden/>
              </w:rPr>
              <w:tab/>
            </w:r>
            <w:r w:rsidR="00BF277A">
              <w:rPr>
                <w:noProof/>
                <w:webHidden/>
              </w:rPr>
              <w:fldChar w:fldCharType="begin"/>
            </w:r>
            <w:r w:rsidR="00BF277A">
              <w:rPr>
                <w:noProof/>
                <w:webHidden/>
              </w:rPr>
              <w:instrText xml:space="preserve"> PAGEREF _Toc169934870 \h </w:instrText>
            </w:r>
            <w:r w:rsidR="00BF277A">
              <w:rPr>
                <w:noProof/>
                <w:webHidden/>
              </w:rPr>
            </w:r>
            <w:r w:rsidR="00BF277A">
              <w:rPr>
                <w:noProof/>
                <w:webHidden/>
              </w:rPr>
              <w:fldChar w:fldCharType="separate"/>
            </w:r>
            <w:r w:rsidR="00F43608">
              <w:rPr>
                <w:noProof/>
                <w:webHidden/>
              </w:rPr>
              <w:t>61</w:t>
            </w:r>
            <w:r w:rsidR="00BF277A">
              <w:rPr>
                <w:noProof/>
                <w:webHidden/>
              </w:rPr>
              <w:fldChar w:fldCharType="end"/>
            </w:r>
          </w:hyperlink>
        </w:p>
        <w:p w14:paraId="331D45E9" w14:textId="29A5C05B" w:rsidR="00BF277A" w:rsidRDefault="00000000">
          <w:pPr>
            <w:pStyle w:val="Verzeichnis4"/>
            <w:rPr>
              <w:rFonts w:eastAsiaTheme="minorEastAsia" w:cstheme="minorBidi"/>
              <w:noProof/>
              <w:kern w:val="2"/>
              <w:sz w:val="24"/>
              <w:szCs w:val="24"/>
              <w:lang w:eastAsia="de-DE"/>
              <w14:ligatures w14:val="standardContextual"/>
            </w:rPr>
          </w:pPr>
          <w:hyperlink w:anchor="_Toc169934871" w:history="1">
            <w:r w:rsidR="00BF277A" w:rsidRPr="00985FE7">
              <w:rPr>
                <w:rStyle w:val="Hyperlink"/>
                <w:noProof/>
              </w:rPr>
              <w:t>9.1.4.3</w:t>
            </w:r>
            <w:r w:rsidR="00BF277A">
              <w:rPr>
                <w:rFonts w:eastAsiaTheme="minorEastAsia" w:cstheme="minorBidi"/>
                <w:noProof/>
                <w:kern w:val="2"/>
                <w:sz w:val="24"/>
                <w:szCs w:val="24"/>
                <w:lang w:eastAsia="de-DE"/>
                <w14:ligatures w14:val="standardContextual"/>
              </w:rPr>
              <w:tab/>
            </w:r>
            <w:r w:rsidR="00BF277A" w:rsidRPr="00985FE7">
              <w:rPr>
                <w:rStyle w:val="Hyperlink"/>
                <w:noProof/>
              </w:rPr>
              <w:t>Individualinteresse der betroffenen Personen</w:t>
            </w:r>
            <w:r w:rsidR="00BF277A">
              <w:rPr>
                <w:noProof/>
                <w:webHidden/>
              </w:rPr>
              <w:tab/>
            </w:r>
            <w:r w:rsidR="00BF277A">
              <w:rPr>
                <w:noProof/>
                <w:webHidden/>
              </w:rPr>
              <w:fldChar w:fldCharType="begin"/>
            </w:r>
            <w:r w:rsidR="00BF277A">
              <w:rPr>
                <w:noProof/>
                <w:webHidden/>
              </w:rPr>
              <w:instrText xml:space="preserve"> PAGEREF _Toc169934871 \h </w:instrText>
            </w:r>
            <w:r w:rsidR="00BF277A">
              <w:rPr>
                <w:noProof/>
                <w:webHidden/>
              </w:rPr>
            </w:r>
            <w:r w:rsidR="00BF277A">
              <w:rPr>
                <w:noProof/>
                <w:webHidden/>
              </w:rPr>
              <w:fldChar w:fldCharType="separate"/>
            </w:r>
            <w:r w:rsidR="00F43608">
              <w:rPr>
                <w:noProof/>
                <w:webHidden/>
              </w:rPr>
              <w:t>62</w:t>
            </w:r>
            <w:r w:rsidR="00BF277A">
              <w:rPr>
                <w:noProof/>
                <w:webHidden/>
              </w:rPr>
              <w:fldChar w:fldCharType="end"/>
            </w:r>
          </w:hyperlink>
        </w:p>
        <w:p w14:paraId="050FC89A" w14:textId="31627486" w:rsidR="00BF277A" w:rsidRDefault="00000000">
          <w:pPr>
            <w:pStyle w:val="Verzeichnis4"/>
            <w:rPr>
              <w:rFonts w:eastAsiaTheme="minorEastAsia" w:cstheme="minorBidi"/>
              <w:noProof/>
              <w:kern w:val="2"/>
              <w:sz w:val="24"/>
              <w:szCs w:val="24"/>
              <w:lang w:eastAsia="de-DE"/>
              <w14:ligatures w14:val="standardContextual"/>
            </w:rPr>
          </w:pPr>
          <w:hyperlink w:anchor="_Toc169934872" w:history="1">
            <w:r w:rsidR="00BF277A" w:rsidRPr="00985FE7">
              <w:rPr>
                <w:rStyle w:val="Hyperlink"/>
                <w:noProof/>
              </w:rPr>
              <w:t>9.1.4.4</w:t>
            </w:r>
            <w:r w:rsidR="00BF277A">
              <w:rPr>
                <w:rFonts w:eastAsiaTheme="minorEastAsia" w:cstheme="minorBidi"/>
                <w:noProof/>
                <w:kern w:val="2"/>
                <w:sz w:val="24"/>
                <w:szCs w:val="24"/>
                <w:lang w:eastAsia="de-DE"/>
                <w14:ligatures w14:val="standardContextual"/>
              </w:rPr>
              <w:tab/>
            </w:r>
            <w:r w:rsidR="00BF277A" w:rsidRPr="00985FE7">
              <w:rPr>
                <w:rStyle w:val="Hyperlink"/>
                <w:noProof/>
              </w:rPr>
              <w:t>Ergebnis der Interessenabw</w:t>
            </w:r>
            <w:r w:rsidR="00BF277A" w:rsidRPr="00985FE7">
              <w:rPr>
                <w:rStyle w:val="Hyperlink"/>
                <w:rFonts w:hint="eastAsia"/>
                <w:noProof/>
              </w:rPr>
              <w:t>ä</w:t>
            </w:r>
            <w:r w:rsidR="00BF277A" w:rsidRPr="00985FE7">
              <w:rPr>
                <w:rStyle w:val="Hyperlink"/>
                <w:noProof/>
              </w:rPr>
              <w:t>gung</w:t>
            </w:r>
            <w:r w:rsidR="00BF277A">
              <w:rPr>
                <w:noProof/>
                <w:webHidden/>
              </w:rPr>
              <w:tab/>
            </w:r>
            <w:r w:rsidR="00BF277A">
              <w:rPr>
                <w:noProof/>
                <w:webHidden/>
              </w:rPr>
              <w:fldChar w:fldCharType="begin"/>
            </w:r>
            <w:r w:rsidR="00BF277A">
              <w:rPr>
                <w:noProof/>
                <w:webHidden/>
              </w:rPr>
              <w:instrText xml:space="preserve"> PAGEREF _Toc169934872 \h </w:instrText>
            </w:r>
            <w:r w:rsidR="00BF277A">
              <w:rPr>
                <w:noProof/>
                <w:webHidden/>
              </w:rPr>
            </w:r>
            <w:r w:rsidR="00BF277A">
              <w:rPr>
                <w:noProof/>
                <w:webHidden/>
              </w:rPr>
              <w:fldChar w:fldCharType="separate"/>
            </w:r>
            <w:r w:rsidR="00F43608">
              <w:rPr>
                <w:noProof/>
                <w:webHidden/>
              </w:rPr>
              <w:t>62</w:t>
            </w:r>
            <w:r w:rsidR="00BF277A">
              <w:rPr>
                <w:noProof/>
                <w:webHidden/>
              </w:rPr>
              <w:fldChar w:fldCharType="end"/>
            </w:r>
          </w:hyperlink>
        </w:p>
        <w:p w14:paraId="498F5DF6" w14:textId="5B454B06" w:rsidR="00BF277A" w:rsidRDefault="00000000">
          <w:pPr>
            <w:pStyle w:val="Verzeichnis4"/>
            <w:rPr>
              <w:rFonts w:eastAsiaTheme="minorEastAsia" w:cstheme="minorBidi"/>
              <w:noProof/>
              <w:kern w:val="2"/>
              <w:sz w:val="24"/>
              <w:szCs w:val="24"/>
              <w:lang w:eastAsia="de-DE"/>
              <w14:ligatures w14:val="standardContextual"/>
            </w:rPr>
          </w:pPr>
          <w:hyperlink w:anchor="_Toc169934873" w:history="1">
            <w:r w:rsidR="00BF277A" w:rsidRPr="00985FE7">
              <w:rPr>
                <w:rStyle w:val="Hyperlink"/>
                <w:noProof/>
              </w:rPr>
              <w:t>9.1.4.5</w:t>
            </w:r>
            <w:r w:rsidR="00BF277A">
              <w:rPr>
                <w:rFonts w:eastAsiaTheme="minorEastAsia" w:cstheme="minorBidi"/>
                <w:noProof/>
                <w:kern w:val="2"/>
                <w:sz w:val="24"/>
                <w:szCs w:val="24"/>
                <w:lang w:eastAsia="de-DE"/>
                <w14:ligatures w14:val="standardContextual"/>
              </w:rPr>
              <w:tab/>
            </w:r>
            <w:r w:rsidR="00BF277A" w:rsidRPr="00985FE7">
              <w:rPr>
                <w:rStyle w:val="Hyperlink"/>
                <w:noProof/>
              </w:rPr>
              <w:t>Bewertung</w:t>
            </w:r>
            <w:r w:rsidR="00BF277A">
              <w:rPr>
                <w:noProof/>
                <w:webHidden/>
              </w:rPr>
              <w:tab/>
            </w:r>
            <w:r w:rsidR="00BF277A">
              <w:rPr>
                <w:noProof/>
                <w:webHidden/>
              </w:rPr>
              <w:fldChar w:fldCharType="begin"/>
            </w:r>
            <w:r w:rsidR="00BF277A">
              <w:rPr>
                <w:noProof/>
                <w:webHidden/>
              </w:rPr>
              <w:instrText xml:space="preserve"> PAGEREF _Toc169934873 \h </w:instrText>
            </w:r>
            <w:r w:rsidR="00BF277A">
              <w:rPr>
                <w:noProof/>
                <w:webHidden/>
              </w:rPr>
            </w:r>
            <w:r w:rsidR="00BF277A">
              <w:rPr>
                <w:noProof/>
                <w:webHidden/>
              </w:rPr>
              <w:fldChar w:fldCharType="separate"/>
            </w:r>
            <w:r w:rsidR="00F43608">
              <w:rPr>
                <w:noProof/>
                <w:webHidden/>
              </w:rPr>
              <w:t>62</w:t>
            </w:r>
            <w:r w:rsidR="00BF277A">
              <w:rPr>
                <w:noProof/>
                <w:webHidden/>
              </w:rPr>
              <w:fldChar w:fldCharType="end"/>
            </w:r>
          </w:hyperlink>
        </w:p>
        <w:p w14:paraId="1C14920B" w14:textId="3F72FE93"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74" w:history="1">
            <w:r w:rsidR="00BF277A" w:rsidRPr="00985FE7">
              <w:rPr>
                <w:rStyle w:val="Hyperlink"/>
                <w:noProof/>
              </w:rPr>
              <w:t>9.2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Retrospektives Forschungsvorhaben eines Krankenhauses in Schleswig-Holstein</w:t>
            </w:r>
            <w:r w:rsidR="00BF277A">
              <w:rPr>
                <w:noProof/>
                <w:webHidden/>
              </w:rPr>
              <w:tab/>
            </w:r>
            <w:r w:rsidR="00BF277A">
              <w:rPr>
                <w:noProof/>
                <w:webHidden/>
              </w:rPr>
              <w:fldChar w:fldCharType="begin"/>
            </w:r>
            <w:r w:rsidR="00BF277A">
              <w:rPr>
                <w:noProof/>
                <w:webHidden/>
              </w:rPr>
              <w:instrText xml:space="preserve"> PAGEREF _Toc169934874 \h </w:instrText>
            </w:r>
            <w:r w:rsidR="00BF277A">
              <w:rPr>
                <w:noProof/>
                <w:webHidden/>
              </w:rPr>
            </w:r>
            <w:r w:rsidR="00BF277A">
              <w:rPr>
                <w:noProof/>
                <w:webHidden/>
              </w:rPr>
              <w:fldChar w:fldCharType="separate"/>
            </w:r>
            <w:r w:rsidR="00F43608">
              <w:rPr>
                <w:noProof/>
                <w:webHidden/>
              </w:rPr>
              <w:t>63</w:t>
            </w:r>
            <w:r w:rsidR="00BF277A">
              <w:rPr>
                <w:noProof/>
                <w:webHidden/>
              </w:rPr>
              <w:fldChar w:fldCharType="end"/>
            </w:r>
          </w:hyperlink>
        </w:p>
        <w:p w14:paraId="5C336425" w14:textId="5F13AEE1" w:rsidR="00BF277A" w:rsidRDefault="00000000">
          <w:pPr>
            <w:pStyle w:val="Verzeichnis1"/>
            <w:tabs>
              <w:tab w:val="left" w:pos="660"/>
            </w:tabs>
            <w:rPr>
              <w:rFonts w:eastAsiaTheme="minorEastAsia" w:cstheme="minorBidi"/>
              <w:b w:val="0"/>
              <w:bCs w:val="0"/>
              <w:iCs w:val="0"/>
              <w:noProof/>
              <w:kern w:val="2"/>
              <w:lang w:eastAsia="de-DE"/>
              <w14:ligatures w14:val="standardContextual"/>
            </w:rPr>
          </w:pPr>
          <w:hyperlink w:anchor="_Toc169934875" w:history="1">
            <w:r w:rsidR="00BF277A" w:rsidRPr="00985FE7">
              <w:rPr>
                <w:rStyle w:val="Hyperlink"/>
                <w:noProof/>
              </w:rPr>
              <w:t>10</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Abk</w:t>
            </w:r>
            <w:r w:rsidR="00BF277A" w:rsidRPr="00985FE7">
              <w:rPr>
                <w:rStyle w:val="Hyperlink"/>
                <w:rFonts w:hint="eastAsia"/>
                <w:noProof/>
              </w:rPr>
              <w:t>ü</w:t>
            </w:r>
            <w:r w:rsidR="00BF277A" w:rsidRPr="00985FE7">
              <w:rPr>
                <w:rStyle w:val="Hyperlink"/>
                <w:noProof/>
              </w:rPr>
              <w:t>rzungen</w:t>
            </w:r>
            <w:r w:rsidR="00BF277A">
              <w:rPr>
                <w:noProof/>
                <w:webHidden/>
              </w:rPr>
              <w:tab/>
            </w:r>
            <w:r w:rsidR="00BF277A">
              <w:rPr>
                <w:noProof/>
                <w:webHidden/>
              </w:rPr>
              <w:fldChar w:fldCharType="begin"/>
            </w:r>
            <w:r w:rsidR="00BF277A">
              <w:rPr>
                <w:noProof/>
                <w:webHidden/>
              </w:rPr>
              <w:instrText xml:space="preserve"> PAGEREF _Toc169934875 \h </w:instrText>
            </w:r>
            <w:r w:rsidR="00BF277A">
              <w:rPr>
                <w:noProof/>
                <w:webHidden/>
              </w:rPr>
            </w:r>
            <w:r w:rsidR="00BF277A">
              <w:rPr>
                <w:noProof/>
                <w:webHidden/>
              </w:rPr>
              <w:fldChar w:fldCharType="separate"/>
            </w:r>
            <w:r w:rsidR="00F43608">
              <w:rPr>
                <w:noProof/>
                <w:webHidden/>
              </w:rPr>
              <w:t>65</w:t>
            </w:r>
            <w:r w:rsidR="00BF277A">
              <w:rPr>
                <w:noProof/>
                <w:webHidden/>
              </w:rPr>
              <w:fldChar w:fldCharType="end"/>
            </w:r>
          </w:hyperlink>
        </w:p>
        <w:p w14:paraId="3A95C977" w14:textId="690C55EE" w:rsidR="00BF277A" w:rsidRDefault="00000000">
          <w:pPr>
            <w:pStyle w:val="Verzeichnis1"/>
            <w:tabs>
              <w:tab w:val="left" w:pos="660"/>
            </w:tabs>
            <w:rPr>
              <w:rFonts w:eastAsiaTheme="minorEastAsia" w:cstheme="minorBidi"/>
              <w:b w:val="0"/>
              <w:bCs w:val="0"/>
              <w:iCs w:val="0"/>
              <w:noProof/>
              <w:kern w:val="2"/>
              <w:lang w:eastAsia="de-DE"/>
              <w14:ligatures w14:val="standardContextual"/>
            </w:rPr>
          </w:pPr>
          <w:hyperlink w:anchor="_Toc169934876" w:history="1">
            <w:r w:rsidR="00BF277A" w:rsidRPr="00985FE7">
              <w:rPr>
                <w:rStyle w:val="Hyperlink"/>
                <w:noProof/>
              </w:rPr>
              <w:t>11</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Literatur</w:t>
            </w:r>
            <w:r w:rsidR="00BF277A">
              <w:rPr>
                <w:noProof/>
                <w:webHidden/>
              </w:rPr>
              <w:tab/>
            </w:r>
            <w:r w:rsidR="00BF277A">
              <w:rPr>
                <w:noProof/>
                <w:webHidden/>
              </w:rPr>
              <w:fldChar w:fldCharType="begin"/>
            </w:r>
            <w:r w:rsidR="00BF277A">
              <w:rPr>
                <w:noProof/>
                <w:webHidden/>
              </w:rPr>
              <w:instrText xml:space="preserve"> PAGEREF _Toc169934876 \h </w:instrText>
            </w:r>
            <w:r w:rsidR="00BF277A">
              <w:rPr>
                <w:noProof/>
                <w:webHidden/>
              </w:rPr>
            </w:r>
            <w:r w:rsidR="00BF277A">
              <w:rPr>
                <w:noProof/>
                <w:webHidden/>
              </w:rPr>
              <w:fldChar w:fldCharType="separate"/>
            </w:r>
            <w:r w:rsidR="00F43608">
              <w:rPr>
                <w:noProof/>
                <w:webHidden/>
              </w:rPr>
              <w:t>67</w:t>
            </w:r>
            <w:r w:rsidR="00BF277A">
              <w:rPr>
                <w:noProof/>
                <w:webHidden/>
              </w:rPr>
              <w:fldChar w:fldCharType="end"/>
            </w:r>
          </w:hyperlink>
        </w:p>
        <w:p w14:paraId="1F5EB4E5" w14:textId="31E7F3D1" w:rsidR="00BF277A" w:rsidRDefault="00000000">
          <w:pPr>
            <w:pStyle w:val="Verzeichnis2"/>
            <w:rPr>
              <w:rFonts w:eastAsiaTheme="minorEastAsia" w:cstheme="minorBidi"/>
              <w:b w:val="0"/>
              <w:bCs w:val="0"/>
              <w:noProof/>
              <w:kern w:val="2"/>
              <w:sz w:val="24"/>
              <w:szCs w:val="24"/>
              <w:lang w:eastAsia="de-DE"/>
              <w14:ligatures w14:val="standardContextual"/>
            </w:rPr>
          </w:pPr>
          <w:hyperlink w:anchor="_Toc169934877" w:history="1">
            <w:r w:rsidR="00BF277A" w:rsidRPr="00985FE7">
              <w:rPr>
                <w:rStyle w:val="Hyperlink"/>
                <w:noProof/>
              </w:rPr>
              <w:t>11.1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Internet</w:t>
            </w:r>
            <w:r w:rsidR="00BF277A">
              <w:rPr>
                <w:noProof/>
                <w:webHidden/>
              </w:rPr>
              <w:tab/>
            </w:r>
            <w:r w:rsidR="00BF277A">
              <w:rPr>
                <w:noProof/>
                <w:webHidden/>
              </w:rPr>
              <w:fldChar w:fldCharType="begin"/>
            </w:r>
            <w:r w:rsidR="00BF277A">
              <w:rPr>
                <w:noProof/>
                <w:webHidden/>
              </w:rPr>
              <w:instrText xml:space="preserve"> PAGEREF _Toc169934877 \h </w:instrText>
            </w:r>
            <w:r w:rsidR="00BF277A">
              <w:rPr>
                <w:noProof/>
                <w:webHidden/>
              </w:rPr>
            </w:r>
            <w:r w:rsidR="00BF277A">
              <w:rPr>
                <w:noProof/>
                <w:webHidden/>
              </w:rPr>
              <w:fldChar w:fldCharType="separate"/>
            </w:r>
            <w:r w:rsidR="00F43608">
              <w:rPr>
                <w:noProof/>
                <w:webHidden/>
              </w:rPr>
              <w:t>67</w:t>
            </w:r>
            <w:r w:rsidR="00BF277A">
              <w:rPr>
                <w:noProof/>
                <w:webHidden/>
              </w:rPr>
              <w:fldChar w:fldCharType="end"/>
            </w:r>
          </w:hyperlink>
        </w:p>
        <w:p w14:paraId="0F4E86CB" w14:textId="3F738509" w:rsidR="00BF277A" w:rsidRDefault="00000000">
          <w:pPr>
            <w:pStyle w:val="Verzeichnis1"/>
            <w:tabs>
              <w:tab w:val="left" w:pos="1320"/>
            </w:tabs>
            <w:rPr>
              <w:rFonts w:eastAsiaTheme="minorEastAsia" w:cstheme="minorBidi"/>
              <w:b w:val="0"/>
              <w:bCs w:val="0"/>
              <w:iCs w:val="0"/>
              <w:noProof/>
              <w:kern w:val="2"/>
              <w:lang w:eastAsia="de-DE"/>
              <w14:ligatures w14:val="standardContextual"/>
            </w:rPr>
          </w:pPr>
          <w:hyperlink w:anchor="_Toc169934878" w:history="1">
            <w:r w:rsidR="00BF277A" w:rsidRPr="00985FE7">
              <w:rPr>
                <w:rStyle w:val="Hyperlink"/>
                <w:noProof/>
              </w:rPr>
              <w:t>Anhang 1.</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Abdingbarkeit der Sicherheit der Verarbeitung</w:t>
            </w:r>
            <w:r w:rsidR="00BF277A">
              <w:rPr>
                <w:noProof/>
                <w:webHidden/>
              </w:rPr>
              <w:tab/>
            </w:r>
            <w:r w:rsidR="00BF277A">
              <w:rPr>
                <w:noProof/>
                <w:webHidden/>
              </w:rPr>
              <w:fldChar w:fldCharType="begin"/>
            </w:r>
            <w:r w:rsidR="00BF277A">
              <w:rPr>
                <w:noProof/>
                <w:webHidden/>
              </w:rPr>
              <w:instrText xml:space="preserve"> PAGEREF _Toc169934878 \h </w:instrText>
            </w:r>
            <w:r w:rsidR="00BF277A">
              <w:rPr>
                <w:noProof/>
                <w:webHidden/>
              </w:rPr>
            </w:r>
            <w:r w:rsidR="00BF277A">
              <w:rPr>
                <w:noProof/>
                <w:webHidden/>
              </w:rPr>
              <w:fldChar w:fldCharType="separate"/>
            </w:r>
            <w:r w:rsidR="00F43608">
              <w:rPr>
                <w:noProof/>
                <w:webHidden/>
              </w:rPr>
              <w:t>68</w:t>
            </w:r>
            <w:r w:rsidR="00BF277A">
              <w:rPr>
                <w:noProof/>
                <w:webHidden/>
              </w:rPr>
              <w:fldChar w:fldCharType="end"/>
            </w:r>
          </w:hyperlink>
        </w:p>
        <w:p w14:paraId="5295C5CE" w14:textId="60BB7753"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79" w:history="1">
            <w:r w:rsidR="00BF277A" w:rsidRPr="00985FE7">
              <w:rPr>
                <w:rStyle w:val="Hyperlink"/>
                <w:noProof/>
              </w:rPr>
              <w:t>Anhang 1.1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Die gesetzlichen Vorgaben</w:t>
            </w:r>
            <w:r w:rsidR="00BF277A">
              <w:rPr>
                <w:noProof/>
                <w:webHidden/>
              </w:rPr>
              <w:tab/>
            </w:r>
            <w:r w:rsidR="00BF277A">
              <w:rPr>
                <w:noProof/>
                <w:webHidden/>
              </w:rPr>
              <w:fldChar w:fldCharType="begin"/>
            </w:r>
            <w:r w:rsidR="00BF277A">
              <w:rPr>
                <w:noProof/>
                <w:webHidden/>
              </w:rPr>
              <w:instrText xml:space="preserve"> PAGEREF _Toc169934879 \h </w:instrText>
            </w:r>
            <w:r w:rsidR="00BF277A">
              <w:rPr>
                <w:noProof/>
                <w:webHidden/>
              </w:rPr>
            </w:r>
            <w:r w:rsidR="00BF277A">
              <w:rPr>
                <w:noProof/>
                <w:webHidden/>
              </w:rPr>
              <w:fldChar w:fldCharType="separate"/>
            </w:r>
            <w:r w:rsidR="00F43608">
              <w:rPr>
                <w:noProof/>
                <w:webHidden/>
              </w:rPr>
              <w:t>68</w:t>
            </w:r>
            <w:r w:rsidR="00BF277A">
              <w:rPr>
                <w:noProof/>
                <w:webHidden/>
              </w:rPr>
              <w:fldChar w:fldCharType="end"/>
            </w:r>
          </w:hyperlink>
        </w:p>
        <w:p w14:paraId="56D2422E" w14:textId="5A79F0F5"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0" w:history="1">
            <w:r w:rsidR="00BF277A" w:rsidRPr="00985FE7">
              <w:rPr>
                <w:rStyle w:val="Hyperlink"/>
                <w:noProof/>
              </w:rPr>
              <w:t>Anhang 1.1.1</w:t>
            </w:r>
            <w:r w:rsidR="00BF277A">
              <w:rPr>
                <w:rFonts w:eastAsiaTheme="minorEastAsia" w:cstheme="minorBidi"/>
                <w:noProof/>
                <w:kern w:val="2"/>
                <w:sz w:val="24"/>
                <w:szCs w:val="24"/>
                <w:lang w:eastAsia="de-DE"/>
                <w14:ligatures w14:val="standardContextual"/>
              </w:rPr>
              <w:tab/>
            </w:r>
            <w:r w:rsidR="00BF277A" w:rsidRPr="00985FE7">
              <w:rPr>
                <w:rStyle w:val="Hyperlink"/>
                <w:noProof/>
              </w:rPr>
              <w:t>Europ</w:t>
            </w:r>
            <w:r w:rsidR="00BF277A" w:rsidRPr="00985FE7">
              <w:rPr>
                <w:rStyle w:val="Hyperlink"/>
                <w:rFonts w:hint="eastAsia"/>
                <w:noProof/>
              </w:rPr>
              <w:t>ä</w:t>
            </w:r>
            <w:r w:rsidR="00BF277A" w:rsidRPr="00985FE7">
              <w:rPr>
                <w:rStyle w:val="Hyperlink"/>
                <w:noProof/>
              </w:rPr>
              <w:t>isches Recht</w:t>
            </w:r>
            <w:r w:rsidR="00BF277A">
              <w:rPr>
                <w:noProof/>
                <w:webHidden/>
              </w:rPr>
              <w:tab/>
            </w:r>
            <w:r w:rsidR="00BF277A">
              <w:rPr>
                <w:noProof/>
                <w:webHidden/>
              </w:rPr>
              <w:fldChar w:fldCharType="begin"/>
            </w:r>
            <w:r w:rsidR="00BF277A">
              <w:rPr>
                <w:noProof/>
                <w:webHidden/>
              </w:rPr>
              <w:instrText xml:space="preserve"> PAGEREF _Toc169934880 \h </w:instrText>
            </w:r>
            <w:r w:rsidR="00BF277A">
              <w:rPr>
                <w:noProof/>
                <w:webHidden/>
              </w:rPr>
            </w:r>
            <w:r w:rsidR="00BF277A">
              <w:rPr>
                <w:noProof/>
                <w:webHidden/>
              </w:rPr>
              <w:fldChar w:fldCharType="separate"/>
            </w:r>
            <w:r w:rsidR="00F43608">
              <w:rPr>
                <w:noProof/>
                <w:webHidden/>
              </w:rPr>
              <w:t>68</w:t>
            </w:r>
            <w:r w:rsidR="00BF277A">
              <w:rPr>
                <w:noProof/>
                <w:webHidden/>
              </w:rPr>
              <w:fldChar w:fldCharType="end"/>
            </w:r>
          </w:hyperlink>
        </w:p>
        <w:p w14:paraId="5B41D073" w14:textId="7902DE8D"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1" w:history="1">
            <w:r w:rsidR="00BF277A" w:rsidRPr="00985FE7">
              <w:rPr>
                <w:rStyle w:val="Hyperlink"/>
                <w:noProof/>
              </w:rPr>
              <w:t>Anhang 1.1.2</w:t>
            </w:r>
            <w:r w:rsidR="00BF277A">
              <w:rPr>
                <w:rFonts w:eastAsiaTheme="minorEastAsia" w:cstheme="minorBidi"/>
                <w:noProof/>
                <w:kern w:val="2"/>
                <w:sz w:val="24"/>
                <w:szCs w:val="24"/>
                <w:lang w:eastAsia="de-DE"/>
                <w14:ligatures w14:val="standardContextual"/>
              </w:rPr>
              <w:tab/>
            </w:r>
            <w:r w:rsidR="00BF277A" w:rsidRPr="00985FE7">
              <w:rPr>
                <w:rStyle w:val="Hyperlink"/>
                <w:noProof/>
              </w:rPr>
              <w:t>Deutsches Recht</w:t>
            </w:r>
            <w:r w:rsidR="00BF277A">
              <w:rPr>
                <w:noProof/>
                <w:webHidden/>
              </w:rPr>
              <w:tab/>
            </w:r>
            <w:r w:rsidR="00BF277A">
              <w:rPr>
                <w:noProof/>
                <w:webHidden/>
              </w:rPr>
              <w:fldChar w:fldCharType="begin"/>
            </w:r>
            <w:r w:rsidR="00BF277A">
              <w:rPr>
                <w:noProof/>
                <w:webHidden/>
              </w:rPr>
              <w:instrText xml:space="preserve"> PAGEREF _Toc169934881 \h </w:instrText>
            </w:r>
            <w:r w:rsidR="00BF277A">
              <w:rPr>
                <w:noProof/>
                <w:webHidden/>
              </w:rPr>
            </w:r>
            <w:r w:rsidR="00BF277A">
              <w:rPr>
                <w:noProof/>
                <w:webHidden/>
              </w:rPr>
              <w:fldChar w:fldCharType="separate"/>
            </w:r>
            <w:r w:rsidR="00F43608">
              <w:rPr>
                <w:noProof/>
                <w:webHidden/>
              </w:rPr>
              <w:t>70</w:t>
            </w:r>
            <w:r w:rsidR="00BF277A">
              <w:rPr>
                <w:noProof/>
                <w:webHidden/>
              </w:rPr>
              <w:fldChar w:fldCharType="end"/>
            </w:r>
          </w:hyperlink>
        </w:p>
        <w:p w14:paraId="06E6C1A5" w14:textId="46FD5B78"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2" w:history="1">
            <w:r w:rsidR="00BF277A" w:rsidRPr="00985FE7">
              <w:rPr>
                <w:rStyle w:val="Hyperlink"/>
                <w:noProof/>
              </w:rPr>
              <w:t>Anhang 1.1.3</w:t>
            </w:r>
            <w:r w:rsidR="00BF277A">
              <w:rPr>
                <w:rFonts w:eastAsiaTheme="minorEastAsia" w:cstheme="minorBidi"/>
                <w:noProof/>
                <w:kern w:val="2"/>
                <w:sz w:val="24"/>
                <w:szCs w:val="24"/>
                <w:lang w:eastAsia="de-DE"/>
                <w14:ligatures w14:val="standardContextual"/>
              </w:rPr>
              <w:tab/>
            </w:r>
            <w:r w:rsidR="00BF277A" w:rsidRPr="00985FE7">
              <w:rPr>
                <w:rStyle w:val="Hyperlink"/>
                <w:noProof/>
              </w:rPr>
              <w:t>Zu beachtende gesetzliche Vorgaben die Einwilligung betreffend</w:t>
            </w:r>
            <w:r w:rsidR="00BF277A">
              <w:rPr>
                <w:noProof/>
                <w:webHidden/>
              </w:rPr>
              <w:tab/>
            </w:r>
            <w:r w:rsidR="00BF277A">
              <w:rPr>
                <w:noProof/>
                <w:webHidden/>
              </w:rPr>
              <w:fldChar w:fldCharType="begin"/>
            </w:r>
            <w:r w:rsidR="00BF277A">
              <w:rPr>
                <w:noProof/>
                <w:webHidden/>
              </w:rPr>
              <w:instrText xml:space="preserve"> PAGEREF _Toc169934882 \h </w:instrText>
            </w:r>
            <w:r w:rsidR="00BF277A">
              <w:rPr>
                <w:noProof/>
                <w:webHidden/>
              </w:rPr>
            </w:r>
            <w:r w:rsidR="00BF277A">
              <w:rPr>
                <w:noProof/>
                <w:webHidden/>
              </w:rPr>
              <w:fldChar w:fldCharType="separate"/>
            </w:r>
            <w:r w:rsidR="00F43608">
              <w:rPr>
                <w:noProof/>
                <w:webHidden/>
              </w:rPr>
              <w:t>72</w:t>
            </w:r>
            <w:r w:rsidR="00BF277A">
              <w:rPr>
                <w:noProof/>
                <w:webHidden/>
              </w:rPr>
              <w:fldChar w:fldCharType="end"/>
            </w:r>
          </w:hyperlink>
        </w:p>
        <w:p w14:paraId="5D9F7FB3" w14:textId="38F2F203"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83" w:history="1">
            <w:r w:rsidR="00BF277A" w:rsidRPr="00985FE7">
              <w:rPr>
                <w:rStyle w:val="Hyperlink"/>
                <w:noProof/>
              </w:rPr>
              <w:t>Anhang 1.2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Urteile zum Thema</w:t>
            </w:r>
            <w:r w:rsidR="00BF277A">
              <w:rPr>
                <w:noProof/>
                <w:webHidden/>
              </w:rPr>
              <w:tab/>
            </w:r>
            <w:r w:rsidR="00BF277A">
              <w:rPr>
                <w:noProof/>
                <w:webHidden/>
              </w:rPr>
              <w:fldChar w:fldCharType="begin"/>
            </w:r>
            <w:r w:rsidR="00BF277A">
              <w:rPr>
                <w:noProof/>
                <w:webHidden/>
              </w:rPr>
              <w:instrText xml:space="preserve"> PAGEREF _Toc169934883 \h </w:instrText>
            </w:r>
            <w:r w:rsidR="00BF277A">
              <w:rPr>
                <w:noProof/>
                <w:webHidden/>
              </w:rPr>
            </w:r>
            <w:r w:rsidR="00BF277A">
              <w:rPr>
                <w:noProof/>
                <w:webHidden/>
              </w:rPr>
              <w:fldChar w:fldCharType="separate"/>
            </w:r>
            <w:r w:rsidR="00F43608">
              <w:rPr>
                <w:noProof/>
                <w:webHidden/>
              </w:rPr>
              <w:t>73</w:t>
            </w:r>
            <w:r w:rsidR="00BF277A">
              <w:rPr>
                <w:noProof/>
                <w:webHidden/>
              </w:rPr>
              <w:fldChar w:fldCharType="end"/>
            </w:r>
          </w:hyperlink>
        </w:p>
        <w:p w14:paraId="4AF2EF09" w14:textId="0824B7B5"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4" w:history="1">
            <w:r w:rsidR="00BF277A" w:rsidRPr="00985FE7">
              <w:rPr>
                <w:rStyle w:val="Hyperlink"/>
                <w:noProof/>
              </w:rPr>
              <w:t>Anhang 1.2.1</w:t>
            </w:r>
            <w:r w:rsidR="00BF277A">
              <w:rPr>
                <w:rFonts w:eastAsiaTheme="minorEastAsia" w:cstheme="minorBidi"/>
                <w:noProof/>
                <w:kern w:val="2"/>
                <w:sz w:val="24"/>
                <w:szCs w:val="24"/>
                <w:lang w:eastAsia="de-DE"/>
                <w14:ligatures w14:val="standardContextual"/>
              </w:rPr>
              <w:tab/>
            </w:r>
            <w:r w:rsidR="00BF277A" w:rsidRPr="00985FE7">
              <w:rPr>
                <w:rStyle w:val="Hyperlink"/>
                <w:noProof/>
              </w:rPr>
              <w:t>Deutsche Gerichte</w:t>
            </w:r>
            <w:r w:rsidR="00BF277A">
              <w:rPr>
                <w:noProof/>
                <w:webHidden/>
              </w:rPr>
              <w:tab/>
            </w:r>
            <w:r w:rsidR="00BF277A">
              <w:rPr>
                <w:noProof/>
                <w:webHidden/>
              </w:rPr>
              <w:fldChar w:fldCharType="begin"/>
            </w:r>
            <w:r w:rsidR="00BF277A">
              <w:rPr>
                <w:noProof/>
                <w:webHidden/>
              </w:rPr>
              <w:instrText xml:space="preserve"> PAGEREF _Toc169934884 \h </w:instrText>
            </w:r>
            <w:r w:rsidR="00BF277A">
              <w:rPr>
                <w:noProof/>
                <w:webHidden/>
              </w:rPr>
            </w:r>
            <w:r w:rsidR="00BF277A">
              <w:rPr>
                <w:noProof/>
                <w:webHidden/>
              </w:rPr>
              <w:fldChar w:fldCharType="separate"/>
            </w:r>
            <w:r w:rsidR="00F43608">
              <w:rPr>
                <w:noProof/>
                <w:webHidden/>
              </w:rPr>
              <w:t>73</w:t>
            </w:r>
            <w:r w:rsidR="00BF277A">
              <w:rPr>
                <w:noProof/>
                <w:webHidden/>
              </w:rPr>
              <w:fldChar w:fldCharType="end"/>
            </w:r>
          </w:hyperlink>
        </w:p>
        <w:p w14:paraId="64C91385" w14:textId="69C2AB21"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5" w:history="1">
            <w:r w:rsidR="00BF277A" w:rsidRPr="00985FE7">
              <w:rPr>
                <w:rStyle w:val="Hyperlink"/>
                <w:noProof/>
              </w:rPr>
              <w:t>Anhang 1.2.2</w:t>
            </w:r>
            <w:r w:rsidR="00BF277A">
              <w:rPr>
                <w:rFonts w:eastAsiaTheme="minorEastAsia" w:cstheme="minorBidi"/>
                <w:noProof/>
                <w:kern w:val="2"/>
                <w:sz w:val="24"/>
                <w:szCs w:val="24"/>
                <w:lang w:eastAsia="de-DE"/>
                <w14:ligatures w14:val="standardContextual"/>
              </w:rPr>
              <w:tab/>
            </w:r>
            <w:r w:rsidR="00BF277A" w:rsidRPr="00985FE7">
              <w:rPr>
                <w:rStyle w:val="Hyperlink"/>
                <w:noProof/>
              </w:rPr>
              <w:t>EuGH</w:t>
            </w:r>
            <w:r w:rsidR="00BF277A">
              <w:rPr>
                <w:noProof/>
                <w:webHidden/>
              </w:rPr>
              <w:tab/>
            </w:r>
            <w:r w:rsidR="00BF277A">
              <w:rPr>
                <w:noProof/>
                <w:webHidden/>
              </w:rPr>
              <w:fldChar w:fldCharType="begin"/>
            </w:r>
            <w:r w:rsidR="00BF277A">
              <w:rPr>
                <w:noProof/>
                <w:webHidden/>
              </w:rPr>
              <w:instrText xml:space="preserve"> PAGEREF _Toc169934885 \h </w:instrText>
            </w:r>
            <w:r w:rsidR="00BF277A">
              <w:rPr>
                <w:noProof/>
                <w:webHidden/>
              </w:rPr>
            </w:r>
            <w:r w:rsidR="00BF277A">
              <w:rPr>
                <w:noProof/>
                <w:webHidden/>
              </w:rPr>
              <w:fldChar w:fldCharType="separate"/>
            </w:r>
            <w:r w:rsidR="00F43608">
              <w:rPr>
                <w:noProof/>
                <w:webHidden/>
              </w:rPr>
              <w:t>74</w:t>
            </w:r>
            <w:r w:rsidR="00BF277A">
              <w:rPr>
                <w:noProof/>
                <w:webHidden/>
              </w:rPr>
              <w:fldChar w:fldCharType="end"/>
            </w:r>
          </w:hyperlink>
        </w:p>
        <w:p w14:paraId="10FEBAB3" w14:textId="717CB7E4"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86" w:history="1">
            <w:r w:rsidR="00BF277A" w:rsidRPr="00985FE7">
              <w:rPr>
                <w:rStyle w:val="Hyperlink"/>
                <w:noProof/>
              </w:rPr>
              <w:t>Anhang 1.3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Die Sicht von Datenschutz-Aufsichtsbeh</w:t>
            </w:r>
            <w:r w:rsidR="00BF277A" w:rsidRPr="00985FE7">
              <w:rPr>
                <w:rStyle w:val="Hyperlink"/>
                <w:rFonts w:hint="eastAsia"/>
                <w:noProof/>
              </w:rPr>
              <w:t>ö</w:t>
            </w:r>
            <w:r w:rsidR="00BF277A" w:rsidRPr="00985FE7">
              <w:rPr>
                <w:rStyle w:val="Hyperlink"/>
                <w:noProof/>
              </w:rPr>
              <w:t>rden</w:t>
            </w:r>
            <w:r w:rsidR="00BF277A">
              <w:rPr>
                <w:noProof/>
                <w:webHidden/>
              </w:rPr>
              <w:tab/>
            </w:r>
            <w:r w:rsidR="00BF277A">
              <w:rPr>
                <w:noProof/>
                <w:webHidden/>
              </w:rPr>
              <w:fldChar w:fldCharType="begin"/>
            </w:r>
            <w:r w:rsidR="00BF277A">
              <w:rPr>
                <w:noProof/>
                <w:webHidden/>
              </w:rPr>
              <w:instrText xml:space="preserve"> PAGEREF _Toc169934886 \h </w:instrText>
            </w:r>
            <w:r w:rsidR="00BF277A">
              <w:rPr>
                <w:noProof/>
                <w:webHidden/>
              </w:rPr>
            </w:r>
            <w:r w:rsidR="00BF277A">
              <w:rPr>
                <w:noProof/>
                <w:webHidden/>
              </w:rPr>
              <w:fldChar w:fldCharType="separate"/>
            </w:r>
            <w:r w:rsidR="00F43608">
              <w:rPr>
                <w:noProof/>
                <w:webHidden/>
              </w:rPr>
              <w:t>75</w:t>
            </w:r>
            <w:r w:rsidR="00BF277A">
              <w:rPr>
                <w:noProof/>
                <w:webHidden/>
              </w:rPr>
              <w:fldChar w:fldCharType="end"/>
            </w:r>
          </w:hyperlink>
        </w:p>
        <w:p w14:paraId="174D0F4A" w14:textId="33964746"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7" w:history="1">
            <w:r w:rsidR="00BF277A" w:rsidRPr="00985FE7">
              <w:rPr>
                <w:rStyle w:val="Hyperlink"/>
                <w:noProof/>
              </w:rPr>
              <w:t>Anhang 1.3.1</w:t>
            </w:r>
            <w:r w:rsidR="00BF277A">
              <w:rPr>
                <w:rFonts w:eastAsiaTheme="minorEastAsia" w:cstheme="minorBidi"/>
                <w:noProof/>
                <w:kern w:val="2"/>
                <w:sz w:val="24"/>
                <w:szCs w:val="24"/>
                <w:lang w:eastAsia="de-DE"/>
                <w14:ligatures w14:val="standardContextual"/>
              </w:rPr>
              <w:tab/>
            </w:r>
            <w:r w:rsidR="00BF277A" w:rsidRPr="00985FE7">
              <w:rPr>
                <w:rStyle w:val="Hyperlink"/>
                <w:noProof/>
              </w:rPr>
              <w:t>Deutsche Aufsichtsbeh</w:t>
            </w:r>
            <w:r w:rsidR="00BF277A" w:rsidRPr="00985FE7">
              <w:rPr>
                <w:rStyle w:val="Hyperlink"/>
                <w:rFonts w:hint="eastAsia"/>
                <w:noProof/>
              </w:rPr>
              <w:t>ö</w:t>
            </w:r>
            <w:r w:rsidR="00BF277A" w:rsidRPr="00985FE7">
              <w:rPr>
                <w:rStyle w:val="Hyperlink"/>
                <w:noProof/>
              </w:rPr>
              <w:t>rden</w:t>
            </w:r>
            <w:r w:rsidR="00BF277A">
              <w:rPr>
                <w:noProof/>
                <w:webHidden/>
              </w:rPr>
              <w:tab/>
            </w:r>
            <w:r w:rsidR="00BF277A">
              <w:rPr>
                <w:noProof/>
                <w:webHidden/>
              </w:rPr>
              <w:fldChar w:fldCharType="begin"/>
            </w:r>
            <w:r w:rsidR="00BF277A">
              <w:rPr>
                <w:noProof/>
                <w:webHidden/>
              </w:rPr>
              <w:instrText xml:space="preserve"> PAGEREF _Toc169934887 \h </w:instrText>
            </w:r>
            <w:r w:rsidR="00BF277A">
              <w:rPr>
                <w:noProof/>
                <w:webHidden/>
              </w:rPr>
            </w:r>
            <w:r w:rsidR="00BF277A">
              <w:rPr>
                <w:noProof/>
                <w:webHidden/>
              </w:rPr>
              <w:fldChar w:fldCharType="separate"/>
            </w:r>
            <w:r w:rsidR="00F43608">
              <w:rPr>
                <w:noProof/>
                <w:webHidden/>
              </w:rPr>
              <w:t>75</w:t>
            </w:r>
            <w:r w:rsidR="00BF277A">
              <w:rPr>
                <w:noProof/>
                <w:webHidden/>
              </w:rPr>
              <w:fldChar w:fldCharType="end"/>
            </w:r>
          </w:hyperlink>
        </w:p>
        <w:p w14:paraId="02504E72" w14:textId="5443B57D"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88" w:history="1">
            <w:r w:rsidR="00BF277A" w:rsidRPr="00985FE7">
              <w:rPr>
                <w:rStyle w:val="Hyperlink"/>
                <w:noProof/>
              </w:rPr>
              <w:t>Anhang 1.3.2</w:t>
            </w:r>
            <w:r w:rsidR="00BF277A">
              <w:rPr>
                <w:rFonts w:eastAsiaTheme="minorEastAsia" w:cstheme="minorBidi"/>
                <w:noProof/>
                <w:kern w:val="2"/>
                <w:sz w:val="24"/>
                <w:szCs w:val="24"/>
                <w:lang w:eastAsia="de-DE"/>
                <w14:ligatures w14:val="standardContextual"/>
              </w:rPr>
              <w:tab/>
            </w:r>
            <w:r w:rsidR="00BF277A" w:rsidRPr="00985FE7">
              <w:rPr>
                <w:rStyle w:val="Hyperlink"/>
                <w:rFonts w:hint="eastAsia"/>
                <w:noProof/>
              </w:rPr>
              <w:t>Ö</w:t>
            </w:r>
            <w:r w:rsidR="00BF277A" w:rsidRPr="00985FE7">
              <w:rPr>
                <w:rStyle w:val="Hyperlink"/>
                <w:noProof/>
              </w:rPr>
              <w:t>sterreichische Aufsichtsbeh</w:t>
            </w:r>
            <w:r w:rsidR="00BF277A" w:rsidRPr="00985FE7">
              <w:rPr>
                <w:rStyle w:val="Hyperlink"/>
                <w:rFonts w:hint="eastAsia"/>
                <w:noProof/>
              </w:rPr>
              <w:t>ö</w:t>
            </w:r>
            <w:r w:rsidR="00BF277A" w:rsidRPr="00985FE7">
              <w:rPr>
                <w:rStyle w:val="Hyperlink"/>
                <w:noProof/>
              </w:rPr>
              <w:t>rde</w:t>
            </w:r>
            <w:r w:rsidR="00BF277A">
              <w:rPr>
                <w:noProof/>
                <w:webHidden/>
              </w:rPr>
              <w:tab/>
            </w:r>
            <w:r w:rsidR="00BF277A">
              <w:rPr>
                <w:noProof/>
                <w:webHidden/>
              </w:rPr>
              <w:fldChar w:fldCharType="begin"/>
            </w:r>
            <w:r w:rsidR="00BF277A">
              <w:rPr>
                <w:noProof/>
                <w:webHidden/>
              </w:rPr>
              <w:instrText xml:space="preserve"> PAGEREF _Toc169934888 \h </w:instrText>
            </w:r>
            <w:r w:rsidR="00BF277A">
              <w:rPr>
                <w:noProof/>
                <w:webHidden/>
              </w:rPr>
            </w:r>
            <w:r w:rsidR="00BF277A">
              <w:rPr>
                <w:noProof/>
                <w:webHidden/>
              </w:rPr>
              <w:fldChar w:fldCharType="separate"/>
            </w:r>
            <w:r w:rsidR="00F43608">
              <w:rPr>
                <w:noProof/>
                <w:webHidden/>
              </w:rPr>
              <w:t>77</w:t>
            </w:r>
            <w:r w:rsidR="00BF277A">
              <w:rPr>
                <w:noProof/>
                <w:webHidden/>
              </w:rPr>
              <w:fldChar w:fldCharType="end"/>
            </w:r>
          </w:hyperlink>
        </w:p>
        <w:p w14:paraId="5DDE269B" w14:textId="59B6618C"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89" w:history="1">
            <w:r w:rsidR="00BF277A" w:rsidRPr="00985FE7">
              <w:rPr>
                <w:rStyle w:val="Hyperlink"/>
                <w:noProof/>
              </w:rPr>
              <w:t>Anhang 1.4</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Diskussion</w:t>
            </w:r>
            <w:r w:rsidR="00BF277A">
              <w:rPr>
                <w:noProof/>
                <w:webHidden/>
              </w:rPr>
              <w:tab/>
            </w:r>
            <w:r w:rsidR="00BF277A">
              <w:rPr>
                <w:noProof/>
                <w:webHidden/>
              </w:rPr>
              <w:fldChar w:fldCharType="begin"/>
            </w:r>
            <w:r w:rsidR="00BF277A">
              <w:rPr>
                <w:noProof/>
                <w:webHidden/>
              </w:rPr>
              <w:instrText xml:space="preserve"> PAGEREF _Toc169934889 \h </w:instrText>
            </w:r>
            <w:r w:rsidR="00BF277A">
              <w:rPr>
                <w:noProof/>
                <w:webHidden/>
              </w:rPr>
            </w:r>
            <w:r w:rsidR="00BF277A">
              <w:rPr>
                <w:noProof/>
                <w:webHidden/>
              </w:rPr>
              <w:fldChar w:fldCharType="separate"/>
            </w:r>
            <w:r w:rsidR="00F43608">
              <w:rPr>
                <w:noProof/>
                <w:webHidden/>
              </w:rPr>
              <w:t>77</w:t>
            </w:r>
            <w:r w:rsidR="00BF277A">
              <w:rPr>
                <w:noProof/>
                <w:webHidden/>
              </w:rPr>
              <w:fldChar w:fldCharType="end"/>
            </w:r>
          </w:hyperlink>
        </w:p>
        <w:p w14:paraId="2E7BF52F" w14:textId="70657572"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90" w:history="1">
            <w:r w:rsidR="00BF277A" w:rsidRPr="00985FE7">
              <w:rPr>
                <w:rStyle w:val="Hyperlink"/>
                <w:noProof/>
              </w:rPr>
              <w:t>Anhang 1.5</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Fazit</w:t>
            </w:r>
            <w:r w:rsidR="00BF277A">
              <w:rPr>
                <w:noProof/>
                <w:webHidden/>
              </w:rPr>
              <w:tab/>
            </w:r>
            <w:r w:rsidR="00BF277A">
              <w:rPr>
                <w:noProof/>
                <w:webHidden/>
              </w:rPr>
              <w:fldChar w:fldCharType="begin"/>
            </w:r>
            <w:r w:rsidR="00BF277A">
              <w:rPr>
                <w:noProof/>
                <w:webHidden/>
              </w:rPr>
              <w:instrText xml:space="preserve"> PAGEREF _Toc169934890 \h </w:instrText>
            </w:r>
            <w:r w:rsidR="00BF277A">
              <w:rPr>
                <w:noProof/>
                <w:webHidden/>
              </w:rPr>
            </w:r>
            <w:r w:rsidR="00BF277A">
              <w:rPr>
                <w:noProof/>
                <w:webHidden/>
              </w:rPr>
              <w:fldChar w:fldCharType="separate"/>
            </w:r>
            <w:r w:rsidR="00F43608">
              <w:rPr>
                <w:noProof/>
                <w:webHidden/>
              </w:rPr>
              <w:t>78</w:t>
            </w:r>
            <w:r w:rsidR="00BF277A">
              <w:rPr>
                <w:noProof/>
                <w:webHidden/>
              </w:rPr>
              <w:fldChar w:fldCharType="end"/>
            </w:r>
          </w:hyperlink>
        </w:p>
        <w:p w14:paraId="5E20F356" w14:textId="77777777" w:rsidR="00F43608" w:rsidRDefault="00F43608">
          <w:pPr>
            <w:spacing w:after="0" w:line="240" w:lineRule="auto"/>
            <w:jc w:val="left"/>
            <w:rPr>
              <w:rFonts w:cstheme="minorHAnsi"/>
              <w:b/>
              <w:bCs/>
              <w:iCs/>
              <w:noProof/>
              <w:sz w:val="24"/>
              <w:szCs w:val="24"/>
            </w:rPr>
          </w:pPr>
          <w:r>
            <w:rPr>
              <w:noProof/>
            </w:rPr>
            <w:br w:type="page"/>
          </w:r>
        </w:p>
        <w:p w14:paraId="6479D3A1" w14:textId="5E1170CB" w:rsidR="00BF277A" w:rsidRDefault="00000000">
          <w:pPr>
            <w:pStyle w:val="Verzeichnis1"/>
            <w:tabs>
              <w:tab w:val="left" w:pos="1320"/>
            </w:tabs>
            <w:rPr>
              <w:rFonts w:eastAsiaTheme="minorEastAsia" w:cstheme="minorBidi"/>
              <w:b w:val="0"/>
              <w:bCs w:val="0"/>
              <w:iCs w:val="0"/>
              <w:noProof/>
              <w:kern w:val="2"/>
              <w:lang w:eastAsia="de-DE"/>
              <w14:ligatures w14:val="standardContextual"/>
            </w:rPr>
          </w:pPr>
          <w:hyperlink w:anchor="_Toc169934891" w:history="1">
            <w:r w:rsidR="00BF277A" w:rsidRPr="00985FE7">
              <w:rPr>
                <w:rStyle w:val="Hyperlink"/>
                <w:noProof/>
              </w:rPr>
              <w:t>Anhang 2.</w:t>
            </w:r>
            <w:r w:rsidR="00BF277A">
              <w:rPr>
                <w:rFonts w:eastAsiaTheme="minorEastAsia" w:cstheme="minorBidi"/>
                <w:b w:val="0"/>
                <w:bCs w:val="0"/>
                <w:iCs w:val="0"/>
                <w:noProof/>
                <w:kern w:val="2"/>
                <w:lang w:eastAsia="de-DE"/>
                <w14:ligatures w14:val="standardContextual"/>
              </w:rPr>
              <w:tab/>
            </w:r>
            <w:r w:rsidR="00BF277A" w:rsidRPr="00985FE7">
              <w:rPr>
                <w:rStyle w:val="Hyperlink"/>
                <w:noProof/>
              </w:rPr>
              <w:t>Gesetze im Internet</w:t>
            </w:r>
            <w:r w:rsidR="00BF277A">
              <w:rPr>
                <w:noProof/>
                <w:webHidden/>
              </w:rPr>
              <w:tab/>
            </w:r>
            <w:r w:rsidR="00BF277A">
              <w:rPr>
                <w:noProof/>
                <w:webHidden/>
              </w:rPr>
              <w:fldChar w:fldCharType="begin"/>
            </w:r>
            <w:r w:rsidR="00BF277A">
              <w:rPr>
                <w:noProof/>
                <w:webHidden/>
              </w:rPr>
              <w:instrText xml:space="preserve"> PAGEREF _Toc169934891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30B8B33D" w14:textId="7B98174D"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92" w:history="1">
            <w:r w:rsidR="00BF277A" w:rsidRPr="00985FE7">
              <w:rPr>
                <w:rStyle w:val="Hyperlink"/>
                <w:noProof/>
              </w:rPr>
              <w:t>Anhang 2.1</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Bundesrecht</w:t>
            </w:r>
            <w:r w:rsidR="00BF277A">
              <w:rPr>
                <w:noProof/>
                <w:webHidden/>
              </w:rPr>
              <w:tab/>
            </w:r>
            <w:r w:rsidR="00BF277A">
              <w:rPr>
                <w:noProof/>
                <w:webHidden/>
              </w:rPr>
              <w:fldChar w:fldCharType="begin"/>
            </w:r>
            <w:r w:rsidR="00BF277A">
              <w:rPr>
                <w:noProof/>
                <w:webHidden/>
              </w:rPr>
              <w:instrText xml:space="preserve"> PAGEREF _Toc169934892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38C0E648" w14:textId="11EA979A"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3" w:history="1">
            <w:r w:rsidR="00BF277A" w:rsidRPr="00985FE7">
              <w:rPr>
                <w:rStyle w:val="Hyperlink"/>
                <w:noProof/>
              </w:rPr>
              <w:t>Anhang 2.1.1</w:t>
            </w:r>
            <w:r w:rsidR="00BF277A">
              <w:rPr>
                <w:rFonts w:eastAsiaTheme="minorEastAsia" w:cstheme="minorBidi"/>
                <w:noProof/>
                <w:kern w:val="2"/>
                <w:sz w:val="24"/>
                <w:szCs w:val="24"/>
                <w:lang w:eastAsia="de-DE"/>
                <w14:ligatures w14:val="standardContextual"/>
              </w:rPr>
              <w:tab/>
            </w:r>
            <w:r w:rsidR="00BF277A" w:rsidRPr="00985FE7">
              <w:rPr>
                <w:rStyle w:val="Hyperlink"/>
                <w:noProof/>
              </w:rPr>
              <w:t>Bundesdatenschutzgesetz</w:t>
            </w:r>
            <w:r w:rsidR="00BF277A">
              <w:rPr>
                <w:noProof/>
                <w:webHidden/>
              </w:rPr>
              <w:tab/>
            </w:r>
            <w:r w:rsidR="00BF277A">
              <w:rPr>
                <w:noProof/>
                <w:webHidden/>
              </w:rPr>
              <w:fldChar w:fldCharType="begin"/>
            </w:r>
            <w:r w:rsidR="00BF277A">
              <w:rPr>
                <w:noProof/>
                <w:webHidden/>
              </w:rPr>
              <w:instrText xml:space="preserve"> PAGEREF _Toc169934893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5B4F17B2" w14:textId="3185C417"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4" w:history="1">
            <w:r w:rsidR="00BF277A" w:rsidRPr="00985FE7">
              <w:rPr>
                <w:rStyle w:val="Hyperlink"/>
                <w:noProof/>
              </w:rPr>
              <w:t>Anhang 2.1.2</w:t>
            </w:r>
            <w:r w:rsidR="00BF277A">
              <w:rPr>
                <w:rFonts w:eastAsiaTheme="minorEastAsia" w:cstheme="minorBidi"/>
                <w:noProof/>
                <w:kern w:val="2"/>
                <w:sz w:val="24"/>
                <w:szCs w:val="24"/>
                <w:lang w:eastAsia="de-DE"/>
                <w14:ligatures w14:val="standardContextual"/>
              </w:rPr>
              <w:tab/>
            </w:r>
            <w:r w:rsidR="00BF277A" w:rsidRPr="00985FE7">
              <w:rPr>
                <w:rStyle w:val="Hyperlink"/>
                <w:noProof/>
              </w:rPr>
              <w:t>Gesetz zur Nutzung von Gesundheitsdaten zu gemeinwohlorientierten Forschungszwecken und zur datenbasierten Weiterentwicklung des Gesundheitswesens (Gesundheitsdatennutzungsgesetz, GDNG)</w:t>
            </w:r>
            <w:r w:rsidR="00BF277A">
              <w:rPr>
                <w:noProof/>
                <w:webHidden/>
              </w:rPr>
              <w:tab/>
            </w:r>
            <w:r w:rsidR="00BF277A">
              <w:rPr>
                <w:noProof/>
                <w:webHidden/>
              </w:rPr>
              <w:fldChar w:fldCharType="begin"/>
            </w:r>
            <w:r w:rsidR="00BF277A">
              <w:rPr>
                <w:noProof/>
                <w:webHidden/>
              </w:rPr>
              <w:instrText xml:space="preserve"> PAGEREF _Toc169934894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044CE2B5" w14:textId="38CF692F"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895" w:history="1">
            <w:r w:rsidR="00BF277A" w:rsidRPr="00985FE7">
              <w:rPr>
                <w:rStyle w:val="Hyperlink"/>
                <w:noProof/>
              </w:rPr>
              <w:t>Anhang 2.2</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Landeskrankenhausgesetze nach Bundesl</w:t>
            </w:r>
            <w:r w:rsidR="00BF277A" w:rsidRPr="00985FE7">
              <w:rPr>
                <w:rStyle w:val="Hyperlink"/>
                <w:rFonts w:hint="eastAsia"/>
                <w:noProof/>
              </w:rPr>
              <w:t>ä</w:t>
            </w:r>
            <w:r w:rsidR="00BF277A" w:rsidRPr="00985FE7">
              <w:rPr>
                <w:rStyle w:val="Hyperlink"/>
                <w:noProof/>
              </w:rPr>
              <w:t>ndern</w:t>
            </w:r>
            <w:r w:rsidR="00BF277A">
              <w:rPr>
                <w:noProof/>
                <w:webHidden/>
              </w:rPr>
              <w:tab/>
            </w:r>
            <w:r w:rsidR="00BF277A">
              <w:rPr>
                <w:noProof/>
                <w:webHidden/>
              </w:rPr>
              <w:fldChar w:fldCharType="begin"/>
            </w:r>
            <w:r w:rsidR="00BF277A">
              <w:rPr>
                <w:noProof/>
                <w:webHidden/>
              </w:rPr>
              <w:instrText xml:space="preserve"> PAGEREF _Toc169934895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14A1E178" w14:textId="77E52493"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6" w:history="1">
            <w:r w:rsidR="00BF277A" w:rsidRPr="00985FE7">
              <w:rPr>
                <w:rStyle w:val="Hyperlink"/>
                <w:noProof/>
              </w:rPr>
              <w:t>Anhang 2.2.1</w:t>
            </w:r>
            <w:r w:rsidR="00BF277A">
              <w:rPr>
                <w:rFonts w:eastAsiaTheme="minorEastAsia" w:cstheme="minorBidi"/>
                <w:noProof/>
                <w:kern w:val="2"/>
                <w:sz w:val="24"/>
                <w:szCs w:val="24"/>
                <w:lang w:eastAsia="de-DE"/>
                <w14:ligatures w14:val="standardContextual"/>
              </w:rPr>
              <w:tab/>
            </w:r>
            <w:r w:rsidR="00BF277A" w:rsidRPr="00985FE7">
              <w:rPr>
                <w:rStyle w:val="Hyperlink"/>
                <w:noProof/>
              </w:rPr>
              <w:t>Baden-W</w:t>
            </w:r>
            <w:r w:rsidR="00BF277A" w:rsidRPr="00985FE7">
              <w:rPr>
                <w:rStyle w:val="Hyperlink"/>
                <w:rFonts w:hint="eastAsia"/>
                <w:noProof/>
              </w:rPr>
              <w:t>ü</w:t>
            </w:r>
            <w:r w:rsidR="00BF277A" w:rsidRPr="00985FE7">
              <w:rPr>
                <w:rStyle w:val="Hyperlink"/>
                <w:noProof/>
              </w:rPr>
              <w:t>rttemberg</w:t>
            </w:r>
            <w:r w:rsidR="00BF277A">
              <w:rPr>
                <w:noProof/>
                <w:webHidden/>
              </w:rPr>
              <w:tab/>
            </w:r>
            <w:r w:rsidR="00BF277A">
              <w:rPr>
                <w:noProof/>
                <w:webHidden/>
              </w:rPr>
              <w:fldChar w:fldCharType="begin"/>
            </w:r>
            <w:r w:rsidR="00BF277A">
              <w:rPr>
                <w:noProof/>
                <w:webHidden/>
              </w:rPr>
              <w:instrText xml:space="preserve"> PAGEREF _Toc169934896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21537669" w14:textId="5100C21C"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7" w:history="1">
            <w:r w:rsidR="00BF277A" w:rsidRPr="00985FE7">
              <w:rPr>
                <w:rStyle w:val="Hyperlink"/>
                <w:noProof/>
              </w:rPr>
              <w:t>Anhang 2.2.2</w:t>
            </w:r>
            <w:r w:rsidR="00BF277A">
              <w:rPr>
                <w:rFonts w:eastAsiaTheme="minorEastAsia" w:cstheme="minorBidi"/>
                <w:noProof/>
                <w:kern w:val="2"/>
                <w:sz w:val="24"/>
                <w:szCs w:val="24"/>
                <w:lang w:eastAsia="de-DE"/>
                <w14:ligatures w14:val="standardContextual"/>
              </w:rPr>
              <w:tab/>
            </w:r>
            <w:r w:rsidR="00BF277A" w:rsidRPr="00985FE7">
              <w:rPr>
                <w:rStyle w:val="Hyperlink"/>
                <w:noProof/>
              </w:rPr>
              <w:t>Bayern</w:t>
            </w:r>
            <w:r w:rsidR="00BF277A">
              <w:rPr>
                <w:noProof/>
                <w:webHidden/>
              </w:rPr>
              <w:tab/>
            </w:r>
            <w:r w:rsidR="00BF277A">
              <w:rPr>
                <w:noProof/>
                <w:webHidden/>
              </w:rPr>
              <w:fldChar w:fldCharType="begin"/>
            </w:r>
            <w:r w:rsidR="00BF277A">
              <w:rPr>
                <w:noProof/>
                <w:webHidden/>
              </w:rPr>
              <w:instrText xml:space="preserve"> PAGEREF _Toc169934897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19F26E5E" w14:textId="625CAA48"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8" w:history="1">
            <w:r w:rsidR="00BF277A" w:rsidRPr="00985FE7">
              <w:rPr>
                <w:rStyle w:val="Hyperlink"/>
                <w:noProof/>
              </w:rPr>
              <w:t>Anhang 2.2.3</w:t>
            </w:r>
            <w:r w:rsidR="00BF277A">
              <w:rPr>
                <w:rFonts w:eastAsiaTheme="minorEastAsia" w:cstheme="minorBidi"/>
                <w:noProof/>
                <w:kern w:val="2"/>
                <w:sz w:val="24"/>
                <w:szCs w:val="24"/>
                <w:lang w:eastAsia="de-DE"/>
                <w14:ligatures w14:val="standardContextual"/>
              </w:rPr>
              <w:tab/>
            </w:r>
            <w:r w:rsidR="00BF277A" w:rsidRPr="00985FE7">
              <w:rPr>
                <w:rStyle w:val="Hyperlink"/>
                <w:noProof/>
              </w:rPr>
              <w:t>Berlin</w:t>
            </w:r>
            <w:r w:rsidR="00BF277A">
              <w:rPr>
                <w:noProof/>
                <w:webHidden/>
              </w:rPr>
              <w:tab/>
            </w:r>
            <w:r w:rsidR="00BF277A">
              <w:rPr>
                <w:noProof/>
                <w:webHidden/>
              </w:rPr>
              <w:fldChar w:fldCharType="begin"/>
            </w:r>
            <w:r w:rsidR="00BF277A">
              <w:rPr>
                <w:noProof/>
                <w:webHidden/>
              </w:rPr>
              <w:instrText xml:space="preserve"> PAGEREF _Toc169934898 \h </w:instrText>
            </w:r>
            <w:r w:rsidR="00BF277A">
              <w:rPr>
                <w:noProof/>
                <w:webHidden/>
              </w:rPr>
            </w:r>
            <w:r w:rsidR="00BF277A">
              <w:rPr>
                <w:noProof/>
                <w:webHidden/>
              </w:rPr>
              <w:fldChar w:fldCharType="separate"/>
            </w:r>
            <w:r w:rsidR="00F43608">
              <w:rPr>
                <w:noProof/>
                <w:webHidden/>
              </w:rPr>
              <w:t>80</w:t>
            </w:r>
            <w:r w:rsidR="00BF277A">
              <w:rPr>
                <w:noProof/>
                <w:webHidden/>
              </w:rPr>
              <w:fldChar w:fldCharType="end"/>
            </w:r>
          </w:hyperlink>
        </w:p>
        <w:p w14:paraId="0480C5EC" w14:textId="7158411F"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899" w:history="1">
            <w:r w:rsidR="00BF277A" w:rsidRPr="00985FE7">
              <w:rPr>
                <w:rStyle w:val="Hyperlink"/>
                <w:noProof/>
              </w:rPr>
              <w:t>Anhang 2.2.4</w:t>
            </w:r>
            <w:r w:rsidR="00BF277A">
              <w:rPr>
                <w:rFonts w:eastAsiaTheme="minorEastAsia" w:cstheme="minorBidi"/>
                <w:noProof/>
                <w:kern w:val="2"/>
                <w:sz w:val="24"/>
                <w:szCs w:val="24"/>
                <w:lang w:eastAsia="de-DE"/>
                <w14:ligatures w14:val="standardContextual"/>
              </w:rPr>
              <w:tab/>
            </w:r>
            <w:r w:rsidR="00BF277A" w:rsidRPr="00985FE7">
              <w:rPr>
                <w:rStyle w:val="Hyperlink"/>
                <w:noProof/>
              </w:rPr>
              <w:t>Brandenburg</w:t>
            </w:r>
            <w:r w:rsidR="00BF277A">
              <w:rPr>
                <w:noProof/>
                <w:webHidden/>
              </w:rPr>
              <w:tab/>
            </w:r>
            <w:r w:rsidR="00BF277A">
              <w:rPr>
                <w:noProof/>
                <w:webHidden/>
              </w:rPr>
              <w:fldChar w:fldCharType="begin"/>
            </w:r>
            <w:r w:rsidR="00BF277A">
              <w:rPr>
                <w:noProof/>
                <w:webHidden/>
              </w:rPr>
              <w:instrText xml:space="preserve"> PAGEREF _Toc169934899 \h </w:instrText>
            </w:r>
            <w:r w:rsidR="00BF277A">
              <w:rPr>
                <w:noProof/>
                <w:webHidden/>
              </w:rPr>
            </w:r>
            <w:r w:rsidR="00BF277A">
              <w:rPr>
                <w:noProof/>
                <w:webHidden/>
              </w:rPr>
              <w:fldChar w:fldCharType="separate"/>
            </w:r>
            <w:r w:rsidR="00F43608">
              <w:rPr>
                <w:noProof/>
                <w:webHidden/>
              </w:rPr>
              <w:t>81</w:t>
            </w:r>
            <w:r w:rsidR="00BF277A">
              <w:rPr>
                <w:noProof/>
                <w:webHidden/>
              </w:rPr>
              <w:fldChar w:fldCharType="end"/>
            </w:r>
          </w:hyperlink>
        </w:p>
        <w:p w14:paraId="5B35A3EF" w14:textId="33BB0780"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00" w:history="1">
            <w:r w:rsidR="00BF277A" w:rsidRPr="00985FE7">
              <w:rPr>
                <w:rStyle w:val="Hyperlink"/>
                <w:noProof/>
              </w:rPr>
              <w:t>Anhang 2.2.5</w:t>
            </w:r>
            <w:r w:rsidR="00BF277A">
              <w:rPr>
                <w:rFonts w:eastAsiaTheme="minorEastAsia" w:cstheme="minorBidi"/>
                <w:noProof/>
                <w:kern w:val="2"/>
                <w:sz w:val="24"/>
                <w:szCs w:val="24"/>
                <w:lang w:eastAsia="de-DE"/>
                <w14:ligatures w14:val="standardContextual"/>
              </w:rPr>
              <w:tab/>
            </w:r>
            <w:r w:rsidR="00BF277A" w:rsidRPr="00985FE7">
              <w:rPr>
                <w:rStyle w:val="Hyperlink"/>
                <w:noProof/>
              </w:rPr>
              <w:t>Bremen</w:t>
            </w:r>
            <w:r w:rsidR="00BF277A">
              <w:rPr>
                <w:noProof/>
                <w:webHidden/>
              </w:rPr>
              <w:tab/>
            </w:r>
            <w:r w:rsidR="00BF277A">
              <w:rPr>
                <w:noProof/>
                <w:webHidden/>
              </w:rPr>
              <w:fldChar w:fldCharType="begin"/>
            </w:r>
            <w:r w:rsidR="00BF277A">
              <w:rPr>
                <w:noProof/>
                <w:webHidden/>
              </w:rPr>
              <w:instrText xml:space="preserve"> PAGEREF _Toc169934900 \h </w:instrText>
            </w:r>
            <w:r w:rsidR="00BF277A">
              <w:rPr>
                <w:noProof/>
                <w:webHidden/>
              </w:rPr>
            </w:r>
            <w:r w:rsidR="00BF277A">
              <w:rPr>
                <w:noProof/>
                <w:webHidden/>
              </w:rPr>
              <w:fldChar w:fldCharType="separate"/>
            </w:r>
            <w:r w:rsidR="00F43608">
              <w:rPr>
                <w:noProof/>
                <w:webHidden/>
              </w:rPr>
              <w:t>81</w:t>
            </w:r>
            <w:r w:rsidR="00BF277A">
              <w:rPr>
                <w:noProof/>
                <w:webHidden/>
              </w:rPr>
              <w:fldChar w:fldCharType="end"/>
            </w:r>
          </w:hyperlink>
        </w:p>
        <w:p w14:paraId="33DEE051" w14:textId="1EDF8596"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01" w:history="1">
            <w:r w:rsidR="00BF277A" w:rsidRPr="00985FE7">
              <w:rPr>
                <w:rStyle w:val="Hyperlink"/>
                <w:noProof/>
              </w:rPr>
              <w:t>Anhang 2.2.6</w:t>
            </w:r>
            <w:r w:rsidR="00BF277A">
              <w:rPr>
                <w:rFonts w:eastAsiaTheme="minorEastAsia" w:cstheme="minorBidi"/>
                <w:noProof/>
                <w:kern w:val="2"/>
                <w:sz w:val="24"/>
                <w:szCs w:val="24"/>
                <w:lang w:eastAsia="de-DE"/>
                <w14:ligatures w14:val="standardContextual"/>
              </w:rPr>
              <w:tab/>
            </w:r>
            <w:r w:rsidR="00BF277A" w:rsidRPr="00985FE7">
              <w:rPr>
                <w:rStyle w:val="Hyperlink"/>
                <w:noProof/>
              </w:rPr>
              <w:t>Hamburg</w:t>
            </w:r>
            <w:r w:rsidR="00BF277A">
              <w:rPr>
                <w:noProof/>
                <w:webHidden/>
              </w:rPr>
              <w:tab/>
            </w:r>
            <w:r w:rsidR="00BF277A">
              <w:rPr>
                <w:noProof/>
                <w:webHidden/>
              </w:rPr>
              <w:fldChar w:fldCharType="begin"/>
            </w:r>
            <w:r w:rsidR="00BF277A">
              <w:rPr>
                <w:noProof/>
                <w:webHidden/>
              </w:rPr>
              <w:instrText xml:space="preserve"> PAGEREF _Toc169934901 \h </w:instrText>
            </w:r>
            <w:r w:rsidR="00BF277A">
              <w:rPr>
                <w:noProof/>
                <w:webHidden/>
              </w:rPr>
            </w:r>
            <w:r w:rsidR="00BF277A">
              <w:rPr>
                <w:noProof/>
                <w:webHidden/>
              </w:rPr>
              <w:fldChar w:fldCharType="separate"/>
            </w:r>
            <w:r w:rsidR="00F43608">
              <w:rPr>
                <w:noProof/>
                <w:webHidden/>
              </w:rPr>
              <w:t>81</w:t>
            </w:r>
            <w:r w:rsidR="00BF277A">
              <w:rPr>
                <w:noProof/>
                <w:webHidden/>
              </w:rPr>
              <w:fldChar w:fldCharType="end"/>
            </w:r>
          </w:hyperlink>
        </w:p>
        <w:p w14:paraId="08504AC3" w14:textId="2F268CF2"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02" w:history="1">
            <w:r w:rsidR="00BF277A" w:rsidRPr="00985FE7">
              <w:rPr>
                <w:rStyle w:val="Hyperlink"/>
                <w:noProof/>
              </w:rPr>
              <w:t>Anhang 2.2.7</w:t>
            </w:r>
            <w:r w:rsidR="00BF277A">
              <w:rPr>
                <w:rFonts w:eastAsiaTheme="minorEastAsia" w:cstheme="minorBidi"/>
                <w:noProof/>
                <w:kern w:val="2"/>
                <w:sz w:val="24"/>
                <w:szCs w:val="24"/>
                <w:lang w:eastAsia="de-DE"/>
                <w14:ligatures w14:val="standardContextual"/>
              </w:rPr>
              <w:tab/>
            </w:r>
            <w:r w:rsidR="00BF277A" w:rsidRPr="00985FE7">
              <w:rPr>
                <w:rStyle w:val="Hyperlink"/>
                <w:noProof/>
              </w:rPr>
              <w:t>Hessen</w:t>
            </w:r>
            <w:r w:rsidR="00BF277A">
              <w:rPr>
                <w:noProof/>
                <w:webHidden/>
              </w:rPr>
              <w:tab/>
            </w:r>
            <w:r w:rsidR="00BF277A">
              <w:rPr>
                <w:noProof/>
                <w:webHidden/>
              </w:rPr>
              <w:fldChar w:fldCharType="begin"/>
            </w:r>
            <w:r w:rsidR="00BF277A">
              <w:rPr>
                <w:noProof/>
                <w:webHidden/>
              </w:rPr>
              <w:instrText xml:space="preserve"> PAGEREF _Toc169934902 \h </w:instrText>
            </w:r>
            <w:r w:rsidR="00BF277A">
              <w:rPr>
                <w:noProof/>
                <w:webHidden/>
              </w:rPr>
            </w:r>
            <w:r w:rsidR="00BF277A">
              <w:rPr>
                <w:noProof/>
                <w:webHidden/>
              </w:rPr>
              <w:fldChar w:fldCharType="separate"/>
            </w:r>
            <w:r w:rsidR="00F43608">
              <w:rPr>
                <w:noProof/>
                <w:webHidden/>
              </w:rPr>
              <w:t>81</w:t>
            </w:r>
            <w:r w:rsidR="00BF277A">
              <w:rPr>
                <w:noProof/>
                <w:webHidden/>
              </w:rPr>
              <w:fldChar w:fldCharType="end"/>
            </w:r>
          </w:hyperlink>
        </w:p>
        <w:p w14:paraId="0B50CB52" w14:textId="332BF4BA"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03" w:history="1">
            <w:r w:rsidR="00BF277A" w:rsidRPr="00985FE7">
              <w:rPr>
                <w:rStyle w:val="Hyperlink"/>
                <w:noProof/>
              </w:rPr>
              <w:t>Anhang 2.2.8</w:t>
            </w:r>
            <w:r w:rsidR="00BF277A">
              <w:rPr>
                <w:rFonts w:eastAsiaTheme="minorEastAsia" w:cstheme="minorBidi"/>
                <w:noProof/>
                <w:kern w:val="2"/>
                <w:sz w:val="24"/>
                <w:szCs w:val="24"/>
                <w:lang w:eastAsia="de-DE"/>
                <w14:ligatures w14:val="standardContextual"/>
              </w:rPr>
              <w:tab/>
            </w:r>
            <w:r w:rsidR="00BF277A" w:rsidRPr="00985FE7">
              <w:rPr>
                <w:rStyle w:val="Hyperlink"/>
                <w:noProof/>
              </w:rPr>
              <w:t>Mecklenburg-Vorpommern</w:t>
            </w:r>
            <w:r w:rsidR="00BF277A">
              <w:rPr>
                <w:noProof/>
                <w:webHidden/>
              </w:rPr>
              <w:tab/>
            </w:r>
            <w:r w:rsidR="00BF277A">
              <w:rPr>
                <w:noProof/>
                <w:webHidden/>
              </w:rPr>
              <w:fldChar w:fldCharType="begin"/>
            </w:r>
            <w:r w:rsidR="00BF277A">
              <w:rPr>
                <w:noProof/>
                <w:webHidden/>
              </w:rPr>
              <w:instrText xml:space="preserve"> PAGEREF _Toc169934903 \h </w:instrText>
            </w:r>
            <w:r w:rsidR="00BF277A">
              <w:rPr>
                <w:noProof/>
                <w:webHidden/>
              </w:rPr>
            </w:r>
            <w:r w:rsidR="00BF277A">
              <w:rPr>
                <w:noProof/>
                <w:webHidden/>
              </w:rPr>
              <w:fldChar w:fldCharType="separate"/>
            </w:r>
            <w:r w:rsidR="00F43608">
              <w:rPr>
                <w:noProof/>
                <w:webHidden/>
              </w:rPr>
              <w:t>82</w:t>
            </w:r>
            <w:r w:rsidR="00BF277A">
              <w:rPr>
                <w:noProof/>
                <w:webHidden/>
              </w:rPr>
              <w:fldChar w:fldCharType="end"/>
            </w:r>
          </w:hyperlink>
        </w:p>
        <w:p w14:paraId="3594D046" w14:textId="3085DC82"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04" w:history="1">
            <w:r w:rsidR="00BF277A" w:rsidRPr="00985FE7">
              <w:rPr>
                <w:rStyle w:val="Hyperlink"/>
                <w:noProof/>
              </w:rPr>
              <w:t>Anhang 2.2.9</w:t>
            </w:r>
            <w:r w:rsidR="00BF277A">
              <w:rPr>
                <w:rFonts w:eastAsiaTheme="minorEastAsia" w:cstheme="minorBidi"/>
                <w:noProof/>
                <w:kern w:val="2"/>
                <w:sz w:val="24"/>
                <w:szCs w:val="24"/>
                <w:lang w:eastAsia="de-DE"/>
                <w14:ligatures w14:val="standardContextual"/>
              </w:rPr>
              <w:tab/>
            </w:r>
            <w:r w:rsidR="00BF277A" w:rsidRPr="00985FE7">
              <w:rPr>
                <w:rStyle w:val="Hyperlink"/>
                <w:noProof/>
              </w:rPr>
              <w:t>Niedersachsen</w:t>
            </w:r>
            <w:r w:rsidR="00BF277A">
              <w:rPr>
                <w:noProof/>
                <w:webHidden/>
              </w:rPr>
              <w:tab/>
            </w:r>
            <w:r w:rsidR="00BF277A">
              <w:rPr>
                <w:noProof/>
                <w:webHidden/>
              </w:rPr>
              <w:fldChar w:fldCharType="begin"/>
            </w:r>
            <w:r w:rsidR="00BF277A">
              <w:rPr>
                <w:noProof/>
                <w:webHidden/>
              </w:rPr>
              <w:instrText xml:space="preserve"> PAGEREF _Toc169934904 \h </w:instrText>
            </w:r>
            <w:r w:rsidR="00BF277A">
              <w:rPr>
                <w:noProof/>
                <w:webHidden/>
              </w:rPr>
            </w:r>
            <w:r w:rsidR="00BF277A">
              <w:rPr>
                <w:noProof/>
                <w:webHidden/>
              </w:rPr>
              <w:fldChar w:fldCharType="separate"/>
            </w:r>
            <w:r w:rsidR="00F43608">
              <w:rPr>
                <w:noProof/>
                <w:webHidden/>
              </w:rPr>
              <w:t>82</w:t>
            </w:r>
            <w:r w:rsidR="00BF277A">
              <w:rPr>
                <w:noProof/>
                <w:webHidden/>
              </w:rPr>
              <w:fldChar w:fldCharType="end"/>
            </w:r>
          </w:hyperlink>
        </w:p>
        <w:p w14:paraId="2906CBD9" w14:textId="514E4DBA"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05" w:history="1">
            <w:r w:rsidR="00BF277A" w:rsidRPr="00985FE7">
              <w:rPr>
                <w:rStyle w:val="Hyperlink"/>
                <w:noProof/>
              </w:rPr>
              <w:t>Anhang 2.2.10</w:t>
            </w:r>
            <w:r w:rsidR="00BF277A">
              <w:rPr>
                <w:rFonts w:eastAsiaTheme="minorEastAsia" w:cstheme="minorBidi"/>
                <w:noProof/>
                <w:kern w:val="2"/>
                <w:sz w:val="24"/>
                <w:szCs w:val="24"/>
                <w:lang w:eastAsia="de-DE"/>
                <w14:ligatures w14:val="standardContextual"/>
              </w:rPr>
              <w:tab/>
            </w:r>
            <w:r w:rsidR="00BF277A" w:rsidRPr="00985FE7">
              <w:rPr>
                <w:rStyle w:val="Hyperlink"/>
                <w:noProof/>
              </w:rPr>
              <w:t>Nordrhein-Westfalen</w:t>
            </w:r>
            <w:r w:rsidR="00BF277A">
              <w:rPr>
                <w:noProof/>
                <w:webHidden/>
              </w:rPr>
              <w:tab/>
            </w:r>
            <w:r w:rsidR="00BF277A">
              <w:rPr>
                <w:noProof/>
                <w:webHidden/>
              </w:rPr>
              <w:fldChar w:fldCharType="begin"/>
            </w:r>
            <w:r w:rsidR="00BF277A">
              <w:rPr>
                <w:noProof/>
                <w:webHidden/>
              </w:rPr>
              <w:instrText xml:space="preserve"> PAGEREF _Toc169934905 \h </w:instrText>
            </w:r>
            <w:r w:rsidR="00BF277A">
              <w:rPr>
                <w:noProof/>
                <w:webHidden/>
              </w:rPr>
            </w:r>
            <w:r w:rsidR="00BF277A">
              <w:rPr>
                <w:noProof/>
                <w:webHidden/>
              </w:rPr>
              <w:fldChar w:fldCharType="separate"/>
            </w:r>
            <w:r w:rsidR="00F43608">
              <w:rPr>
                <w:noProof/>
                <w:webHidden/>
              </w:rPr>
              <w:t>82</w:t>
            </w:r>
            <w:r w:rsidR="00BF277A">
              <w:rPr>
                <w:noProof/>
                <w:webHidden/>
              </w:rPr>
              <w:fldChar w:fldCharType="end"/>
            </w:r>
          </w:hyperlink>
        </w:p>
        <w:p w14:paraId="04C70313" w14:textId="208E0B55"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06" w:history="1">
            <w:r w:rsidR="00BF277A" w:rsidRPr="00985FE7">
              <w:rPr>
                <w:rStyle w:val="Hyperlink"/>
                <w:noProof/>
              </w:rPr>
              <w:t>Anhang 2.2.11</w:t>
            </w:r>
            <w:r w:rsidR="00BF277A">
              <w:rPr>
                <w:rFonts w:eastAsiaTheme="minorEastAsia" w:cstheme="minorBidi"/>
                <w:noProof/>
                <w:kern w:val="2"/>
                <w:sz w:val="24"/>
                <w:szCs w:val="24"/>
                <w:lang w:eastAsia="de-DE"/>
                <w14:ligatures w14:val="standardContextual"/>
              </w:rPr>
              <w:tab/>
            </w:r>
            <w:r w:rsidR="00BF277A" w:rsidRPr="00985FE7">
              <w:rPr>
                <w:rStyle w:val="Hyperlink"/>
                <w:noProof/>
              </w:rPr>
              <w:t>Rheinland-Pfalz</w:t>
            </w:r>
            <w:r w:rsidR="00BF277A">
              <w:rPr>
                <w:noProof/>
                <w:webHidden/>
              </w:rPr>
              <w:tab/>
            </w:r>
            <w:r w:rsidR="00BF277A">
              <w:rPr>
                <w:noProof/>
                <w:webHidden/>
              </w:rPr>
              <w:fldChar w:fldCharType="begin"/>
            </w:r>
            <w:r w:rsidR="00BF277A">
              <w:rPr>
                <w:noProof/>
                <w:webHidden/>
              </w:rPr>
              <w:instrText xml:space="preserve"> PAGEREF _Toc169934906 \h </w:instrText>
            </w:r>
            <w:r w:rsidR="00BF277A">
              <w:rPr>
                <w:noProof/>
                <w:webHidden/>
              </w:rPr>
            </w:r>
            <w:r w:rsidR="00BF277A">
              <w:rPr>
                <w:noProof/>
                <w:webHidden/>
              </w:rPr>
              <w:fldChar w:fldCharType="separate"/>
            </w:r>
            <w:r w:rsidR="00F43608">
              <w:rPr>
                <w:noProof/>
                <w:webHidden/>
              </w:rPr>
              <w:t>82</w:t>
            </w:r>
            <w:r w:rsidR="00BF277A">
              <w:rPr>
                <w:noProof/>
                <w:webHidden/>
              </w:rPr>
              <w:fldChar w:fldCharType="end"/>
            </w:r>
          </w:hyperlink>
        </w:p>
        <w:p w14:paraId="61CDAF11" w14:textId="5CD18567"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07" w:history="1">
            <w:r w:rsidR="00BF277A" w:rsidRPr="00985FE7">
              <w:rPr>
                <w:rStyle w:val="Hyperlink"/>
                <w:noProof/>
              </w:rPr>
              <w:t>Anhang 2.2.12</w:t>
            </w:r>
            <w:r w:rsidR="00BF277A">
              <w:rPr>
                <w:rFonts w:eastAsiaTheme="minorEastAsia" w:cstheme="minorBidi"/>
                <w:noProof/>
                <w:kern w:val="2"/>
                <w:sz w:val="24"/>
                <w:szCs w:val="24"/>
                <w:lang w:eastAsia="de-DE"/>
                <w14:ligatures w14:val="standardContextual"/>
              </w:rPr>
              <w:tab/>
            </w:r>
            <w:r w:rsidR="00BF277A" w:rsidRPr="00985FE7">
              <w:rPr>
                <w:rStyle w:val="Hyperlink"/>
                <w:noProof/>
              </w:rPr>
              <w:t>Saarland</w:t>
            </w:r>
            <w:r w:rsidR="00BF277A">
              <w:rPr>
                <w:noProof/>
                <w:webHidden/>
              </w:rPr>
              <w:tab/>
            </w:r>
            <w:r w:rsidR="00BF277A">
              <w:rPr>
                <w:noProof/>
                <w:webHidden/>
              </w:rPr>
              <w:fldChar w:fldCharType="begin"/>
            </w:r>
            <w:r w:rsidR="00BF277A">
              <w:rPr>
                <w:noProof/>
                <w:webHidden/>
              </w:rPr>
              <w:instrText xml:space="preserve"> PAGEREF _Toc169934907 \h </w:instrText>
            </w:r>
            <w:r w:rsidR="00BF277A">
              <w:rPr>
                <w:noProof/>
                <w:webHidden/>
              </w:rPr>
            </w:r>
            <w:r w:rsidR="00BF277A">
              <w:rPr>
                <w:noProof/>
                <w:webHidden/>
              </w:rPr>
              <w:fldChar w:fldCharType="separate"/>
            </w:r>
            <w:r w:rsidR="00F43608">
              <w:rPr>
                <w:noProof/>
                <w:webHidden/>
              </w:rPr>
              <w:t>82</w:t>
            </w:r>
            <w:r w:rsidR="00BF277A">
              <w:rPr>
                <w:noProof/>
                <w:webHidden/>
              </w:rPr>
              <w:fldChar w:fldCharType="end"/>
            </w:r>
          </w:hyperlink>
        </w:p>
        <w:p w14:paraId="2AC1FDBD" w14:textId="72362406"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08" w:history="1">
            <w:r w:rsidR="00BF277A" w:rsidRPr="00985FE7">
              <w:rPr>
                <w:rStyle w:val="Hyperlink"/>
                <w:noProof/>
              </w:rPr>
              <w:t>Anhang 2.2.13</w:t>
            </w:r>
            <w:r w:rsidR="00BF277A">
              <w:rPr>
                <w:rFonts w:eastAsiaTheme="minorEastAsia" w:cstheme="minorBidi"/>
                <w:noProof/>
                <w:kern w:val="2"/>
                <w:sz w:val="24"/>
                <w:szCs w:val="24"/>
                <w:lang w:eastAsia="de-DE"/>
                <w14:ligatures w14:val="standardContextual"/>
              </w:rPr>
              <w:tab/>
            </w:r>
            <w:r w:rsidR="00BF277A" w:rsidRPr="00985FE7">
              <w:rPr>
                <w:rStyle w:val="Hyperlink"/>
                <w:noProof/>
              </w:rPr>
              <w:t>Sachsen</w:t>
            </w:r>
            <w:r w:rsidR="00BF277A">
              <w:rPr>
                <w:noProof/>
                <w:webHidden/>
              </w:rPr>
              <w:tab/>
            </w:r>
            <w:r w:rsidR="00BF277A">
              <w:rPr>
                <w:noProof/>
                <w:webHidden/>
              </w:rPr>
              <w:fldChar w:fldCharType="begin"/>
            </w:r>
            <w:r w:rsidR="00BF277A">
              <w:rPr>
                <w:noProof/>
                <w:webHidden/>
              </w:rPr>
              <w:instrText xml:space="preserve"> PAGEREF _Toc169934908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6F2FF7FA" w14:textId="004B5463"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09" w:history="1">
            <w:r w:rsidR="00BF277A" w:rsidRPr="00985FE7">
              <w:rPr>
                <w:rStyle w:val="Hyperlink"/>
                <w:noProof/>
              </w:rPr>
              <w:t>Anhang 2.2.14</w:t>
            </w:r>
            <w:r w:rsidR="00BF277A">
              <w:rPr>
                <w:rFonts w:eastAsiaTheme="minorEastAsia" w:cstheme="minorBidi"/>
                <w:noProof/>
                <w:kern w:val="2"/>
                <w:sz w:val="24"/>
                <w:szCs w:val="24"/>
                <w:lang w:eastAsia="de-DE"/>
                <w14:ligatures w14:val="standardContextual"/>
              </w:rPr>
              <w:tab/>
            </w:r>
            <w:r w:rsidR="00BF277A" w:rsidRPr="00985FE7">
              <w:rPr>
                <w:rStyle w:val="Hyperlink"/>
                <w:noProof/>
              </w:rPr>
              <w:t>Sachsen-Anhalt</w:t>
            </w:r>
            <w:r w:rsidR="00BF277A">
              <w:rPr>
                <w:noProof/>
                <w:webHidden/>
              </w:rPr>
              <w:tab/>
            </w:r>
            <w:r w:rsidR="00BF277A">
              <w:rPr>
                <w:noProof/>
                <w:webHidden/>
              </w:rPr>
              <w:fldChar w:fldCharType="begin"/>
            </w:r>
            <w:r w:rsidR="00BF277A">
              <w:rPr>
                <w:noProof/>
                <w:webHidden/>
              </w:rPr>
              <w:instrText xml:space="preserve"> PAGEREF _Toc169934909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1E491421" w14:textId="0EC897CA"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10" w:history="1">
            <w:r w:rsidR="00BF277A" w:rsidRPr="00985FE7">
              <w:rPr>
                <w:rStyle w:val="Hyperlink"/>
                <w:noProof/>
              </w:rPr>
              <w:t>Anhang 2.2.15</w:t>
            </w:r>
            <w:r w:rsidR="00BF277A">
              <w:rPr>
                <w:rFonts w:eastAsiaTheme="minorEastAsia" w:cstheme="minorBidi"/>
                <w:noProof/>
                <w:kern w:val="2"/>
                <w:sz w:val="24"/>
                <w:szCs w:val="24"/>
                <w:lang w:eastAsia="de-DE"/>
                <w14:ligatures w14:val="standardContextual"/>
              </w:rPr>
              <w:tab/>
            </w:r>
            <w:r w:rsidR="00BF277A" w:rsidRPr="00985FE7">
              <w:rPr>
                <w:rStyle w:val="Hyperlink"/>
                <w:noProof/>
              </w:rPr>
              <w:t>Schleswig-Holstein</w:t>
            </w:r>
            <w:r w:rsidR="00BF277A">
              <w:rPr>
                <w:noProof/>
                <w:webHidden/>
              </w:rPr>
              <w:tab/>
            </w:r>
            <w:r w:rsidR="00BF277A">
              <w:rPr>
                <w:noProof/>
                <w:webHidden/>
              </w:rPr>
              <w:fldChar w:fldCharType="begin"/>
            </w:r>
            <w:r w:rsidR="00BF277A">
              <w:rPr>
                <w:noProof/>
                <w:webHidden/>
              </w:rPr>
              <w:instrText xml:space="preserve"> PAGEREF _Toc169934910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7495F573" w14:textId="35266105"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11" w:history="1">
            <w:r w:rsidR="00BF277A" w:rsidRPr="00985FE7">
              <w:rPr>
                <w:rStyle w:val="Hyperlink"/>
                <w:noProof/>
              </w:rPr>
              <w:t>Anhang 2.2.16</w:t>
            </w:r>
            <w:r w:rsidR="00BF277A">
              <w:rPr>
                <w:rFonts w:eastAsiaTheme="minorEastAsia" w:cstheme="minorBidi"/>
                <w:noProof/>
                <w:kern w:val="2"/>
                <w:sz w:val="24"/>
                <w:szCs w:val="24"/>
                <w:lang w:eastAsia="de-DE"/>
                <w14:ligatures w14:val="standardContextual"/>
              </w:rPr>
              <w:tab/>
            </w:r>
            <w:r w:rsidR="00BF277A" w:rsidRPr="00985FE7">
              <w:rPr>
                <w:rStyle w:val="Hyperlink"/>
                <w:noProof/>
              </w:rPr>
              <w:t>Th</w:t>
            </w:r>
            <w:r w:rsidR="00BF277A" w:rsidRPr="00985FE7">
              <w:rPr>
                <w:rStyle w:val="Hyperlink"/>
                <w:rFonts w:hint="eastAsia"/>
                <w:noProof/>
              </w:rPr>
              <w:t>ü</w:t>
            </w:r>
            <w:r w:rsidR="00BF277A" w:rsidRPr="00985FE7">
              <w:rPr>
                <w:rStyle w:val="Hyperlink"/>
                <w:noProof/>
              </w:rPr>
              <w:t>ringen</w:t>
            </w:r>
            <w:r w:rsidR="00BF277A">
              <w:rPr>
                <w:noProof/>
                <w:webHidden/>
              </w:rPr>
              <w:tab/>
            </w:r>
            <w:r w:rsidR="00BF277A">
              <w:rPr>
                <w:noProof/>
                <w:webHidden/>
              </w:rPr>
              <w:fldChar w:fldCharType="begin"/>
            </w:r>
            <w:r w:rsidR="00BF277A">
              <w:rPr>
                <w:noProof/>
                <w:webHidden/>
              </w:rPr>
              <w:instrText xml:space="preserve"> PAGEREF _Toc169934911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37F63736" w14:textId="616C7525" w:rsidR="00BF277A" w:rsidRDefault="00000000">
          <w:pPr>
            <w:pStyle w:val="Verzeichnis2"/>
            <w:tabs>
              <w:tab w:val="left" w:pos="1540"/>
            </w:tabs>
            <w:rPr>
              <w:rFonts w:eastAsiaTheme="minorEastAsia" w:cstheme="minorBidi"/>
              <w:b w:val="0"/>
              <w:bCs w:val="0"/>
              <w:noProof/>
              <w:kern w:val="2"/>
              <w:sz w:val="24"/>
              <w:szCs w:val="24"/>
              <w:lang w:eastAsia="de-DE"/>
              <w14:ligatures w14:val="standardContextual"/>
            </w:rPr>
          </w:pPr>
          <w:hyperlink w:anchor="_Toc169934912" w:history="1">
            <w:r w:rsidR="00BF277A" w:rsidRPr="00985FE7">
              <w:rPr>
                <w:rStyle w:val="Hyperlink"/>
                <w:noProof/>
              </w:rPr>
              <w:t>Anhang 2.3</w:t>
            </w:r>
            <w:r w:rsidR="00BF277A">
              <w:rPr>
                <w:rFonts w:eastAsiaTheme="minorEastAsia" w:cstheme="minorBidi"/>
                <w:b w:val="0"/>
                <w:bCs w:val="0"/>
                <w:noProof/>
                <w:kern w:val="2"/>
                <w:sz w:val="24"/>
                <w:szCs w:val="24"/>
                <w:lang w:eastAsia="de-DE"/>
                <w14:ligatures w14:val="standardContextual"/>
              </w:rPr>
              <w:tab/>
            </w:r>
            <w:r w:rsidR="00BF277A" w:rsidRPr="00985FE7">
              <w:rPr>
                <w:rStyle w:val="Hyperlink"/>
                <w:noProof/>
              </w:rPr>
              <w:t>Landesrettungsdienstgesetze nach Bundesl</w:t>
            </w:r>
            <w:r w:rsidR="00BF277A" w:rsidRPr="00985FE7">
              <w:rPr>
                <w:rStyle w:val="Hyperlink"/>
                <w:rFonts w:hint="eastAsia"/>
                <w:noProof/>
              </w:rPr>
              <w:t>ä</w:t>
            </w:r>
            <w:r w:rsidR="00BF277A" w:rsidRPr="00985FE7">
              <w:rPr>
                <w:rStyle w:val="Hyperlink"/>
                <w:noProof/>
              </w:rPr>
              <w:t>ndern</w:t>
            </w:r>
            <w:r w:rsidR="00BF277A">
              <w:rPr>
                <w:noProof/>
                <w:webHidden/>
              </w:rPr>
              <w:tab/>
            </w:r>
            <w:r w:rsidR="00BF277A">
              <w:rPr>
                <w:noProof/>
                <w:webHidden/>
              </w:rPr>
              <w:fldChar w:fldCharType="begin"/>
            </w:r>
            <w:r w:rsidR="00BF277A">
              <w:rPr>
                <w:noProof/>
                <w:webHidden/>
              </w:rPr>
              <w:instrText xml:space="preserve"> PAGEREF _Toc169934912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7BB0E4F6" w14:textId="08F97690"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3" w:history="1">
            <w:r w:rsidR="00BF277A" w:rsidRPr="00985FE7">
              <w:rPr>
                <w:rStyle w:val="Hyperlink"/>
                <w:noProof/>
              </w:rPr>
              <w:t>Anhang 2.3.1</w:t>
            </w:r>
            <w:r w:rsidR="00BF277A">
              <w:rPr>
                <w:rFonts w:eastAsiaTheme="minorEastAsia" w:cstheme="minorBidi"/>
                <w:noProof/>
                <w:kern w:val="2"/>
                <w:sz w:val="24"/>
                <w:szCs w:val="24"/>
                <w:lang w:eastAsia="de-DE"/>
                <w14:ligatures w14:val="standardContextual"/>
              </w:rPr>
              <w:tab/>
            </w:r>
            <w:r w:rsidR="00BF277A" w:rsidRPr="00985FE7">
              <w:rPr>
                <w:rStyle w:val="Hyperlink"/>
                <w:noProof/>
              </w:rPr>
              <w:t>Baden-W</w:t>
            </w:r>
            <w:r w:rsidR="00BF277A" w:rsidRPr="00985FE7">
              <w:rPr>
                <w:rStyle w:val="Hyperlink"/>
                <w:rFonts w:hint="eastAsia"/>
                <w:noProof/>
              </w:rPr>
              <w:t>ü</w:t>
            </w:r>
            <w:r w:rsidR="00BF277A" w:rsidRPr="00985FE7">
              <w:rPr>
                <w:rStyle w:val="Hyperlink"/>
                <w:noProof/>
              </w:rPr>
              <w:t>rttemberg</w:t>
            </w:r>
            <w:r w:rsidR="00BF277A">
              <w:rPr>
                <w:noProof/>
                <w:webHidden/>
              </w:rPr>
              <w:tab/>
            </w:r>
            <w:r w:rsidR="00BF277A">
              <w:rPr>
                <w:noProof/>
                <w:webHidden/>
              </w:rPr>
              <w:fldChar w:fldCharType="begin"/>
            </w:r>
            <w:r w:rsidR="00BF277A">
              <w:rPr>
                <w:noProof/>
                <w:webHidden/>
              </w:rPr>
              <w:instrText xml:space="preserve"> PAGEREF _Toc169934913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4C4CA31C" w14:textId="4F0AA938"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4" w:history="1">
            <w:r w:rsidR="00BF277A" w:rsidRPr="00985FE7">
              <w:rPr>
                <w:rStyle w:val="Hyperlink"/>
                <w:noProof/>
              </w:rPr>
              <w:t>Anhang 2.3.2</w:t>
            </w:r>
            <w:r w:rsidR="00BF277A">
              <w:rPr>
                <w:rFonts w:eastAsiaTheme="minorEastAsia" w:cstheme="minorBidi"/>
                <w:noProof/>
                <w:kern w:val="2"/>
                <w:sz w:val="24"/>
                <w:szCs w:val="24"/>
                <w:lang w:eastAsia="de-DE"/>
                <w14:ligatures w14:val="standardContextual"/>
              </w:rPr>
              <w:tab/>
            </w:r>
            <w:r w:rsidR="00BF277A" w:rsidRPr="00985FE7">
              <w:rPr>
                <w:rStyle w:val="Hyperlink"/>
                <w:noProof/>
              </w:rPr>
              <w:t>Bayern</w:t>
            </w:r>
            <w:r w:rsidR="00BF277A">
              <w:rPr>
                <w:noProof/>
                <w:webHidden/>
              </w:rPr>
              <w:tab/>
            </w:r>
            <w:r w:rsidR="00BF277A">
              <w:rPr>
                <w:noProof/>
                <w:webHidden/>
              </w:rPr>
              <w:fldChar w:fldCharType="begin"/>
            </w:r>
            <w:r w:rsidR="00BF277A">
              <w:rPr>
                <w:noProof/>
                <w:webHidden/>
              </w:rPr>
              <w:instrText xml:space="preserve"> PAGEREF _Toc169934914 \h </w:instrText>
            </w:r>
            <w:r w:rsidR="00BF277A">
              <w:rPr>
                <w:noProof/>
                <w:webHidden/>
              </w:rPr>
            </w:r>
            <w:r w:rsidR="00BF277A">
              <w:rPr>
                <w:noProof/>
                <w:webHidden/>
              </w:rPr>
              <w:fldChar w:fldCharType="separate"/>
            </w:r>
            <w:r w:rsidR="00F43608">
              <w:rPr>
                <w:noProof/>
                <w:webHidden/>
              </w:rPr>
              <w:t>83</w:t>
            </w:r>
            <w:r w:rsidR="00BF277A">
              <w:rPr>
                <w:noProof/>
                <w:webHidden/>
              </w:rPr>
              <w:fldChar w:fldCharType="end"/>
            </w:r>
          </w:hyperlink>
        </w:p>
        <w:p w14:paraId="331A38D2" w14:textId="1DE0F6B9"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5" w:history="1">
            <w:r w:rsidR="00BF277A" w:rsidRPr="00985FE7">
              <w:rPr>
                <w:rStyle w:val="Hyperlink"/>
                <w:noProof/>
              </w:rPr>
              <w:t>Anhang 2.3.3</w:t>
            </w:r>
            <w:r w:rsidR="00BF277A">
              <w:rPr>
                <w:rFonts w:eastAsiaTheme="minorEastAsia" w:cstheme="minorBidi"/>
                <w:noProof/>
                <w:kern w:val="2"/>
                <w:sz w:val="24"/>
                <w:szCs w:val="24"/>
                <w:lang w:eastAsia="de-DE"/>
                <w14:ligatures w14:val="standardContextual"/>
              </w:rPr>
              <w:tab/>
            </w:r>
            <w:r w:rsidR="00BF277A" w:rsidRPr="00985FE7">
              <w:rPr>
                <w:rStyle w:val="Hyperlink"/>
                <w:noProof/>
              </w:rPr>
              <w:t>Berlin</w:t>
            </w:r>
            <w:r w:rsidR="00BF277A">
              <w:rPr>
                <w:noProof/>
                <w:webHidden/>
              </w:rPr>
              <w:tab/>
            </w:r>
            <w:r w:rsidR="00BF277A">
              <w:rPr>
                <w:noProof/>
                <w:webHidden/>
              </w:rPr>
              <w:fldChar w:fldCharType="begin"/>
            </w:r>
            <w:r w:rsidR="00BF277A">
              <w:rPr>
                <w:noProof/>
                <w:webHidden/>
              </w:rPr>
              <w:instrText xml:space="preserve"> PAGEREF _Toc169934915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1002AD5A" w14:textId="10C0EEDC"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6" w:history="1">
            <w:r w:rsidR="00BF277A" w:rsidRPr="00985FE7">
              <w:rPr>
                <w:rStyle w:val="Hyperlink"/>
                <w:noProof/>
              </w:rPr>
              <w:t>Anhang 2.3.4</w:t>
            </w:r>
            <w:r w:rsidR="00BF277A">
              <w:rPr>
                <w:rFonts w:eastAsiaTheme="minorEastAsia" w:cstheme="minorBidi"/>
                <w:noProof/>
                <w:kern w:val="2"/>
                <w:sz w:val="24"/>
                <w:szCs w:val="24"/>
                <w:lang w:eastAsia="de-DE"/>
                <w14:ligatures w14:val="standardContextual"/>
              </w:rPr>
              <w:tab/>
            </w:r>
            <w:r w:rsidR="00BF277A" w:rsidRPr="00985FE7">
              <w:rPr>
                <w:rStyle w:val="Hyperlink"/>
                <w:noProof/>
              </w:rPr>
              <w:t>Brandenburg</w:t>
            </w:r>
            <w:r w:rsidR="00BF277A">
              <w:rPr>
                <w:noProof/>
                <w:webHidden/>
              </w:rPr>
              <w:tab/>
            </w:r>
            <w:r w:rsidR="00BF277A">
              <w:rPr>
                <w:noProof/>
                <w:webHidden/>
              </w:rPr>
              <w:fldChar w:fldCharType="begin"/>
            </w:r>
            <w:r w:rsidR="00BF277A">
              <w:rPr>
                <w:noProof/>
                <w:webHidden/>
              </w:rPr>
              <w:instrText xml:space="preserve"> PAGEREF _Toc169934916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51C12019" w14:textId="69CD88AA"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7" w:history="1">
            <w:r w:rsidR="00BF277A" w:rsidRPr="00985FE7">
              <w:rPr>
                <w:rStyle w:val="Hyperlink"/>
                <w:noProof/>
              </w:rPr>
              <w:t>Anhang 2.3.5</w:t>
            </w:r>
            <w:r w:rsidR="00BF277A">
              <w:rPr>
                <w:rFonts w:eastAsiaTheme="minorEastAsia" w:cstheme="minorBidi"/>
                <w:noProof/>
                <w:kern w:val="2"/>
                <w:sz w:val="24"/>
                <w:szCs w:val="24"/>
                <w:lang w:eastAsia="de-DE"/>
                <w14:ligatures w14:val="standardContextual"/>
              </w:rPr>
              <w:tab/>
            </w:r>
            <w:r w:rsidR="00BF277A" w:rsidRPr="00985FE7">
              <w:rPr>
                <w:rStyle w:val="Hyperlink"/>
                <w:noProof/>
              </w:rPr>
              <w:t>Bremen</w:t>
            </w:r>
            <w:r w:rsidR="00BF277A">
              <w:rPr>
                <w:noProof/>
                <w:webHidden/>
              </w:rPr>
              <w:tab/>
            </w:r>
            <w:r w:rsidR="00BF277A">
              <w:rPr>
                <w:noProof/>
                <w:webHidden/>
              </w:rPr>
              <w:fldChar w:fldCharType="begin"/>
            </w:r>
            <w:r w:rsidR="00BF277A">
              <w:rPr>
                <w:noProof/>
                <w:webHidden/>
              </w:rPr>
              <w:instrText xml:space="preserve"> PAGEREF _Toc169934917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78F94714" w14:textId="76428807"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8" w:history="1">
            <w:r w:rsidR="00BF277A" w:rsidRPr="00985FE7">
              <w:rPr>
                <w:rStyle w:val="Hyperlink"/>
                <w:noProof/>
              </w:rPr>
              <w:t>Anhang 2.3.6</w:t>
            </w:r>
            <w:r w:rsidR="00BF277A">
              <w:rPr>
                <w:rFonts w:eastAsiaTheme="minorEastAsia" w:cstheme="minorBidi"/>
                <w:noProof/>
                <w:kern w:val="2"/>
                <w:sz w:val="24"/>
                <w:szCs w:val="24"/>
                <w:lang w:eastAsia="de-DE"/>
                <w14:ligatures w14:val="standardContextual"/>
              </w:rPr>
              <w:tab/>
            </w:r>
            <w:r w:rsidR="00BF277A" w:rsidRPr="00985FE7">
              <w:rPr>
                <w:rStyle w:val="Hyperlink"/>
                <w:noProof/>
              </w:rPr>
              <w:t>Hamburg</w:t>
            </w:r>
            <w:r w:rsidR="00BF277A">
              <w:rPr>
                <w:noProof/>
                <w:webHidden/>
              </w:rPr>
              <w:tab/>
            </w:r>
            <w:r w:rsidR="00BF277A">
              <w:rPr>
                <w:noProof/>
                <w:webHidden/>
              </w:rPr>
              <w:fldChar w:fldCharType="begin"/>
            </w:r>
            <w:r w:rsidR="00BF277A">
              <w:rPr>
                <w:noProof/>
                <w:webHidden/>
              </w:rPr>
              <w:instrText xml:space="preserve"> PAGEREF _Toc169934918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0E28CEF8" w14:textId="73B98BB0"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19" w:history="1">
            <w:r w:rsidR="00BF277A" w:rsidRPr="00985FE7">
              <w:rPr>
                <w:rStyle w:val="Hyperlink"/>
                <w:noProof/>
              </w:rPr>
              <w:t>Anhang 2.3.7</w:t>
            </w:r>
            <w:r w:rsidR="00BF277A">
              <w:rPr>
                <w:rFonts w:eastAsiaTheme="minorEastAsia" w:cstheme="minorBidi"/>
                <w:noProof/>
                <w:kern w:val="2"/>
                <w:sz w:val="24"/>
                <w:szCs w:val="24"/>
                <w:lang w:eastAsia="de-DE"/>
                <w14:ligatures w14:val="standardContextual"/>
              </w:rPr>
              <w:tab/>
            </w:r>
            <w:r w:rsidR="00BF277A" w:rsidRPr="00985FE7">
              <w:rPr>
                <w:rStyle w:val="Hyperlink"/>
                <w:noProof/>
              </w:rPr>
              <w:t>Hessen</w:t>
            </w:r>
            <w:r w:rsidR="00BF277A">
              <w:rPr>
                <w:noProof/>
                <w:webHidden/>
              </w:rPr>
              <w:tab/>
            </w:r>
            <w:r w:rsidR="00BF277A">
              <w:rPr>
                <w:noProof/>
                <w:webHidden/>
              </w:rPr>
              <w:fldChar w:fldCharType="begin"/>
            </w:r>
            <w:r w:rsidR="00BF277A">
              <w:rPr>
                <w:noProof/>
                <w:webHidden/>
              </w:rPr>
              <w:instrText xml:space="preserve"> PAGEREF _Toc169934919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4E98A795" w14:textId="5CB6C7CA"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20" w:history="1">
            <w:r w:rsidR="00BF277A" w:rsidRPr="00985FE7">
              <w:rPr>
                <w:rStyle w:val="Hyperlink"/>
                <w:noProof/>
              </w:rPr>
              <w:t>Anhang 2.3.8</w:t>
            </w:r>
            <w:r w:rsidR="00BF277A">
              <w:rPr>
                <w:rFonts w:eastAsiaTheme="minorEastAsia" w:cstheme="minorBidi"/>
                <w:noProof/>
                <w:kern w:val="2"/>
                <w:sz w:val="24"/>
                <w:szCs w:val="24"/>
                <w:lang w:eastAsia="de-DE"/>
                <w14:ligatures w14:val="standardContextual"/>
              </w:rPr>
              <w:tab/>
            </w:r>
            <w:r w:rsidR="00BF277A" w:rsidRPr="00985FE7">
              <w:rPr>
                <w:rStyle w:val="Hyperlink"/>
                <w:noProof/>
              </w:rPr>
              <w:t>Mecklenburg-Vorpommern</w:t>
            </w:r>
            <w:r w:rsidR="00BF277A">
              <w:rPr>
                <w:noProof/>
                <w:webHidden/>
              </w:rPr>
              <w:tab/>
            </w:r>
            <w:r w:rsidR="00BF277A">
              <w:rPr>
                <w:noProof/>
                <w:webHidden/>
              </w:rPr>
              <w:fldChar w:fldCharType="begin"/>
            </w:r>
            <w:r w:rsidR="00BF277A">
              <w:rPr>
                <w:noProof/>
                <w:webHidden/>
              </w:rPr>
              <w:instrText xml:space="preserve"> PAGEREF _Toc169934920 \h </w:instrText>
            </w:r>
            <w:r w:rsidR="00BF277A">
              <w:rPr>
                <w:noProof/>
                <w:webHidden/>
              </w:rPr>
            </w:r>
            <w:r w:rsidR="00BF277A">
              <w:rPr>
                <w:noProof/>
                <w:webHidden/>
              </w:rPr>
              <w:fldChar w:fldCharType="separate"/>
            </w:r>
            <w:r w:rsidR="00F43608">
              <w:rPr>
                <w:noProof/>
                <w:webHidden/>
              </w:rPr>
              <w:t>84</w:t>
            </w:r>
            <w:r w:rsidR="00BF277A">
              <w:rPr>
                <w:noProof/>
                <w:webHidden/>
              </w:rPr>
              <w:fldChar w:fldCharType="end"/>
            </w:r>
          </w:hyperlink>
        </w:p>
        <w:p w14:paraId="5161CE67" w14:textId="1A364B4C" w:rsidR="00BF277A" w:rsidRDefault="00000000">
          <w:pPr>
            <w:pStyle w:val="Verzeichnis3"/>
            <w:tabs>
              <w:tab w:val="left" w:pos="1760"/>
            </w:tabs>
            <w:rPr>
              <w:rFonts w:eastAsiaTheme="minorEastAsia" w:cstheme="minorBidi"/>
              <w:noProof/>
              <w:kern w:val="2"/>
              <w:sz w:val="24"/>
              <w:szCs w:val="24"/>
              <w:lang w:eastAsia="de-DE"/>
              <w14:ligatures w14:val="standardContextual"/>
            </w:rPr>
          </w:pPr>
          <w:hyperlink w:anchor="_Toc169934921" w:history="1">
            <w:r w:rsidR="00BF277A" w:rsidRPr="00985FE7">
              <w:rPr>
                <w:rStyle w:val="Hyperlink"/>
                <w:noProof/>
              </w:rPr>
              <w:t>Anhang 2.3.9</w:t>
            </w:r>
            <w:r w:rsidR="00BF277A">
              <w:rPr>
                <w:rFonts w:eastAsiaTheme="minorEastAsia" w:cstheme="minorBidi"/>
                <w:noProof/>
                <w:kern w:val="2"/>
                <w:sz w:val="24"/>
                <w:szCs w:val="24"/>
                <w:lang w:eastAsia="de-DE"/>
                <w14:ligatures w14:val="standardContextual"/>
              </w:rPr>
              <w:tab/>
            </w:r>
            <w:r w:rsidR="00BF277A" w:rsidRPr="00985FE7">
              <w:rPr>
                <w:rStyle w:val="Hyperlink"/>
                <w:noProof/>
              </w:rPr>
              <w:t>Niedersachsen</w:t>
            </w:r>
            <w:r w:rsidR="00BF277A">
              <w:rPr>
                <w:noProof/>
                <w:webHidden/>
              </w:rPr>
              <w:tab/>
            </w:r>
            <w:r w:rsidR="00BF277A">
              <w:rPr>
                <w:noProof/>
                <w:webHidden/>
              </w:rPr>
              <w:fldChar w:fldCharType="begin"/>
            </w:r>
            <w:r w:rsidR="00BF277A">
              <w:rPr>
                <w:noProof/>
                <w:webHidden/>
              </w:rPr>
              <w:instrText xml:space="preserve"> PAGEREF _Toc169934921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30382600" w14:textId="287076AE"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2" w:history="1">
            <w:r w:rsidR="00BF277A" w:rsidRPr="00985FE7">
              <w:rPr>
                <w:rStyle w:val="Hyperlink"/>
                <w:noProof/>
              </w:rPr>
              <w:t>Anhang 2.3.10</w:t>
            </w:r>
            <w:r w:rsidR="00BF277A">
              <w:rPr>
                <w:rFonts w:eastAsiaTheme="minorEastAsia" w:cstheme="minorBidi"/>
                <w:noProof/>
                <w:kern w:val="2"/>
                <w:sz w:val="24"/>
                <w:szCs w:val="24"/>
                <w:lang w:eastAsia="de-DE"/>
                <w14:ligatures w14:val="standardContextual"/>
              </w:rPr>
              <w:tab/>
            </w:r>
            <w:r w:rsidR="00BF277A" w:rsidRPr="00985FE7">
              <w:rPr>
                <w:rStyle w:val="Hyperlink"/>
                <w:noProof/>
              </w:rPr>
              <w:t>Nordrhein-Westfalen</w:t>
            </w:r>
            <w:r w:rsidR="00BF277A">
              <w:rPr>
                <w:noProof/>
                <w:webHidden/>
              </w:rPr>
              <w:tab/>
            </w:r>
            <w:r w:rsidR="00BF277A">
              <w:rPr>
                <w:noProof/>
                <w:webHidden/>
              </w:rPr>
              <w:fldChar w:fldCharType="begin"/>
            </w:r>
            <w:r w:rsidR="00BF277A">
              <w:rPr>
                <w:noProof/>
                <w:webHidden/>
              </w:rPr>
              <w:instrText xml:space="preserve"> PAGEREF _Toc169934922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7516AD02" w14:textId="0C92B406"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3" w:history="1">
            <w:r w:rsidR="00BF277A" w:rsidRPr="00985FE7">
              <w:rPr>
                <w:rStyle w:val="Hyperlink"/>
                <w:noProof/>
              </w:rPr>
              <w:t>Anhang 2.3.11</w:t>
            </w:r>
            <w:r w:rsidR="00BF277A">
              <w:rPr>
                <w:rFonts w:eastAsiaTheme="minorEastAsia" w:cstheme="minorBidi"/>
                <w:noProof/>
                <w:kern w:val="2"/>
                <w:sz w:val="24"/>
                <w:szCs w:val="24"/>
                <w:lang w:eastAsia="de-DE"/>
                <w14:ligatures w14:val="standardContextual"/>
              </w:rPr>
              <w:tab/>
            </w:r>
            <w:r w:rsidR="00BF277A" w:rsidRPr="00985FE7">
              <w:rPr>
                <w:rStyle w:val="Hyperlink"/>
                <w:noProof/>
              </w:rPr>
              <w:t>Rheinland-Pfalz</w:t>
            </w:r>
            <w:r w:rsidR="00BF277A">
              <w:rPr>
                <w:noProof/>
                <w:webHidden/>
              </w:rPr>
              <w:tab/>
            </w:r>
            <w:r w:rsidR="00BF277A">
              <w:rPr>
                <w:noProof/>
                <w:webHidden/>
              </w:rPr>
              <w:fldChar w:fldCharType="begin"/>
            </w:r>
            <w:r w:rsidR="00BF277A">
              <w:rPr>
                <w:noProof/>
                <w:webHidden/>
              </w:rPr>
              <w:instrText xml:space="preserve"> PAGEREF _Toc169934923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01F80BDC" w14:textId="70134E5A"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4" w:history="1">
            <w:r w:rsidR="00BF277A" w:rsidRPr="00985FE7">
              <w:rPr>
                <w:rStyle w:val="Hyperlink"/>
                <w:noProof/>
              </w:rPr>
              <w:t>Anhang 2.3.12</w:t>
            </w:r>
            <w:r w:rsidR="00BF277A">
              <w:rPr>
                <w:rFonts w:eastAsiaTheme="minorEastAsia" w:cstheme="minorBidi"/>
                <w:noProof/>
                <w:kern w:val="2"/>
                <w:sz w:val="24"/>
                <w:szCs w:val="24"/>
                <w:lang w:eastAsia="de-DE"/>
                <w14:ligatures w14:val="standardContextual"/>
              </w:rPr>
              <w:tab/>
            </w:r>
            <w:r w:rsidR="00BF277A" w:rsidRPr="00985FE7">
              <w:rPr>
                <w:rStyle w:val="Hyperlink"/>
                <w:noProof/>
              </w:rPr>
              <w:t>Saarland</w:t>
            </w:r>
            <w:r w:rsidR="00BF277A">
              <w:rPr>
                <w:noProof/>
                <w:webHidden/>
              </w:rPr>
              <w:tab/>
            </w:r>
            <w:r w:rsidR="00BF277A">
              <w:rPr>
                <w:noProof/>
                <w:webHidden/>
              </w:rPr>
              <w:fldChar w:fldCharType="begin"/>
            </w:r>
            <w:r w:rsidR="00BF277A">
              <w:rPr>
                <w:noProof/>
                <w:webHidden/>
              </w:rPr>
              <w:instrText xml:space="preserve"> PAGEREF _Toc169934924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23EB9A37" w14:textId="53989770"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5" w:history="1">
            <w:r w:rsidR="00BF277A" w:rsidRPr="00985FE7">
              <w:rPr>
                <w:rStyle w:val="Hyperlink"/>
                <w:noProof/>
              </w:rPr>
              <w:t>Anhang 2.3.13</w:t>
            </w:r>
            <w:r w:rsidR="00BF277A">
              <w:rPr>
                <w:rFonts w:eastAsiaTheme="minorEastAsia" w:cstheme="minorBidi"/>
                <w:noProof/>
                <w:kern w:val="2"/>
                <w:sz w:val="24"/>
                <w:szCs w:val="24"/>
                <w:lang w:eastAsia="de-DE"/>
                <w14:ligatures w14:val="standardContextual"/>
              </w:rPr>
              <w:tab/>
            </w:r>
            <w:r w:rsidR="00BF277A" w:rsidRPr="00985FE7">
              <w:rPr>
                <w:rStyle w:val="Hyperlink"/>
                <w:noProof/>
              </w:rPr>
              <w:t>Sachsen</w:t>
            </w:r>
            <w:r w:rsidR="00BF277A">
              <w:rPr>
                <w:noProof/>
                <w:webHidden/>
              </w:rPr>
              <w:tab/>
            </w:r>
            <w:r w:rsidR="00BF277A">
              <w:rPr>
                <w:noProof/>
                <w:webHidden/>
              </w:rPr>
              <w:fldChar w:fldCharType="begin"/>
            </w:r>
            <w:r w:rsidR="00BF277A">
              <w:rPr>
                <w:noProof/>
                <w:webHidden/>
              </w:rPr>
              <w:instrText xml:space="preserve"> PAGEREF _Toc169934925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2087F8AA" w14:textId="51B86D7E"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6" w:history="1">
            <w:r w:rsidR="00BF277A" w:rsidRPr="00985FE7">
              <w:rPr>
                <w:rStyle w:val="Hyperlink"/>
                <w:noProof/>
              </w:rPr>
              <w:t>Anhang 2.3.14</w:t>
            </w:r>
            <w:r w:rsidR="00BF277A">
              <w:rPr>
                <w:rFonts w:eastAsiaTheme="minorEastAsia" w:cstheme="minorBidi"/>
                <w:noProof/>
                <w:kern w:val="2"/>
                <w:sz w:val="24"/>
                <w:szCs w:val="24"/>
                <w:lang w:eastAsia="de-DE"/>
                <w14:ligatures w14:val="standardContextual"/>
              </w:rPr>
              <w:tab/>
            </w:r>
            <w:r w:rsidR="00BF277A" w:rsidRPr="00985FE7">
              <w:rPr>
                <w:rStyle w:val="Hyperlink"/>
                <w:noProof/>
              </w:rPr>
              <w:t>Sachsen-Anhalt</w:t>
            </w:r>
            <w:r w:rsidR="00BF277A">
              <w:rPr>
                <w:noProof/>
                <w:webHidden/>
              </w:rPr>
              <w:tab/>
            </w:r>
            <w:r w:rsidR="00BF277A">
              <w:rPr>
                <w:noProof/>
                <w:webHidden/>
              </w:rPr>
              <w:fldChar w:fldCharType="begin"/>
            </w:r>
            <w:r w:rsidR="00BF277A">
              <w:rPr>
                <w:noProof/>
                <w:webHidden/>
              </w:rPr>
              <w:instrText xml:space="preserve"> PAGEREF _Toc169934926 \h </w:instrText>
            </w:r>
            <w:r w:rsidR="00BF277A">
              <w:rPr>
                <w:noProof/>
                <w:webHidden/>
              </w:rPr>
            </w:r>
            <w:r w:rsidR="00BF277A">
              <w:rPr>
                <w:noProof/>
                <w:webHidden/>
              </w:rPr>
              <w:fldChar w:fldCharType="separate"/>
            </w:r>
            <w:r w:rsidR="00F43608">
              <w:rPr>
                <w:noProof/>
                <w:webHidden/>
              </w:rPr>
              <w:t>85</w:t>
            </w:r>
            <w:r w:rsidR="00BF277A">
              <w:rPr>
                <w:noProof/>
                <w:webHidden/>
              </w:rPr>
              <w:fldChar w:fldCharType="end"/>
            </w:r>
          </w:hyperlink>
        </w:p>
        <w:p w14:paraId="1B5B6395" w14:textId="5409964C"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7" w:history="1">
            <w:r w:rsidR="00BF277A" w:rsidRPr="00985FE7">
              <w:rPr>
                <w:rStyle w:val="Hyperlink"/>
                <w:noProof/>
              </w:rPr>
              <w:t>Anhang 2.3.15</w:t>
            </w:r>
            <w:r w:rsidR="00BF277A">
              <w:rPr>
                <w:rFonts w:eastAsiaTheme="minorEastAsia" w:cstheme="minorBidi"/>
                <w:noProof/>
                <w:kern w:val="2"/>
                <w:sz w:val="24"/>
                <w:szCs w:val="24"/>
                <w:lang w:eastAsia="de-DE"/>
                <w14:ligatures w14:val="standardContextual"/>
              </w:rPr>
              <w:tab/>
            </w:r>
            <w:r w:rsidR="00BF277A" w:rsidRPr="00985FE7">
              <w:rPr>
                <w:rStyle w:val="Hyperlink"/>
                <w:noProof/>
              </w:rPr>
              <w:t>Schleswig-Holstein</w:t>
            </w:r>
            <w:r w:rsidR="00BF277A">
              <w:rPr>
                <w:noProof/>
                <w:webHidden/>
              </w:rPr>
              <w:tab/>
            </w:r>
            <w:r w:rsidR="00BF277A">
              <w:rPr>
                <w:noProof/>
                <w:webHidden/>
              </w:rPr>
              <w:fldChar w:fldCharType="begin"/>
            </w:r>
            <w:r w:rsidR="00BF277A">
              <w:rPr>
                <w:noProof/>
                <w:webHidden/>
              </w:rPr>
              <w:instrText xml:space="preserve"> PAGEREF _Toc169934927 \h </w:instrText>
            </w:r>
            <w:r w:rsidR="00BF277A">
              <w:rPr>
                <w:noProof/>
                <w:webHidden/>
              </w:rPr>
            </w:r>
            <w:r w:rsidR="00BF277A">
              <w:rPr>
                <w:noProof/>
                <w:webHidden/>
              </w:rPr>
              <w:fldChar w:fldCharType="separate"/>
            </w:r>
            <w:r w:rsidR="00F43608">
              <w:rPr>
                <w:noProof/>
                <w:webHidden/>
              </w:rPr>
              <w:t>86</w:t>
            </w:r>
            <w:r w:rsidR="00BF277A">
              <w:rPr>
                <w:noProof/>
                <w:webHidden/>
              </w:rPr>
              <w:fldChar w:fldCharType="end"/>
            </w:r>
          </w:hyperlink>
        </w:p>
        <w:p w14:paraId="1C080C18" w14:textId="05BA96E4" w:rsidR="00BF277A" w:rsidRDefault="00000000">
          <w:pPr>
            <w:pStyle w:val="Verzeichnis3"/>
            <w:tabs>
              <w:tab w:val="left" w:pos="1853"/>
            </w:tabs>
            <w:rPr>
              <w:rFonts w:eastAsiaTheme="minorEastAsia" w:cstheme="minorBidi"/>
              <w:noProof/>
              <w:kern w:val="2"/>
              <w:sz w:val="24"/>
              <w:szCs w:val="24"/>
              <w:lang w:eastAsia="de-DE"/>
              <w14:ligatures w14:val="standardContextual"/>
            </w:rPr>
          </w:pPr>
          <w:hyperlink w:anchor="_Toc169934928" w:history="1">
            <w:r w:rsidR="00BF277A" w:rsidRPr="00985FE7">
              <w:rPr>
                <w:rStyle w:val="Hyperlink"/>
                <w:noProof/>
              </w:rPr>
              <w:t>Anhang 2.3.16</w:t>
            </w:r>
            <w:r w:rsidR="00BF277A">
              <w:rPr>
                <w:rFonts w:eastAsiaTheme="minorEastAsia" w:cstheme="minorBidi"/>
                <w:noProof/>
                <w:kern w:val="2"/>
                <w:sz w:val="24"/>
                <w:szCs w:val="24"/>
                <w:lang w:eastAsia="de-DE"/>
                <w14:ligatures w14:val="standardContextual"/>
              </w:rPr>
              <w:tab/>
            </w:r>
            <w:r w:rsidR="00BF277A" w:rsidRPr="00985FE7">
              <w:rPr>
                <w:rStyle w:val="Hyperlink"/>
                <w:noProof/>
              </w:rPr>
              <w:t>Th</w:t>
            </w:r>
            <w:r w:rsidR="00BF277A" w:rsidRPr="00985FE7">
              <w:rPr>
                <w:rStyle w:val="Hyperlink"/>
                <w:rFonts w:hint="eastAsia"/>
                <w:noProof/>
              </w:rPr>
              <w:t>ü</w:t>
            </w:r>
            <w:r w:rsidR="00BF277A" w:rsidRPr="00985FE7">
              <w:rPr>
                <w:rStyle w:val="Hyperlink"/>
                <w:noProof/>
              </w:rPr>
              <w:t>ringen</w:t>
            </w:r>
            <w:r w:rsidR="00BF277A">
              <w:rPr>
                <w:noProof/>
                <w:webHidden/>
              </w:rPr>
              <w:tab/>
            </w:r>
            <w:r w:rsidR="00BF277A">
              <w:rPr>
                <w:noProof/>
                <w:webHidden/>
              </w:rPr>
              <w:fldChar w:fldCharType="begin"/>
            </w:r>
            <w:r w:rsidR="00BF277A">
              <w:rPr>
                <w:noProof/>
                <w:webHidden/>
              </w:rPr>
              <w:instrText xml:space="preserve"> PAGEREF _Toc169934928 \h </w:instrText>
            </w:r>
            <w:r w:rsidR="00BF277A">
              <w:rPr>
                <w:noProof/>
                <w:webHidden/>
              </w:rPr>
            </w:r>
            <w:r w:rsidR="00BF277A">
              <w:rPr>
                <w:noProof/>
                <w:webHidden/>
              </w:rPr>
              <w:fldChar w:fldCharType="separate"/>
            </w:r>
            <w:r w:rsidR="00F43608">
              <w:rPr>
                <w:noProof/>
                <w:webHidden/>
              </w:rPr>
              <w:t>86</w:t>
            </w:r>
            <w:r w:rsidR="00BF277A">
              <w:rPr>
                <w:noProof/>
                <w:webHidden/>
              </w:rPr>
              <w:fldChar w:fldCharType="end"/>
            </w:r>
          </w:hyperlink>
        </w:p>
        <w:p w14:paraId="3B008509" w14:textId="7BC4BAB3" w:rsidR="00CA188B" w:rsidRDefault="00D720C3" w:rsidP="003B642E">
          <w:pPr>
            <w:pStyle w:val="Verzeichnis1"/>
          </w:pPr>
          <w:r>
            <w:fldChar w:fldCharType="end"/>
          </w:r>
        </w:p>
      </w:sdtContent>
    </w:sdt>
    <w:p w14:paraId="3ED1CA83" w14:textId="77777777" w:rsidR="00A53A68" w:rsidRDefault="00A53A68" w:rsidP="00CA188B"/>
    <w:p w14:paraId="13D7A14E" w14:textId="77777777" w:rsidR="00CA188B" w:rsidRDefault="00CA188B">
      <w:pPr>
        <w:jc w:val="center"/>
        <w:rPr>
          <w:sz w:val="21"/>
          <w:szCs w:val="21"/>
        </w:rPr>
        <w:sectPr w:rsidR="00CA188B" w:rsidSect="00FE2688">
          <w:footerReference w:type="default" r:id="rId13"/>
          <w:pgSz w:w="11906" w:h="16838"/>
          <w:pgMar w:top="1417" w:right="1417" w:bottom="1134" w:left="1417" w:header="708" w:footer="708" w:gutter="0"/>
          <w:pgNumType w:fmt="upperRoman" w:start="1"/>
          <w:cols w:space="720"/>
          <w:formProt w:val="0"/>
          <w:docGrid w:linePitch="360" w:charSpace="4096"/>
        </w:sectPr>
      </w:pPr>
    </w:p>
    <w:p w14:paraId="7EDDB920" w14:textId="77777777" w:rsidR="00AE4EA7" w:rsidRDefault="00990A0B" w:rsidP="00BF277A">
      <w:pPr>
        <w:pStyle w:val="berschrift1"/>
        <w:numPr>
          <w:ilvl w:val="0"/>
          <w:numId w:val="0"/>
        </w:numPr>
        <w:spacing w:before="0"/>
      </w:pPr>
      <w:bookmarkStart w:id="59" w:name="_Toc169934782"/>
      <w:r>
        <w:t>Zusammenfassung</w:t>
      </w:r>
      <w:bookmarkEnd w:id="59"/>
    </w:p>
    <w:p w14:paraId="23313B28" w14:textId="00C7A63D" w:rsidR="003E58B6" w:rsidRDefault="003E58B6" w:rsidP="003E58B6">
      <w:r>
        <w:t>Jede Verarbeitung personenbezogener Daten muss sich grundsätzlich am Grundsatz der Verhältnismäßigkeit</w:t>
      </w:r>
      <w:r w:rsidR="00090D52" w:rsidRPr="00090D52">
        <w:t xml:space="preserve"> messen lasse</w:t>
      </w:r>
      <w:r w:rsidR="00090D52">
        <w:t>n</w:t>
      </w:r>
      <w:r>
        <w:t>, d. h. an der Verfolgung eines legitimen Zwecks, der Eignung der Verarbeitung zu</w:t>
      </w:r>
      <w:r w:rsidR="00090D52">
        <w:t>r</w:t>
      </w:r>
      <w:r>
        <w:t xml:space="preserve"> Erreich</w:t>
      </w:r>
      <w:r w:rsidR="00090D52">
        <w:t>u</w:t>
      </w:r>
      <w:r>
        <w:t>n</w:t>
      </w:r>
      <w:r w:rsidR="00090D52">
        <w:t>g</w:t>
      </w:r>
      <w:r>
        <w:t xml:space="preserve"> dieses Zwecks und der Verhältnismäßigkeit der Verarbeitung</w:t>
      </w:r>
      <w:r w:rsidR="008F696A">
        <w:t xml:space="preserve"> in </w:t>
      </w:r>
      <w:r w:rsidR="008F696A" w:rsidRPr="005F5895">
        <w:t>Bez</w:t>
      </w:r>
      <w:r w:rsidR="005F5895" w:rsidRPr="005F5895">
        <w:t>u</w:t>
      </w:r>
      <w:r w:rsidR="008F696A" w:rsidRPr="005F5895">
        <w:t>g</w:t>
      </w:r>
      <w:r w:rsidR="008F696A">
        <w:t xml:space="preserve"> auf die Beeinträchtigung der Grundrechte der von der Verarbeitung betroffenen Menschen. Dies gilt</w:t>
      </w:r>
      <w:r w:rsidR="00A424AE">
        <w:t xml:space="preserve"> selbstverständlich auch für die Pseudonymisierung bzw. Anonymisierung, </w:t>
      </w:r>
      <w:r w:rsidR="008F696A">
        <w:t xml:space="preserve">denn </w:t>
      </w:r>
      <w:r w:rsidR="00A424AE">
        <w:t xml:space="preserve">beides </w:t>
      </w:r>
      <w:r w:rsidR="008F696A">
        <w:t xml:space="preserve">stellt </w:t>
      </w:r>
      <w:r w:rsidR="00A424AE">
        <w:t xml:space="preserve">eine Verarbeitung im Sinne von </w:t>
      </w:r>
      <w:r w:rsidR="005F5895">
        <w:t>Art. </w:t>
      </w:r>
      <w:r w:rsidR="00A424AE">
        <w:t xml:space="preserve">4 </w:t>
      </w:r>
      <w:r w:rsidR="005F5895" w:rsidRPr="005F5895">
        <w:t>Ziff. </w:t>
      </w:r>
      <w:r w:rsidR="00A424AE">
        <w:t>2 DS-GVO dar.</w:t>
      </w:r>
    </w:p>
    <w:p w14:paraId="32B7402E" w14:textId="30591342" w:rsidR="003E58B6" w:rsidRDefault="00090D52" w:rsidP="003E58B6">
      <w:r>
        <w:t>Nach</w:t>
      </w:r>
      <w:r w:rsidR="003E58B6">
        <w:t xml:space="preserve"> dem Urteil des Gerichtshofs der Europäischen Union (EuGH) vom 21. Dezember 2023 ist für die Verarbeitung von Daten, welche </w:t>
      </w:r>
      <w:r>
        <w:t>unter</w:t>
      </w:r>
      <w:r w:rsidR="003E58B6">
        <w:t xml:space="preserve"> d</w:t>
      </w:r>
      <w:r>
        <w:t>i</w:t>
      </w:r>
      <w:r w:rsidR="003E58B6">
        <w:t xml:space="preserve">e in </w:t>
      </w:r>
      <w:r w:rsidR="005F5895">
        <w:t>Art. </w:t>
      </w:r>
      <w:r w:rsidR="003E58B6">
        <w:t xml:space="preserve">9 </w:t>
      </w:r>
      <w:r w:rsidR="005F5895">
        <w:t>Abs. </w:t>
      </w:r>
      <w:r w:rsidR="003E58B6">
        <w:t xml:space="preserve">1 DS-GVO genannten Kategorien </w:t>
      </w:r>
      <w:r>
        <w:t>fallen</w:t>
      </w:r>
      <w:r w:rsidR="003E58B6">
        <w:t xml:space="preserve">, ein Erlaubnistatbestand gem. </w:t>
      </w:r>
      <w:r w:rsidR="005F5895">
        <w:t>Art. </w:t>
      </w:r>
      <w:r w:rsidR="003E58B6">
        <w:t xml:space="preserve">9 </w:t>
      </w:r>
      <w:r w:rsidR="005F5895">
        <w:t>Abs. </w:t>
      </w:r>
      <w:r w:rsidR="003E58B6">
        <w:t>2 DS-GVO erforderlich</w:t>
      </w:r>
      <w:r w:rsidR="003B0D9E">
        <w:t xml:space="preserve">, zusätzlich muss </w:t>
      </w:r>
      <w:r>
        <w:t>aber</w:t>
      </w:r>
      <w:r w:rsidR="003B0D9E">
        <w:t xml:space="preserve"> </w:t>
      </w:r>
      <w:r w:rsidR="003E58B6">
        <w:t xml:space="preserve">mindestens eine der in </w:t>
      </w:r>
      <w:r w:rsidR="005F5895">
        <w:t>Art. </w:t>
      </w:r>
      <w:r w:rsidR="003E58B6">
        <w:t xml:space="preserve">6 </w:t>
      </w:r>
      <w:r w:rsidR="005F5895">
        <w:t>Abs. </w:t>
      </w:r>
      <w:r w:rsidR="003E58B6">
        <w:t xml:space="preserve">1 DS-GVO genannten </w:t>
      </w:r>
      <w:r w:rsidR="00624CC8">
        <w:t xml:space="preserve">Bedingungen für die Rechtmäßigkeit der </w:t>
      </w:r>
      <w:r w:rsidR="001D2C72">
        <w:t xml:space="preserve">Verarbeitung </w:t>
      </w:r>
      <w:r w:rsidR="002F4642">
        <w:t>(</w:t>
      </w:r>
      <w:r w:rsidR="00686317">
        <w:t xml:space="preserve">mit den Worten des EuGH: eine der </w:t>
      </w:r>
      <w:r w:rsidR="003E58B6">
        <w:t>Rechtmäßigkeitsvoraussetzungen</w:t>
      </w:r>
      <w:r w:rsidR="002F4642">
        <w:t>)</w:t>
      </w:r>
      <w:r w:rsidR="003E58B6">
        <w:t xml:space="preserve"> erfüllt sein.</w:t>
      </w:r>
    </w:p>
    <w:p w14:paraId="3B25E599" w14:textId="0BBD0901" w:rsidR="003E58B6" w:rsidRDefault="003E58B6" w:rsidP="003E58B6">
      <w:r>
        <w:t>Dies erg</w:t>
      </w:r>
      <w:r w:rsidR="00090D52">
        <w:t>i</w:t>
      </w:r>
      <w:r>
        <w:t>b</w:t>
      </w:r>
      <w:r w:rsidR="00090D52">
        <w:t>t</w:t>
      </w:r>
      <w:r>
        <w:t xml:space="preserve"> sich schon aus dem Wortlaut der DS-GVO: </w:t>
      </w:r>
      <w:r w:rsidR="005F5895">
        <w:t>Art. </w:t>
      </w:r>
      <w:r>
        <w:t xml:space="preserve">5 </w:t>
      </w:r>
      <w:r w:rsidR="005F5895">
        <w:t>Abs. </w:t>
      </w:r>
      <w:r>
        <w:t xml:space="preserve">1 </w:t>
      </w:r>
      <w:r w:rsidR="005F5895">
        <w:t>lit. </w:t>
      </w:r>
      <w:r>
        <w:t xml:space="preserve">a DS-GVO gibt unter anderem vor, dass personenbezogene Daten auf rechtmäßige Weise verarbeitet werden müssen. Nach </w:t>
      </w:r>
      <w:r w:rsidR="005F5895">
        <w:t>Art. </w:t>
      </w:r>
      <w:r>
        <w:t xml:space="preserve">6 </w:t>
      </w:r>
      <w:r w:rsidR="005F5895">
        <w:t>Abs. </w:t>
      </w:r>
      <w:r>
        <w:t>1 DS-GVO kann eine Verarbeitung personenbezogener Daten nur dann rechtmäßig erfolgen, wenn mindestens eine</w:t>
      </w:r>
      <w:r w:rsidR="00090D52">
        <w:t>r</w:t>
      </w:r>
      <w:r>
        <w:t xml:space="preserve"> der in </w:t>
      </w:r>
      <w:r w:rsidR="005F5895">
        <w:t>Art. </w:t>
      </w:r>
      <w:r>
        <w:t xml:space="preserve">6 </w:t>
      </w:r>
      <w:r w:rsidR="005F5895">
        <w:t>Abs. </w:t>
      </w:r>
      <w:r>
        <w:t xml:space="preserve">1 </w:t>
      </w:r>
      <w:r w:rsidR="005F5895">
        <w:t>lit. </w:t>
      </w:r>
      <w:r>
        <w:t>a-f DS-GVO genannten Tatbestände erfüllt wird.</w:t>
      </w:r>
    </w:p>
    <w:p w14:paraId="37E603F6" w14:textId="6CBA55A7" w:rsidR="003E58B6" w:rsidRDefault="003E58B6" w:rsidP="003E58B6">
      <w:r>
        <w:t>Insbesondere auch bei der Verarbeitung von genetischen</w:t>
      </w:r>
      <w:r w:rsidR="00090D52">
        <w:t xml:space="preserve"> Daten</w:t>
      </w:r>
      <w:r>
        <w:t xml:space="preserve"> und Gesundheitsdaten muss daher beachtet werden, dass </w:t>
      </w:r>
      <w:r w:rsidR="00090D52">
        <w:t>neben</w:t>
      </w:r>
      <w:r>
        <w:t xml:space="preserve"> den in </w:t>
      </w:r>
      <w:r w:rsidR="005F5895">
        <w:t>Art. </w:t>
      </w:r>
      <w:r>
        <w:t xml:space="preserve">9 </w:t>
      </w:r>
      <w:r w:rsidR="005F5895">
        <w:t>Abs. </w:t>
      </w:r>
      <w:r>
        <w:t xml:space="preserve">2 DS-GVO </w:t>
      </w:r>
      <w:r w:rsidR="00090D52">
        <w:t>bzw.</w:t>
      </w:r>
      <w:r>
        <w:t xml:space="preserve"> im nationalen Recht genannten Erlaubnis</w:t>
      </w:r>
      <w:r w:rsidR="00090D52">
        <w:t>tatbeständen</w:t>
      </w:r>
      <w:r>
        <w:t xml:space="preserve"> mindestens einer der in </w:t>
      </w:r>
      <w:r w:rsidR="005F5895">
        <w:t>Art. </w:t>
      </w:r>
      <w:r>
        <w:t xml:space="preserve">6 </w:t>
      </w:r>
      <w:r w:rsidR="005F5895">
        <w:t>Abs. </w:t>
      </w:r>
      <w:r>
        <w:t xml:space="preserve">1 DS-GVO genannten Rechtfertigungsgründe erfüllt </w:t>
      </w:r>
      <w:r w:rsidR="00090D52">
        <w:t>ist</w:t>
      </w:r>
      <w:r>
        <w:t>.</w:t>
      </w:r>
    </w:p>
    <w:p w14:paraId="0E32C4FE" w14:textId="159631AC" w:rsidR="003E58B6" w:rsidRDefault="003E58B6" w:rsidP="003E58B6">
      <w:r>
        <w:t xml:space="preserve">Entsprechend der Rechtsprechung des EuGH </w:t>
      </w:r>
      <w:r w:rsidR="00A424AE">
        <w:t xml:space="preserve">ist </w:t>
      </w:r>
      <w:r>
        <w:t xml:space="preserve">die Zuordnung eines Datums als „sensibles Datum“ im Sinne des </w:t>
      </w:r>
      <w:r w:rsidR="005F5895">
        <w:t>Art. </w:t>
      </w:r>
      <w:r>
        <w:t xml:space="preserve">9 </w:t>
      </w:r>
      <w:r w:rsidR="005F5895">
        <w:t>Abs. </w:t>
      </w:r>
      <w:r>
        <w:t xml:space="preserve">1 DS-GVO weit zu verstehen. Auch wenn ein Datum </w:t>
      </w:r>
      <w:r w:rsidR="00090D52">
        <w:t>für sich genommen</w:t>
      </w:r>
      <w:r>
        <w:t xml:space="preserve"> </w:t>
      </w:r>
      <w:r w:rsidR="00E458DB">
        <w:t xml:space="preserve">kein </w:t>
      </w:r>
      <w:r>
        <w:t xml:space="preserve">sensibles Datum darstellt, ist </w:t>
      </w:r>
      <w:r w:rsidR="00090D52">
        <w:t>nach der Rechtsprechung</w:t>
      </w:r>
      <w:r>
        <w:t xml:space="preserve"> des EuGH zu prüfen, ob „mittels gedanklicher Kombination oder Ableitung“ auf </w:t>
      </w:r>
      <w:r w:rsidR="00090D52">
        <w:t xml:space="preserve">die </w:t>
      </w:r>
      <w:r>
        <w:t xml:space="preserve">in </w:t>
      </w:r>
      <w:r w:rsidR="005F5895">
        <w:t>Art. </w:t>
      </w:r>
      <w:r>
        <w:t xml:space="preserve">9 </w:t>
      </w:r>
      <w:r w:rsidR="005F5895">
        <w:t>Abs. </w:t>
      </w:r>
      <w:r>
        <w:t xml:space="preserve">1 DS-GVO genannte Datenkategorien geschlossen werden kann. </w:t>
      </w:r>
      <w:r w:rsidR="00090D52">
        <w:t>Ist dies der Fall</w:t>
      </w:r>
      <w:r>
        <w:t xml:space="preserve">, sind entsprechende Daten auch als sensible Daten im Sinne des </w:t>
      </w:r>
      <w:r w:rsidR="005F5895">
        <w:t>Art. </w:t>
      </w:r>
      <w:r>
        <w:t xml:space="preserve">9 </w:t>
      </w:r>
      <w:r w:rsidR="005F5895">
        <w:t>Abs. </w:t>
      </w:r>
      <w:r>
        <w:t xml:space="preserve">1 DS-GVO anzusehen. Weiterhin </w:t>
      </w:r>
      <w:r w:rsidR="00090D52">
        <w:t>entschied</w:t>
      </w:r>
      <w:r>
        <w:t xml:space="preserve"> der EuGH, dass ein Datensatz, der sowohl sensible als auch nicht sensible Daten enthält, insgesamt als sensibles Datum im Sinne des </w:t>
      </w:r>
      <w:r w:rsidR="005F5895">
        <w:t>Art. </w:t>
      </w:r>
      <w:r>
        <w:t xml:space="preserve">9 </w:t>
      </w:r>
      <w:r w:rsidR="005F5895">
        <w:t>Abs. </w:t>
      </w:r>
      <w:r>
        <w:t>1 DS-GVO anzusehen ist.</w:t>
      </w:r>
    </w:p>
    <w:p w14:paraId="4CBC08D5" w14:textId="5E240689" w:rsidR="003E58B6" w:rsidRDefault="003E58B6" w:rsidP="003E58B6">
      <w:r>
        <w:t xml:space="preserve">Im </w:t>
      </w:r>
      <w:r w:rsidR="00090D52">
        <w:t>Zusammenhang</w:t>
      </w:r>
      <w:r>
        <w:t xml:space="preserve"> </w:t>
      </w:r>
      <w:r w:rsidR="00090D52">
        <w:t xml:space="preserve">mit </w:t>
      </w:r>
      <w:r>
        <w:t xml:space="preserve">der Behandlung von Patienten ist </w:t>
      </w:r>
      <w:r w:rsidR="005F5895">
        <w:t>Art. </w:t>
      </w:r>
      <w:r>
        <w:t xml:space="preserve">9 </w:t>
      </w:r>
      <w:r w:rsidR="005F5895">
        <w:t>Abs. </w:t>
      </w:r>
      <w:r>
        <w:t xml:space="preserve">2 </w:t>
      </w:r>
      <w:r w:rsidR="005F5895">
        <w:t>lit. </w:t>
      </w:r>
      <w:r>
        <w:t xml:space="preserve">h DS-GVO i. V. m. </w:t>
      </w:r>
      <w:r w:rsidR="005F5895">
        <w:t>Art. </w:t>
      </w:r>
      <w:r>
        <w:t xml:space="preserve">6 </w:t>
      </w:r>
      <w:r w:rsidR="005F5895">
        <w:t>Abs. </w:t>
      </w:r>
      <w:r>
        <w:t xml:space="preserve">1 </w:t>
      </w:r>
      <w:r w:rsidR="005F5895">
        <w:t>lit. </w:t>
      </w:r>
      <w:r>
        <w:t xml:space="preserve">b DS-GVO </w:t>
      </w:r>
      <w:r w:rsidR="00090D52">
        <w:t>anwendbar</w:t>
      </w:r>
      <w:r>
        <w:t xml:space="preserve">: </w:t>
      </w:r>
      <w:r w:rsidR="00090D52">
        <w:t xml:space="preserve">Die </w:t>
      </w:r>
      <w:r>
        <w:t xml:space="preserve">Verarbeitung </w:t>
      </w:r>
      <w:r w:rsidR="00090D52">
        <w:t xml:space="preserve">ist </w:t>
      </w:r>
      <w:r>
        <w:t>erforderlich zur Vertragserfüllung, genauer des Behandlungsvertrages.</w:t>
      </w:r>
    </w:p>
    <w:p w14:paraId="64ABB4EF" w14:textId="35335154" w:rsidR="003E58B6" w:rsidRDefault="003E58B6" w:rsidP="003E58B6">
      <w:r>
        <w:t xml:space="preserve">Außerhalb der Patientenbehandlung wird es schwieriger: </w:t>
      </w:r>
      <w:r w:rsidR="00090D52">
        <w:t>Liegt keine</w:t>
      </w:r>
      <w:r>
        <w:t xml:space="preserve"> Einwilligung </w:t>
      </w:r>
      <w:r w:rsidR="00090D52">
        <w:t xml:space="preserve">vor, so </w:t>
      </w:r>
      <w:r>
        <w:t xml:space="preserve">muss häufig ein überwiegendes öffentliches Interesse an der Verarbeitung der Patientendaten nachgewiesen werden. Ist dies nicht möglich, </w:t>
      </w:r>
      <w:r w:rsidR="00090D52">
        <w:t>ist</w:t>
      </w:r>
      <w:r>
        <w:t xml:space="preserve"> in der Regel eine </w:t>
      </w:r>
      <w:r w:rsidR="00303763">
        <w:t xml:space="preserve">Interessenabwägung </w:t>
      </w:r>
      <w:r>
        <w:t xml:space="preserve">nach </w:t>
      </w:r>
      <w:r w:rsidR="005F5895">
        <w:t>Art. </w:t>
      </w:r>
      <w:r>
        <w:t xml:space="preserve">6 </w:t>
      </w:r>
      <w:r w:rsidR="005F5895">
        <w:t>Abs. </w:t>
      </w:r>
      <w:r>
        <w:t xml:space="preserve">1 </w:t>
      </w:r>
      <w:r w:rsidR="005F5895">
        <w:t>lit. </w:t>
      </w:r>
      <w:r>
        <w:t xml:space="preserve">f DS-GVO erforderlich – </w:t>
      </w:r>
      <w:r w:rsidR="00090D52">
        <w:t>einschließlich</w:t>
      </w:r>
      <w:r>
        <w:t xml:space="preserve"> des Nachweises</w:t>
      </w:r>
      <w:r w:rsidR="003B0D9E">
        <w:t>, dass</w:t>
      </w:r>
      <w:r>
        <w:t xml:space="preserve"> d</w:t>
      </w:r>
      <w:r w:rsidR="003B0D9E">
        <w:t xml:space="preserve">as </w:t>
      </w:r>
      <w:r>
        <w:t xml:space="preserve">Interesse der Patienten </w:t>
      </w:r>
      <w:r w:rsidR="003B0D9E">
        <w:t>an der Nicht-Verarbeitung ihrer sensiblen Daten d</w:t>
      </w:r>
      <w:r w:rsidR="00090D52">
        <w:t>as</w:t>
      </w:r>
      <w:r>
        <w:t xml:space="preserve"> berechtigte Interesse des Verantwortlichen an der jeweiligen Verarbeitung</w:t>
      </w:r>
      <w:r w:rsidR="003B0D9E">
        <w:t xml:space="preserve"> nicht überwiegt</w:t>
      </w:r>
      <w:r>
        <w:t xml:space="preserve">. </w:t>
      </w:r>
    </w:p>
    <w:p w14:paraId="43B9D2D2" w14:textId="38DB60C1" w:rsidR="003B0D9E" w:rsidRDefault="003E58B6" w:rsidP="003E58B6">
      <w:r>
        <w:t xml:space="preserve">Dies </w:t>
      </w:r>
      <w:r w:rsidR="00090D52">
        <w:t>gilt</w:t>
      </w:r>
      <w:r>
        <w:t xml:space="preserve"> auch </w:t>
      </w:r>
      <w:r w:rsidR="00090D52">
        <w:t xml:space="preserve">für </w:t>
      </w:r>
      <w:r>
        <w:t xml:space="preserve">Forschungsprojekte. </w:t>
      </w:r>
      <w:r w:rsidR="00090D52">
        <w:t>Der bisherige alleinige Verweis</w:t>
      </w:r>
      <w:r>
        <w:t xml:space="preserve"> auf nationale Regelungen, wie sie beispielsweise in </w:t>
      </w:r>
      <w:r w:rsidR="00090D52">
        <w:t xml:space="preserve">den </w:t>
      </w:r>
      <w:r>
        <w:t xml:space="preserve">Landeskrankenhausgesetzen </w:t>
      </w:r>
      <w:r w:rsidR="00090D52">
        <w:t xml:space="preserve">zu </w:t>
      </w:r>
      <w:r>
        <w:t>finde</w:t>
      </w:r>
      <w:r w:rsidR="00090D52">
        <w:t>n sind</w:t>
      </w:r>
      <w:r>
        <w:t xml:space="preserve">, </w:t>
      </w:r>
      <w:r w:rsidR="00090D52">
        <w:t xml:space="preserve">reicht </w:t>
      </w:r>
      <w:r>
        <w:t xml:space="preserve">nicht </w:t>
      </w:r>
      <w:r w:rsidR="00090D52">
        <w:t xml:space="preserve">mehr </w:t>
      </w:r>
      <w:r>
        <w:t xml:space="preserve">aus. Die DS-GVO verlangt </w:t>
      </w:r>
      <w:r w:rsidR="00090D52">
        <w:t>für</w:t>
      </w:r>
      <w:r>
        <w:t xml:space="preserve"> jede Verarbeitung, somit auch </w:t>
      </w:r>
      <w:r w:rsidR="00090D52">
        <w:t>für die Verarbeitung in</w:t>
      </w:r>
      <w:r>
        <w:t xml:space="preserve"> Forschungsprojekten, </w:t>
      </w:r>
      <w:r w:rsidR="00090D52" w:rsidRPr="00090D52">
        <w:t xml:space="preserve">das </w:t>
      </w:r>
      <w:r w:rsidR="00624CC8">
        <w:t>Erfüllen</w:t>
      </w:r>
      <w:r>
        <w:t xml:space="preserve"> von mindestens einen der in </w:t>
      </w:r>
      <w:r w:rsidR="005F5895">
        <w:t>Art. </w:t>
      </w:r>
      <w:r>
        <w:t xml:space="preserve">6 </w:t>
      </w:r>
      <w:r w:rsidR="005F5895">
        <w:t>Abs. </w:t>
      </w:r>
      <w:r>
        <w:t>1 DS-GVO aufgeführten Rechtfertigungsgründe.</w:t>
      </w:r>
    </w:p>
    <w:p w14:paraId="0C8F121B" w14:textId="1098E492" w:rsidR="00AE4EA7" w:rsidRDefault="00A424AE" w:rsidP="00C20724">
      <w:pPr>
        <w:pStyle w:val="berschrift1"/>
      </w:pPr>
      <w:bookmarkStart w:id="60" w:name="_Toc162084737"/>
      <w:bookmarkStart w:id="61" w:name="_Toc169934783"/>
      <w:r>
        <w:t>Einleitung</w:t>
      </w:r>
      <w:bookmarkEnd w:id="60"/>
      <w:bookmarkEnd w:id="61"/>
    </w:p>
    <w:p w14:paraId="24C41E0D" w14:textId="0706904F" w:rsidR="00687085" w:rsidRDefault="00687085" w:rsidP="00687085">
      <w:r>
        <w:t xml:space="preserve">Die Frage nach der </w:t>
      </w:r>
      <w:r w:rsidR="00624CC8">
        <w:t>erforderlichen</w:t>
      </w:r>
      <w:r>
        <w:t xml:space="preserve"> Rechtsgrundlage für die Verarbeitung personenbezogener Daten ergibt sich schon aus grundrechtlicher und damit verfassungsrechtlicher Sicht.</w:t>
      </w:r>
      <w:r>
        <w:rPr>
          <w:rStyle w:val="Funotenzeichen"/>
        </w:rPr>
        <w:footnoteReference w:id="1"/>
      </w:r>
      <w:r>
        <w:t xml:space="preserve"> Jede Verarbeitung personenbezogener Daten muss sich grundsätzlich am Grundsatz der Verhältnismäßigkeit</w:t>
      </w:r>
      <w:r w:rsidR="00090D52" w:rsidRPr="00090D52">
        <w:t xml:space="preserve"> </w:t>
      </w:r>
      <w:r w:rsidR="00090D52">
        <w:t>messen lassen</w:t>
      </w:r>
      <w:r>
        <w:t>, d. h. an der Verfolgung eines legitimen Zwecks, der Eignung der Verarbeitung zu</w:t>
      </w:r>
      <w:r w:rsidR="00090D52">
        <w:t>r</w:t>
      </w:r>
      <w:r>
        <w:t xml:space="preserve"> Erreich</w:t>
      </w:r>
      <w:r w:rsidR="00090D52">
        <w:t>u</w:t>
      </w:r>
      <w:r>
        <w:t>n</w:t>
      </w:r>
      <w:r w:rsidR="00090D52">
        <w:t>g</w:t>
      </w:r>
      <w:r>
        <w:t xml:space="preserve"> dieses Zwecks und der Verhältnismäßigkeit der Verarbeitung.</w:t>
      </w:r>
    </w:p>
    <w:p w14:paraId="12C1963E" w14:textId="500C7DA8" w:rsidR="00687085" w:rsidRDefault="00687085" w:rsidP="00687085">
      <w:bookmarkStart w:id="62" w:name="_Hlk156288466"/>
      <w:r>
        <w:t xml:space="preserve">Entsprechend dem Urteil </w:t>
      </w:r>
      <w:r w:rsidRPr="00CD1BC8">
        <w:t>des Gerichtshofs</w:t>
      </w:r>
      <w:r w:rsidRPr="00457126">
        <w:t xml:space="preserve"> der Europäischen Union </w:t>
      </w:r>
      <w:r>
        <w:t>(EuGH) vom 21. Dezember 2023</w:t>
      </w:r>
      <w:bookmarkStart w:id="63" w:name="_Ref154897773"/>
      <w:r>
        <w:rPr>
          <w:rStyle w:val="Funotenzeichen"/>
        </w:rPr>
        <w:footnoteReference w:id="2"/>
      </w:r>
      <w:bookmarkEnd w:id="63"/>
      <w:r>
        <w:t xml:space="preserve"> ist für die Verarbeitung von Daten, welche zu den in </w:t>
      </w:r>
      <w:r w:rsidR="005F5895">
        <w:t>Art. </w:t>
      </w:r>
      <w:r>
        <w:t xml:space="preserve">9 </w:t>
      </w:r>
      <w:r w:rsidR="005F5895">
        <w:t>Abs. </w:t>
      </w:r>
      <w:r>
        <w:t xml:space="preserve">1 DS-GVO genannten Kategorien zählen, sowohl ein Erlaubnistatbestand gem. </w:t>
      </w:r>
      <w:r w:rsidR="005F5895">
        <w:t>Art. </w:t>
      </w:r>
      <w:r>
        <w:t xml:space="preserve">9 </w:t>
      </w:r>
      <w:r w:rsidR="005F5895">
        <w:t>Abs. </w:t>
      </w:r>
      <w:r>
        <w:t>2 DS-GVO erforderlich, ergänzend</w:t>
      </w:r>
      <w:r w:rsidRPr="00D52A0B">
        <w:t xml:space="preserve"> </w:t>
      </w:r>
      <w:r>
        <w:t xml:space="preserve">muss jedoch mindestens einer der </w:t>
      </w:r>
      <w:r w:rsidRPr="00463704">
        <w:t xml:space="preserve">in </w:t>
      </w:r>
      <w:r w:rsidR="005F5895">
        <w:t>Art. </w:t>
      </w:r>
      <w:r w:rsidRPr="00463704">
        <w:t xml:space="preserve">6 </w:t>
      </w:r>
      <w:r w:rsidR="005F5895">
        <w:t>Abs. </w:t>
      </w:r>
      <w:r w:rsidRPr="00463704">
        <w:t xml:space="preserve">1 </w:t>
      </w:r>
      <w:r>
        <w:t xml:space="preserve">DS-GVO </w:t>
      </w:r>
      <w:r w:rsidRPr="00463704">
        <w:t>genannten Rechtmäßigkeitsvoraussetzungen erfüllt</w:t>
      </w:r>
      <w:r>
        <w:t xml:space="preserve"> sein. Dies erg</w:t>
      </w:r>
      <w:r w:rsidR="00090D52">
        <w:t>i</w:t>
      </w:r>
      <w:r>
        <w:t>b</w:t>
      </w:r>
      <w:r w:rsidR="00090D52">
        <w:t>t</w:t>
      </w:r>
      <w:r>
        <w:t xml:space="preserve"> sich </w:t>
      </w:r>
      <w:r w:rsidR="00090D52">
        <w:t>bereits</w:t>
      </w:r>
      <w:r>
        <w:t xml:space="preserve"> aus dem Wortlaut der DS-GVO: </w:t>
      </w:r>
      <w:r w:rsidR="005F5895">
        <w:t>Art. </w:t>
      </w:r>
      <w:r>
        <w:t xml:space="preserve">5 </w:t>
      </w:r>
      <w:r w:rsidR="005F5895">
        <w:t>Abs. </w:t>
      </w:r>
      <w:r>
        <w:t xml:space="preserve">1 </w:t>
      </w:r>
      <w:r w:rsidR="005F5895">
        <w:t>lit. </w:t>
      </w:r>
      <w:r>
        <w:t xml:space="preserve">a DS-GVO </w:t>
      </w:r>
      <w:r w:rsidR="00090D52" w:rsidRPr="005F5895">
        <w:t>verlan</w:t>
      </w:r>
      <w:r w:rsidR="005F5895" w:rsidRPr="005F5895">
        <w:t>g</w:t>
      </w:r>
      <w:r w:rsidR="00090D52" w:rsidRPr="005F5895">
        <w:t>t</w:t>
      </w:r>
      <w:r>
        <w:t xml:space="preserve"> u. a., dass personenbezogene Daten auf rechtmäßige Weise verarbeitet werden müssen. Nach </w:t>
      </w:r>
      <w:r w:rsidR="005F5895">
        <w:t>Art. </w:t>
      </w:r>
      <w:r>
        <w:t xml:space="preserve">6 </w:t>
      </w:r>
      <w:r w:rsidR="005F5895">
        <w:t>Abs. </w:t>
      </w:r>
      <w:r>
        <w:t xml:space="preserve">1 DS-GVO kann eine Verarbeitung personenbezogener Daten nur dann rechtmäßig erfolgen, wenn mindestens eine der in </w:t>
      </w:r>
      <w:r w:rsidR="005F5895">
        <w:t>Art. </w:t>
      </w:r>
      <w:r>
        <w:t xml:space="preserve">6 </w:t>
      </w:r>
      <w:r w:rsidR="005F5895">
        <w:t>Abs. </w:t>
      </w:r>
      <w:r>
        <w:t xml:space="preserve">1 </w:t>
      </w:r>
      <w:r w:rsidR="005F5895">
        <w:t>lit. </w:t>
      </w:r>
      <w:r>
        <w:t xml:space="preserve">a-f DS-GVO genannten </w:t>
      </w:r>
      <w:r w:rsidR="00090D52">
        <w:t>Voraussetzungen</w:t>
      </w:r>
      <w:r>
        <w:t xml:space="preserve"> erfüllt ist.</w:t>
      </w:r>
    </w:p>
    <w:bookmarkEnd w:id="62"/>
    <w:p w14:paraId="27AD80DF" w14:textId="4AB0A417" w:rsidR="00687085" w:rsidRDefault="00687085" w:rsidP="00687085">
      <w:r>
        <w:t xml:space="preserve">Der EuGH konnte letztlich nicht anders entscheiden. </w:t>
      </w:r>
      <w:r w:rsidR="00624CC8">
        <w:t>Dennoch</w:t>
      </w:r>
      <w:r>
        <w:t xml:space="preserve"> wurde diese </w:t>
      </w:r>
      <w:r w:rsidR="00090D52">
        <w:t>Vorgabe der DS-GVO</w:t>
      </w:r>
      <w:r>
        <w:t xml:space="preserve"> auch in Deutschland </w:t>
      </w:r>
      <w:r w:rsidR="00090D52">
        <w:t>vielfach</w:t>
      </w:r>
      <w:r>
        <w:t xml:space="preserve"> ignoriert und hinsichtlich der </w:t>
      </w:r>
      <w:r w:rsidR="00090D52">
        <w:t>Zulässigkeit</w:t>
      </w:r>
      <w:r>
        <w:t xml:space="preserve"> der Verarbeitung genetische</w:t>
      </w:r>
      <w:r w:rsidR="00624CC8">
        <w:t>r</w:t>
      </w:r>
      <w:r>
        <w:t xml:space="preserve"> und Gesundheitsdaten nur auf nationale Erlaubnistatbestände </w:t>
      </w:r>
      <w:r w:rsidR="00624CC8">
        <w:t>abgestellt</w:t>
      </w:r>
      <w:r>
        <w:t xml:space="preserve"> – bestenfalls wurden noch die Vorgaben </w:t>
      </w:r>
      <w:r w:rsidR="00090D52">
        <w:t>des</w:t>
      </w:r>
      <w:r>
        <w:t xml:space="preserve"> </w:t>
      </w:r>
      <w:r w:rsidR="005F5895">
        <w:t>Art. </w:t>
      </w:r>
      <w:r>
        <w:t xml:space="preserve">9 DS-GVO </w:t>
      </w:r>
      <w:r w:rsidR="00090D52">
        <w:t>berücksichtigt</w:t>
      </w:r>
      <w:r>
        <w:t>. Jetzt ist klar, dass dieses Vorgehen nicht ausreich</w:t>
      </w:r>
      <w:r w:rsidR="00624CC8">
        <w:t>t</w:t>
      </w:r>
      <w:r>
        <w:t xml:space="preserve"> und seit dem Wirkeintritt der DS-GVO auch nie </w:t>
      </w:r>
      <w:r w:rsidR="00624CC8" w:rsidRPr="00624CC8">
        <w:t xml:space="preserve">ausreichend </w:t>
      </w:r>
      <w:r>
        <w:t>war.</w:t>
      </w:r>
    </w:p>
    <w:p w14:paraId="4635B544" w14:textId="107C9900" w:rsidR="00687085" w:rsidRDefault="00687085" w:rsidP="00687085">
      <w:bookmarkStart w:id="64" w:name="_Hlk156288541"/>
      <w:r>
        <w:t xml:space="preserve">Bei der Verarbeitung von in </w:t>
      </w:r>
      <w:r w:rsidR="005F5895">
        <w:t>Art. </w:t>
      </w:r>
      <w:r>
        <w:t xml:space="preserve">9 </w:t>
      </w:r>
      <w:r w:rsidR="005F5895">
        <w:t>Abs. </w:t>
      </w:r>
      <w:r>
        <w:t xml:space="preserve">1 DS-GVO genannten Kategorien von Daten, zu denen auch genetische und Gesundheitsdaten gehören, muss beachtet werden, dass zusätzlich zu den in </w:t>
      </w:r>
      <w:r w:rsidR="005F5895">
        <w:t>Art. </w:t>
      </w:r>
      <w:r>
        <w:t xml:space="preserve">9 </w:t>
      </w:r>
      <w:r w:rsidR="005F5895">
        <w:t>Abs. </w:t>
      </w:r>
      <w:r>
        <w:t xml:space="preserve">2 DS-GVO </w:t>
      </w:r>
      <w:r w:rsidR="00090D52">
        <w:t>bzw.</w:t>
      </w:r>
      <w:r>
        <w:t xml:space="preserve"> im nationalen Recht, welches auf </w:t>
      </w:r>
      <w:r w:rsidR="005F5895">
        <w:t>Art. </w:t>
      </w:r>
      <w:r>
        <w:t xml:space="preserve">9 </w:t>
      </w:r>
      <w:r w:rsidR="005F5895">
        <w:t>Abs. </w:t>
      </w:r>
      <w:r>
        <w:t xml:space="preserve">4 DS-GVO i. V. m. </w:t>
      </w:r>
      <w:r w:rsidR="005F5895">
        <w:t>Art. </w:t>
      </w:r>
      <w:r>
        <w:t xml:space="preserve">6 </w:t>
      </w:r>
      <w:r w:rsidR="005F5895">
        <w:t>Abs. </w:t>
      </w:r>
      <w:r>
        <w:t xml:space="preserve">2, 3 DS-GVO und </w:t>
      </w:r>
      <w:r w:rsidR="00090D52">
        <w:t>den sich</w:t>
      </w:r>
      <w:r>
        <w:t xml:space="preserve"> daraus </w:t>
      </w:r>
      <w:r w:rsidR="00090D52">
        <w:t>ergebenden</w:t>
      </w:r>
      <w:r>
        <w:t xml:space="preserve"> Vorgaben </w:t>
      </w:r>
      <w:r w:rsidR="00090D52">
        <w:t>beruhen</w:t>
      </w:r>
      <w:r>
        <w:t xml:space="preserve"> muss, genannten Tatbestände mindestens einer der in </w:t>
      </w:r>
      <w:r w:rsidR="005F5895">
        <w:t>Art. </w:t>
      </w:r>
      <w:r>
        <w:t xml:space="preserve">6 </w:t>
      </w:r>
      <w:r w:rsidR="005F5895">
        <w:t>Abs. </w:t>
      </w:r>
      <w:r>
        <w:t>1 DS-GVO genannten Anforderungen erfüllt wird.</w:t>
      </w:r>
    </w:p>
    <w:p w14:paraId="177C5322" w14:textId="5AAAACB1" w:rsidR="009C254F" w:rsidRDefault="009C254F" w:rsidP="009C254F">
      <w:pPr>
        <w:spacing w:after="0"/>
      </w:pPr>
      <w:r>
        <w:t xml:space="preserve">Das Urteil des </w:t>
      </w:r>
      <w:r w:rsidRPr="00457126">
        <w:t>EuGH vom 21. Dezember 2023</w:t>
      </w:r>
      <w:r>
        <w:t xml:space="preserve"> i</w:t>
      </w:r>
      <w:r w:rsidRPr="00457126">
        <w:t>n der Rechtssache C</w:t>
      </w:r>
      <w:r w:rsidRPr="00457126">
        <w:rPr>
          <w:rFonts w:ascii="Cambria Math" w:hAnsi="Cambria Math" w:cs="Cambria Math"/>
        </w:rPr>
        <w:t>‑</w:t>
      </w:r>
      <w:r w:rsidRPr="00457126">
        <w:t>667/21</w:t>
      </w:r>
      <w:r>
        <w:t xml:space="preserve"> bedeutet insbesondere auch in organisatorischer Hinsicht Anpassungsbedarf bei der Verarbeitung der in </w:t>
      </w:r>
      <w:r w:rsidR="005F5895">
        <w:t>Art. </w:t>
      </w:r>
      <w:r>
        <w:t xml:space="preserve">9 </w:t>
      </w:r>
      <w:r w:rsidR="005F5895">
        <w:t>Abs. </w:t>
      </w:r>
      <w:r>
        <w:t xml:space="preserve">1 DS-GVO genannten </w:t>
      </w:r>
      <w:r w:rsidR="00090D52">
        <w:t>besonderen</w:t>
      </w:r>
      <w:r>
        <w:t xml:space="preserve"> Datenkategorien. </w:t>
      </w:r>
      <w:r w:rsidR="00090D52">
        <w:t>Beispielsweise</w:t>
      </w:r>
      <w:r>
        <w:t xml:space="preserve"> müssen </w:t>
      </w:r>
      <w:r w:rsidRPr="005F5895">
        <w:t>Verantwortliche</w:t>
      </w:r>
      <w:r w:rsidR="00F93265">
        <w:t>:</w:t>
      </w:r>
    </w:p>
    <w:p w14:paraId="34E6D015" w14:textId="22988788" w:rsidR="009C254F" w:rsidRDefault="009C254F" w:rsidP="009C254F">
      <w:pPr>
        <w:pStyle w:val="Listenabsatz"/>
        <w:numPr>
          <w:ilvl w:val="0"/>
          <w:numId w:val="18"/>
        </w:numPr>
        <w:suppressAutoHyphens w:val="0"/>
        <w:spacing w:after="160" w:line="259" w:lineRule="auto"/>
      </w:pPr>
      <w:r>
        <w:t xml:space="preserve">Die Rechtsgrundlagen </w:t>
      </w:r>
      <w:r w:rsidR="00E458DB">
        <w:t>sind zu</w:t>
      </w:r>
      <w:r>
        <w:t xml:space="preserve"> </w:t>
      </w:r>
      <w:r w:rsidR="00E458DB">
        <w:t xml:space="preserve">überprüfen und zu </w:t>
      </w:r>
      <w:r>
        <w:t>überarbeite</w:t>
      </w:r>
      <w:r w:rsidR="00E458DB">
        <w:t>n</w:t>
      </w:r>
      <w:r>
        <w:t>.</w:t>
      </w:r>
    </w:p>
    <w:p w14:paraId="15C97C40" w14:textId="59276576" w:rsidR="009C254F" w:rsidRDefault="009C254F" w:rsidP="009C254F">
      <w:pPr>
        <w:pStyle w:val="Listenabsatz"/>
        <w:numPr>
          <w:ilvl w:val="0"/>
          <w:numId w:val="18"/>
        </w:numPr>
        <w:suppressAutoHyphens w:val="0"/>
        <w:spacing w:after="160" w:line="259" w:lineRule="auto"/>
      </w:pPr>
      <w:r>
        <w:t xml:space="preserve">Informations- und Auskunftspflichten sind anzupassen. </w:t>
      </w:r>
      <w:r w:rsidR="00090D52">
        <w:t>B</w:t>
      </w:r>
      <w:r>
        <w:t xml:space="preserve">etroffene Personen </w:t>
      </w:r>
      <w:r w:rsidR="00090D52">
        <w:t xml:space="preserve">müssen ggf. über </w:t>
      </w:r>
      <w:r>
        <w:t xml:space="preserve">geänderte Rahmenbedingungen informiert werden, </w:t>
      </w:r>
      <w:r w:rsidR="00090D52">
        <w:t>z. B.</w:t>
      </w:r>
      <w:r>
        <w:t xml:space="preserve">, weil </w:t>
      </w:r>
      <w:r w:rsidR="00090D52">
        <w:t>ihnen nun</w:t>
      </w:r>
      <w:r>
        <w:t xml:space="preserve"> </w:t>
      </w:r>
      <w:r w:rsidR="00090D52">
        <w:t>gemäß</w:t>
      </w:r>
      <w:r>
        <w:t xml:space="preserve"> </w:t>
      </w:r>
      <w:r w:rsidR="005F5895">
        <w:t>Art. </w:t>
      </w:r>
      <w:r>
        <w:t xml:space="preserve">13 </w:t>
      </w:r>
      <w:r w:rsidR="005F5895">
        <w:t>Abs. </w:t>
      </w:r>
      <w:r>
        <w:t xml:space="preserve">1 </w:t>
      </w:r>
      <w:r w:rsidR="005F5895">
        <w:t>lit. </w:t>
      </w:r>
      <w:r>
        <w:t xml:space="preserve">d bzw. </w:t>
      </w:r>
      <w:r w:rsidR="005F5895">
        <w:t>Art. </w:t>
      </w:r>
      <w:r>
        <w:t xml:space="preserve">14 </w:t>
      </w:r>
      <w:r w:rsidR="005F5895">
        <w:t>Abs. </w:t>
      </w:r>
      <w:r>
        <w:t xml:space="preserve">2 </w:t>
      </w:r>
      <w:r w:rsidR="005F5895">
        <w:t>lit. </w:t>
      </w:r>
      <w:r>
        <w:t xml:space="preserve">b DS-GVO die berechtigten Interessen </w:t>
      </w:r>
      <w:r w:rsidR="00562420">
        <w:t xml:space="preserve">des Verantwortlichen </w:t>
      </w:r>
      <w:r>
        <w:t>mitgeteilt werden müssen.</w:t>
      </w:r>
    </w:p>
    <w:p w14:paraId="6DB0716F" w14:textId="0C9B0892" w:rsidR="009C254F" w:rsidRDefault="009C254F" w:rsidP="009C254F">
      <w:pPr>
        <w:pStyle w:val="Listenabsatz"/>
        <w:numPr>
          <w:ilvl w:val="0"/>
          <w:numId w:val="18"/>
        </w:numPr>
        <w:suppressAutoHyphens w:val="0"/>
        <w:spacing w:after="160" w:line="259" w:lineRule="auto"/>
      </w:pPr>
      <w:r>
        <w:t>Dokumentation</w:t>
      </w:r>
      <w:r w:rsidR="00090D52">
        <w:t>en</w:t>
      </w:r>
      <w:r>
        <w:t xml:space="preserve"> wie beispielsweise das Verzeichnis der Verarbeitungstätigkeiten müssen angepasst werden.</w:t>
      </w:r>
    </w:p>
    <w:p w14:paraId="24FCB124" w14:textId="28472251" w:rsidR="009C254F" w:rsidRDefault="009C254F" w:rsidP="009C254F">
      <w:pPr>
        <w:pStyle w:val="Listenabsatz"/>
        <w:numPr>
          <w:ilvl w:val="0"/>
          <w:numId w:val="18"/>
        </w:numPr>
        <w:suppressAutoHyphens w:val="0"/>
        <w:spacing w:after="0" w:line="259" w:lineRule="auto"/>
        <w:ind w:left="714" w:hanging="357"/>
      </w:pPr>
      <w:r>
        <w:t xml:space="preserve">Ggf. müssen auch Prozesse überarbeitet werden, wenn beispielsweise </w:t>
      </w:r>
      <w:r w:rsidR="00090D52">
        <w:t>be</w:t>
      </w:r>
      <w:r>
        <w:t xml:space="preserve">im Risikomanagement auch die Bewertung einer </w:t>
      </w:r>
      <w:r w:rsidR="00303763">
        <w:t xml:space="preserve">Interessenabwägung </w:t>
      </w:r>
      <w:r>
        <w:t>be</w:t>
      </w:r>
      <w:r w:rsidR="00090D52">
        <w:t>rücksichtigt</w:t>
      </w:r>
      <w:r>
        <w:t xml:space="preserve"> werden muss.</w:t>
      </w:r>
    </w:p>
    <w:bookmarkEnd w:id="64"/>
    <w:p w14:paraId="29B901FE" w14:textId="77777777" w:rsidR="00090D52" w:rsidRDefault="00090D52" w:rsidP="00687085"/>
    <w:p w14:paraId="1577CBC5" w14:textId="32C14005" w:rsidR="00687085" w:rsidRDefault="00687085" w:rsidP="00687085">
      <w:r>
        <w:t xml:space="preserve">Im Folgenden </w:t>
      </w:r>
      <w:r w:rsidR="00090D52">
        <w:t>wird betrachtet</w:t>
      </w:r>
      <w:r>
        <w:t xml:space="preserve">, welche der in </w:t>
      </w:r>
      <w:r w:rsidR="005F5895">
        <w:t>Art. </w:t>
      </w:r>
      <w:r>
        <w:t xml:space="preserve">9 und </w:t>
      </w:r>
      <w:r w:rsidR="005F5895">
        <w:t>Art. </w:t>
      </w:r>
      <w:r>
        <w:t xml:space="preserve">6 DS-GVO genannten Rechtfertigungsgründe für </w:t>
      </w:r>
      <w:r w:rsidR="00624CC8">
        <w:t>die</w:t>
      </w:r>
      <w:r>
        <w:t xml:space="preserve"> Verarbeitung personenbezogener Daten miteinander in Beziehung ge</w:t>
      </w:r>
      <w:r w:rsidR="00090D52">
        <w:t>setzt</w:t>
      </w:r>
      <w:r>
        <w:t xml:space="preserve"> werden könnten</w:t>
      </w:r>
      <w:r w:rsidR="009C254F">
        <w:t>, gleichermaßen werden ausgewählte Regelungen aus Deutschland betrachtet</w:t>
      </w:r>
      <w:r>
        <w:t xml:space="preserve">. </w:t>
      </w:r>
      <w:r w:rsidR="009C254F">
        <w:t xml:space="preserve">Hierzu </w:t>
      </w:r>
      <w:r w:rsidR="00090D52">
        <w:t>ist</w:t>
      </w:r>
      <w:r w:rsidR="009C254F">
        <w:t xml:space="preserve"> zunächst </w:t>
      </w:r>
      <w:r w:rsidR="00090D52">
        <w:t>zu untersuchen</w:t>
      </w:r>
      <w:r>
        <w:t xml:space="preserve">, wann ein sensibles Datum </w:t>
      </w:r>
      <w:r w:rsidR="00090D52">
        <w:t>im Sinne des</w:t>
      </w:r>
      <w:r>
        <w:t xml:space="preserve"> </w:t>
      </w:r>
      <w:r w:rsidR="005F5895">
        <w:t>Art. </w:t>
      </w:r>
      <w:r>
        <w:t xml:space="preserve">9 </w:t>
      </w:r>
      <w:r w:rsidR="005F5895">
        <w:t>Abs. </w:t>
      </w:r>
      <w:r>
        <w:t>1 DS-GVO vorliegt.</w:t>
      </w:r>
    </w:p>
    <w:p w14:paraId="7193039B" w14:textId="08BE451B" w:rsidR="00AE4EA7" w:rsidRDefault="00AE4EA7"/>
    <w:p w14:paraId="1051DE38" w14:textId="77777777" w:rsidR="00B624C2" w:rsidRDefault="00B624C2">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494DAE90" w14:textId="208458DD" w:rsidR="00AE4EA7" w:rsidRDefault="00990A0B">
      <w:pPr>
        <w:pStyle w:val="berschrift1"/>
      </w:pPr>
      <w:bookmarkStart w:id="65" w:name="_Toc169934784"/>
      <w:r>
        <w:t>Abgrenzung</w:t>
      </w:r>
      <w:r w:rsidR="004D05D2">
        <w:t>/Klarstellung</w:t>
      </w:r>
      <w:bookmarkEnd w:id="65"/>
    </w:p>
    <w:p w14:paraId="730F4671" w14:textId="40DADF07" w:rsidR="00E73C55" w:rsidRDefault="00B624C2" w:rsidP="00E73C55">
      <w:r>
        <w:t>Diese Praxishilfe beschäftigt sich nur mit</w:t>
      </w:r>
      <w:r w:rsidR="00A424AE">
        <w:t xml:space="preserve"> </w:t>
      </w:r>
      <w:r>
        <w:t xml:space="preserve">gesetzlichen Regelungen, welche die Verarbeitung der in </w:t>
      </w:r>
      <w:r w:rsidR="005F5895">
        <w:t>Art. </w:t>
      </w:r>
      <w:r>
        <w:t xml:space="preserve">9 </w:t>
      </w:r>
      <w:r w:rsidR="005F5895">
        <w:t>Abs. </w:t>
      </w:r>
      <w:r>
        <w:t xml:space="preserve">1 DS-GVO genannten Kategorien von personenbezogenen Daten </w:t>
      </w:r>
      <w:r w:rsidR="00E458DB">
        <w:t xml:space="preserve">zum </w:t>
      </w:r>
      <w:r>
        <w:t xml:space="preserve">Inhalt haben. Erlaubnistatbestände, die in einzelnen Kollektivvereinbarungen zwischen Partnern vereinbart werden, sind nicht </w:t>
      </w:r>
      <w:r w:rsidR="009C254F">
        <w:t>B</w:t>
      </w:r>
      <w:r>
        <w:t xml:space="preserve">estandteil, </w:t>
      </w:r>
      <w:r w:rsidR="00090D52">
        <w:t>dennoch</w:t>
      </w:r>
      <w:r>
        <w:t xml:space="preserve"> wird kurz auf die Rahmenbedingungen </w:t>
      </w:r>
      <w:r w:rsidR="00090D52">
        <w:t>von</w:t>
      </w:r>
      <w:r>
        <w:t xml:space="preserve"> Betriebsvereinbarungen eingegangen.</w:t>
      </w:r>
    </w:p>
    <w:p w14:paraId="13BF919B" w14:textId="1E4DBFCA" w:rsidR="00B624C2" w:rsidRDefault="00B624C2">
      <w:r>
        <w:t xml:space="preserve">Gesetzliche Normen, welche eine Verarbeitung </w:t>
      </w:r>
      <w:r w:rsidR="00090D52">
        <w:t>vorschreiben,</w:t>
      </w:r>
      <w:r>
        <w:t xml:space="preserve"> wie beispielsweise Dokumentationspflichten bei der Behandlung, sind ebenfalls </w:t>
      </w:r>
      <w:r w:rsidR="00090D52">
        <w:t>nicht</w:t>
      </w:r>
      <w:r>
        <w:t xml:space="preserve"> </w:t>
      </w:r>
      <w:r w:rsidR="00090D52">
        <w:t>Gegenstand</w:t>
      </w:r>
      <w:r>
        <w:t xml:space="preserve"> dieser Praxishilfe. </w:t>
      </w:r>
      <w:r w:rsidRPr="008B0D52">
        <w:t>Entsprec</w:t>
      </w:r>
      <w:r w:rsidR="008B0D52" w:rsidRPr="008B0D52">
        <w:t>h</w:t>
      </w:r>
      <w:r w:rsidRPr="008B0D52">
        <w:t>ende</w:t>
      </w:r>
      <w:r>
        <w:t xml:space="preserve"> Regelungen stellen keine Erlaubnisnorm</w:t>
      </w:r>
      <w:r w:rsidR="00090D52">
        <w:t>en</w:t>
      </w:r>
      <w:r>
        <w:t xml:space="preserve"> dar, sondern sind Folgen aus der Tatsache, dass personenbezogene Daten verarbeitet wurden und </w:t>
      </w:r>
      <w:r w:rsidR="00090D52">
        <w:t xml:space="preserve">sich </w:t>
      </w:r>
      <w:r>
        <w:t xml:space="preserve">aus dieser Verarbeitung Pflichten </w:t>
      </w:r>
      <w:r w:rsidR="00090D52">
        <w:t xml:space="preserve">ergeben, </w:t>
      </w:r>
      <w:r>
        <w:t xml:space="preserve">wie </w:t>
      </w:r>
      <w:r w:rsidRPr="008B0D52">
        <w:t>z.</w:t>
      </w:r>
      <w:r w:rsidR="008B0D52" w:rsidRPr="008B0D52">
        <w:t> </w:t>
      </w:r>
      <w:r w:rsidRPr="008B0D52">
        <w:t>B.</w:t>
      </w:r>
      <w:r>
        <w:t xml:space="preserve"> Dokumentationspflichten oder die Pflicht zur </w:t>
      </w:r>
      <w:r w:rsidRPr="008B0D52">
        <w:t>Gewährleistung</w:t>
      </w:r>
      <w:r w:rsidR="008B0D52" w:rsidRPr="008B0D52">
        <w:t xml:space="preserve"> </w:t>
      </w:r>
      <w:r w:rsidRPr="008B0D52">
        <w:t>d</w:t>
      </w:r>
      <w:r>
        <w:t>er IT-Sicherheit.</w:t>
      </w:r>
    </w:p>
    <w:p w14:paraId="5170DFBD" w14:textId="1DE09E58" w:rsidR="00B624C2" w:rsidRDefault="00E73C55" w:rsidP="00E73C55">
      <w:r>
        <w:t xml:space="preserve">Diese Praxishilfe adressiert die Gesundheitsversorgung. Daher liegt der </w:t>
      </w:r>
      <w:r w:rsidR="00624CC8">
        <w:t>Schwerpunkt</w:t>
      </w:r>
      <w:r>
        <w:t xml:space="preserve"> auf </w:t>
      </w:r>
      <w:r w:rsidR="00624CC8">
        <w:t>die</w:t>
      </w:r>
      <w:r w:rsidR="00F93265">
        <w:t>jenigen</w:t>
      </w:r>
      <w:r w:rsidR="00624CC8">
        <w:t xml:space="preserve"> </w:t>
      </w:r>
      <w:r>
        <w:t xml:space="preserve">Erlaubnistatbestände, welche die Verarbeitung von </w:t>
      </w:r>
      <w:r w:rsidRPr="00E73C55">
        <w:t xml:space="preserve">Gesundheitsdaten (im </w:t>
      </w:r>
      <w:r w:rsidR="00624CC8">
        <w:t>Rahmen</w:t>
      </w:r>
      <w:r w:rsidRPr="00E73C55">
        <w:t xml:space="preserve"> dieser Praxishilfe überwiegend Patientendaten)</w:t>
      </w:r>
      <w:r>
        <w:t xml:space="preserve"> regeln. Andere Regelungen wie beispielsweise die Verarbeitung von </w:t>
      </w:r>
      <w:r w:rsidRPr="00E73C55">
        <w:t>biometrischen Daten zur eindeutigen Identifizierung einer natürlichen Person</w:t>
      </w:r>
      <w:r w:rsidR="00624CC8">
        <w:t>,</w:t>
      </w:r>
      <w:r>
        <w:t xml:space="preserve"> wie </w:t>
      </w:r>
      <w:r w:rsidR="00624CC8">
        <w:t xml:space="preserve">beispielsweise </w:t>
      </w:r>
      <w:r>
        <w:t>ein Fingerabdruck oder ein Gesichtsscan</w:t>
      </w:r>
      <w:r w:rsidR="00624CC8">
        <w:t>,</w:t>
      </w:r>
      <w:r>
        <w:t xml:space="preserve"> werden nicht berücksichtigt, jedoch kann natürlich bei entsprechenden nationalen Regelungen die Zuordnung zu den Vorgaben aus Art. 9 und 6 DS-GVO entsprechend den Darstellungen dieser Praxishilfe erfolgen, sodass auch in diesen Fällen eine Arbeitserleichterung zu erwarten ist.</w:t>
      </w:r>
    </w:p>
    <w:p w14:paraId="3F723C2A" w14:textId="77777777" w:rsidR="00B624C2" w:rsidRDefault="00B624C2"/>
    <w:p w14:paraId="2463B6F2" w14:textId="77777777" w:rsidR="00AE4EA7" w:rsidRDefault="00990A0B">
      <w:pPr>
        <w:jc w:val="left"/>
        <w:rPr>
          <w:rFonts w:asciiTheme="majorHAnsi" w:eastAsiaTheme="majorEastAsia" w:hAnsiTheme="majorHAnsi" w:cstheme="majorBidi"/>
          <w:b/>
          <w:bCs/>
          <w:color w:val="365F91" w:themeColor="accent1" w:themeShade="BF"/>
          <w:sz w:val="28"/>
          <w:szCs w:val="28"/>
        </w:rPr>
      </w:pPr>
      <w:r>
        <w:br w:type="page"/>
      </w:r>
    </w:p>
    <w:p w14:paraId="21FAC9BC" w14:textId="33E77879" w:rsidR="00687085" w:rsidRDefault="00687085" w:rsidP="00687085">
      <w:pPr>
        <w:pStyle w:val="berschrift1"/>
      </w:pPr>
      <w:bookmarkStart w:id="66" w:name="_Toc169934785"/>
      <w:r>
        <w:t xml:space="preserve">Was sind </w:t>
      </w:r>
      <w:r w:rsidR="00090D52">
        <w:t>besondere</w:t>
      </w:r>
      <w:r>
        <w:t xml:space="preserve"> Daten</w:t>
      </w:r>
      <w:r w:rsidR="00090D52">
        <w:t>kategorien</w:t>
      </w:r>
      <w:r>
        <w:t xml:space="preserve"> </w:t>
      </w:r>
      <w:r w:rsidRPr="00687085">
        <w:t xml:space="preserve">entsprechend </w:t>
      </w:r>
      <w:r w:rsidR="005F5895">
        <w:t>Art. </w:t>
      </w:r>
      <w:r w:rsidRPr="00687085">
        <w:t xml:space="preserve">9 </w:t>
      </w:r>
      <w:r w:rsidR="005F5895">
        <w:t>Abs. </w:t>
      </w:r>
      <w:r w:rsidRPr="00687085">
        <w:t>1 DS-GVO</w:t>
      </w:r>
      <w:r>
        <w:t>?</w:t>
      </w:r>
      <w:bookmarkEnd w:id="66"/>
    </w:p>
    <w:p w14:paraId="7357C97D" w14:textId="6E1CA328" w:rsidR="00687085" w:rsidRDefault="00687085" w:rsidP="00687085">
      <w:pPr>
        <w:pStyle w:val="berschrift2"/>
      </w:pPr>
      <w:bookmarkStart w:id="67" w:name="_Toc156289849"/>
      <w:bookmarkStart w:id="68" w:name="_Toc169934786"/>
      <w:r>
        <w:t>Welche Daten gehören zu diesen „besonder</w:t>
      </w:r>
      <w:r w:rsidR="00090D52">
        <w:t>en</w:t>
      </w:r>
      <w:r>
        <w:t xml:space="preserve"> </w:t>
      </w:r>
      <w:r w:rsidR="00090D52">
        <w:t>Kategorien</w:t>
      </w:r>
      <w:r>
        <w:t xml:space="preserve"> personenbezogenen Daten“?</w:t>
      </w:r>
      <w:bookmarkEnd w:id="67"/>
      <w:bookmarkEnd w:id="68"/>
    </w:p>
    <w:p w14:paraId="09D9A33F" w14:textId="3B1AC9BF" w:rsidR="00687085" w:rsidRDefault="005F5895" w:rsidP="00687085">
      <w:pPr>
        <w:spacing w:after="0"/>
      </w:pPr>
      <w:r>
        <w:t>Art. </w:t>
      </w:r>
      <w:r w:rsidR="00687085">
        <w:t xml:space="preserve">9 </w:t>
      </w:r>
      <w:r>
        <w:t>Abs. </w:t>
      </w:r>
      <w:r w:rsidR="00687085">
        <w:t xml:space="preserve">1 DS-GVO benennt </w:t>
      </w:r>
      <w:r w:rsidR="00687085" w:rsidRPr="00F61E50">
        <w:t>besondere Kategorien personenbezogener Daten</w:t>
      </w:r>
      <w:r w:rsidR="00687085">
        <w:t xml:space="preserve">, die </w:t>
      </w:r>
      <w:r w:rsidR="00090D52">
        <w:t>häufig</w:t>
      </w:r>
      <w:r w:rsidR="00687085">
        <w:t xml:space="preserve"> als besonders sensible personenbezogene Daten </w:t>
      </w:r>
      <w:r w:rsidR="00090D52">
        <w:t>bezeichnet werden</w:t>
      </w:r>
      <w:r w:rsidR="00687085">
        <w:t>. Unter diese Kategorien fallen:</w:t>
      </w:r>
    </w:p>
    <w:p w14:paraId="7D584B79" w14:textId="77777777" w:rsidR="00687085" w:rsidRDefault="00687085" w:rsidP="00687085">
      <w:pPr>
        <w:pStyle w:val="Listenabsatz"/>
        <w:numPr>
          <w:ilvl w:val="0"/>
          <w:numId w:val="7"/>
        </w:numPr>
        <w:suppressAutoHyphens w:val="0"/>
        <w:spacing w:before="40" w:after="80"/>
        <w:jc w:val="left"/>
      </w:pPr>
      <w:r>
        <w:t>R</w:t>
      </w:r>
      <w:r w:rsidRPr="007F73E5">
        <w:t xml:space="preserve">assische und ethnische Herkunft, </w:t>
      </w:r>
    </w:p>
    <w:p w14:paraId="3F546BE0" w14:textId="77777777" w:rsidR="00687085" w:rsidRDefault="00687085" w:rsidP="00687085">
      <w:pPr>
        <w:pStyle w:val="Listenabsatz"/>
        <w:numPr>
          <w:ilvl w:val="0"/>
          <w:numId w:val="7"/>
        </w:numPr>
        <w:suppressAutoHyphens w:val="0"/>
        <w:spacing w:before="40" w:after="80"/>
        <w:jc w:val="left"/>
      </w:pPr>
      <w:r>
        <w:t>P</w:t>
      </w:r>
      <w:r w:rsidRPr="007F73E5">
        <w:t>olitische Meinungen,</w:t>
      </w:r>
    </w:p>
    <w:p w14:paraId="24BB413A" w14:textId="77777777" w:rsidR="00687085" w:rsidRDefault="00687085" w:rsidP="00687085">
      <w:pPr>
        <w:pStyle w:val="Listenabsatz"/>
        <w:numPr>
          <w:ilvl w:val="0"/>
          <w:numId w:val="7"/>
        </w:numPr>
        <w:suppressAutoHyphens w:val="0"/>
        <w:spacing w:before="40" w:after="80"/>
        <w:jc w:val="left"/>
      </w:pPr>
      <w:r>
        <w:t>Meinungen, aus denen r</w:t>
      </w:r>
      <w:r w:rsidRPr="007F73E5">
        <w:t>eligiöse oder weltanschauliche Überzeugungen hervorgehen</w:t>
      </w:r>
      <w:r>
        <w:t>,</w:t>
      </w:r>
    </w:p>
    <w:p w14:paraId="3EC2012C" w14:textId="77777777" w:rsidR="00687085" w:rsidRDefault="00687085" w:rsidP="00687085">
      <w:pPr>
        <w:pStyle w:val="Listenabsatz"/>
        <w:numPr>
          <w:ilvl w:val="0"/>
          <w:numId w:val="7"/>
        </w:numPr>
        <w:suppressAutoHyphens w:val="0"/>
        <w:spacing w:before="40" w:after="80"/>
        <w:jc w:val="left"/>
      </w:pPr>
      <w:r>
        <w:t xml:space="preserve">Meinungen, aus denen </w:t>
      </w:r>
      <w:r w:rsidRPr="007F73E5">
        <w:t>die Gewerkschaftszugehörigkeit hervorgeh</w:t>
      </w:r>
      <w:r>
        <w:t>t</w:t>
      </w:r>
      <w:r w:rsidRPr="007F73E5">
        <w:t>,</w:t>
      </w:r>
    </w:p>
    <w:p w14:paraId="33B3CA2E" w14:textId="77777777" w:rsidR="00687085" w:rsidRDefault="00687085" w:rsidP="00687085">
      <w:pPr>
        <w:pStyle w:val="Listenabsatz"/>
        <w:numPr>
          <w:ilvl w:val="0"/>
          <w:numId w:val="7"/>
        </w:numPr>
        <w:suppressAutoHyphens w:val="0"/>
        <w:spacing w:before="40" w:after="80"/>
        <w:jc w:val="left"/>
      </w:pPr>
      <w:r>
        <w:t>G</w:t>
      </w:r>
      <w:r w:rsidRPr="007F73E5">
        <w:t>enetischen Daten,</w:t>
      </w:r>
    </w:p>
    <w:p w14:paraId="13600E58" w14:textId="77777777" w:rsidR="00687085" w:rsidRDefault="00687085" w:rsidP="00687085">
      <w:pPr>
        <w:pStyle w:val="Listenabsatz"/>
        <w:numPr>
          <w:ilvl w:val="0"/>
          <w:numId w:val="7"/>
        </w:numPr>
        <w:suppressAutoHyphens w:val="0"/>
        <w:spacing w:before="40" w:after="80"/>
        <w:jc w:val="left"/>
      </w:pPr>
      <w:r>
        <w:t>B</w:t>
      </w:r>
      <w:r w:rsidRPr="007F73E5">
        <w:t>iometrischen Daten,</w:t>
      </w:r>
    </w:p>
    <w:p w14:paraId="67131252" w14:textId="77777777" w:rsidR="00687085" w:rsidRDefault="00687085" w:rsidP="00687085">
      <w:pPr>
        <w:pStyle w:val="Listenabsatz"/>
        <w:numPr>
          <w:ilvl w:val="0"/>
          <w:numId w:val="7"/>
        </w:numPr>
        <w:suppressAutoHyphens w:val="0"/>
        <w:spacing w:before="40" w:after="80"/>
        <w:jc w:val="left"/>
      </w:pPr>
      <w:r w:rsidRPr="007F73E5">
        <w:t>Gesundheitsdaten</w:t>
      </w:r>
      <w:r>
        <w:t>,</w:t>
      </w:r>
    </w:p>
    <w:p w14:paraId="61B2B126" w14:textId="77777777" w:rsidR="00687085" w:rsidRDefault="00687085" w:rsidP="00687085">
      <w:pPr>
        <w:pStyle w:val="Listenabsatz"/>
        <w:numPr>
          <w:ilvl w:val="0"/>
          <w:numId w:val="7"/>
        </w:numPr>
        <w:suppressAutoHyphens w:val="0"/>
        <w:spacing w:before="40" w:after="80"/>
        <w:jc w:val="left"/>
      </w:pPr>
      <w:r w:rsidRPr="007F73E5">
        <w:t>Daten zum Sexualleben</w:t>
      </w:r>
      <w:r>
        <w:t xml:space="preserve"> </w:t>
      </w:r>
      <w:r w:rsidRPr="007F73E5">
        <w:t>einer natürlichen Person</w:t>
      </w:r>
      <w:r>
        <w:t>,</w:t>
      </w:r>
    </w:p>
    <w:p w14:paraId="1F42E516" w14:textId="77777777" w:rsidR="00687085" w:rsidRDefault="00687085" w:rsidP="00687085">
      <w:pPr>
        <w:pStyle w:val="Listenabsatz"/>
        <w:numPr>
          <w:ilvl w:val="0"/>
          <w:numId w:val="7"/>
        </w:numPr>
        <w:suppressAutoHyphens w:val="0"/>
        <w:spacing w:before="40" w:after="0"/>
        <w:ind w:left="714" w:hanging="357"/>
        <w:jc w:val="left"/>
      </w:pPr>
      <w:r>
        <w:t xml:space="preserve">Daten </w:t>
      </w:r>
      <w:r w:rsidRPr="007F73E5">
        <w:t>der sexuellen Orientierung einer natürlichen Person</w:t>
      </w:r>
      <w:r>
        <w:t>.</w:t>
      </w:r>
    </w:p>
    <w:p w14:paraId="645B2E25" w14:textId="7382C183" w:rsidR="00687085" w:rsidRDefault="00687085" w:rsidP="00687085">
      <w:pPr>
        <w:spacing w:after="0"/>
      </w:pPr>
      <w:r>
        <w:t xml:space="preserve">In </w:t>
      </w:r>
      <w:r w:rsidR="005F5895">
        <w:t>Art. </w:t>
      </w:r>
      <w:r>
        <w:t xml:space="preserve">4 DS-GVO finden sich die Legaldefinitionen zu </w:t>
      </w:r>
      <w:r w:rsidRPr="00B21FDE">
        <w:t xml:space="preserve">einigen der genannten </w:t>
      </w:r>
      <w:r>
        <w:t>Begrifflichkeiten:</w:t>
      </w:r>
    </w:p>
    <w:p w14:paraId="19062147" w14:textId="3C22C5A8" w:rsidR="00687085" w:rsidRDefault="005F5895" w:rsidP="00687085">
      <w:pPr>
        <w:pStyle w:val="Listenabsatz"/>
        <w:numPr>
          <w:ilvl w:val="0"/>
          <w:numId w:val="8"/>
        </w:numPr>
        <w:suppressAutoHyphens w:val="0"/>
        <w:spacing w:after="160" w:line="259" w:lineRule="auto"/>
      </w:pPr>
      <w:r>
        <w:t>Art. </w:t>
      </w:r>
      <w:r w:rsidR="00687085">
        <w:t xml:space="preserve">4 </w:t>
      </w:r>
      <w:r>
        <w:t>Nr. </w:t>
      </w:r>
      <w:r w:rsidR="00687085">
        <w:t xml:space="preserve">1 DS-GVO: </w:t>
      </w:r>
      <w:r w:rsidR="00687085" w:rsidRPr="00E3029C">
        <w:t>personenbezogene Date</w:t>
      </w:r>
      <w:r w:rsidR="00687085">
        <w:t>n</w:t>
      </w:r>
    </w:p>
    <w:p w14:paraId="1B37607C" w14:textId="7769FCAB" w:rsidR="00687085" w:rsidRDefault="005F5895" w:rsidP="00687085">
      <w:pPr>
        <w:pStyle w:val="Listenabsatz"/>
        <w:numPr>
          <w:ilvl w:val="0"/>
          <w:numId w:val="8"/>
        </w:numPr>
        <w:suppressAutoHyphens w:val="0"/>
        <w:spacing w:after="160" w:line="259" w:lineRule="auto"/>
      </w:pPr>
      <w:r>
        <w:t>Art. </w:t>
      </w:r>
      <w:r w:rsidR="00687085">
        <w:t xml:space="preserve">4 </w:t>
      </w:r>
      <w:r>
        <w:t>Nr. </w:t>
      </w:r>
      <w:r w:rsidR="00687085">
        <w:t xml:space="preserve">13 DS-GVO: </w:t>
      </w:r>
      <w:r w:rsidR="00687085" w:rsidRPr="00E3029C">
        <w:t>genetische Daten</w:t>
      </w:r>
    </w:p>
    <w:p w14:paraId="367D37A9" w14:textId="377AD10A" w:rsidR="00687085" w:rsidRDefault="005F5895" w:rsidP="00687085">
      <w:pPr>
        <w:pStyle w:val="Listenabsatz"/>
        <w:numPr>
          <w:ilvl w:val="0"/>
          <w:numId w:val="8"/>
        </w:numPr>
        <w:suppressAutoHyphens w:val="0"/>
        <w:spacing w:after="160" w:line="259" w:lineRule="auto"/>
      </w:pPr>
      <w:r>
        <w:t>Art. </w:t>
      </w:r>
      <w:r w:rsidR="00687085">
        <w:t xml:space="preserve">4 </w:t>
      </w:r>
      <w:r>
        <w:t>Nr. </w:t>
      </w:r>
      <w:r w:rsidR="00687085">
        <w:t xml:space="preserve">14 DS-GVO: </w:t>
      </w:r>
      <w:r w:rsidR="00687085" w:rsidRPr="00E3029C">
        <w:t>biometrische Daten</w:t>
      </w:r>
    </w:p>
    <w:p w14:paraId="7CCD1439" w14:textId="3BAAFD1A" w:rsidR="00687085" w:rsidRDefault="005F5895" w:rsidP="00687085">
      <w:pPr>
        <w:pStyle w:val="Listenabsatz"/>
        <w:numPr>
          <w:ilvl w:val="0"/>
          <w:numId w:val="8"/>
        </w:numPr>
        <w:suppressAutoHyphens w:val="0"/>
        <w:spacing w:after="0" w:line="259" w:lineRule="auto"/>
        <w:ind w:left="714" w:hanging="357"/>
      </w:pPr>
      <w:r>
        <w:t>Art. </w:t>
      </w:r>
      <w:r w:rsidR="00687085">
        <w:t xml:space="preserve">4 </w:t>
      </w:r>
      <w:r>
        <w:t>Nr. </w:t>
      </w:r>
      <w:r w:rsidR="00687085">
        <w:t xml:space="preserve">15 DS-GVO: </w:t>
      </w:r>
      <w:r w:rsidR="00687085" w:rsidRPr="00E3029C">
        <w:t>Gesundheitsdaten</w:t>
      </w:r>
      <w:r w:rsidR="00687085">
        <w:t>.</w:t>
      </w:r>
    </w:p>
    <w:p w14:paraId="628DD9FF" w14:textId="1AE1A15A" w:rsidR="00687085" w:rsidRDefault="00687085" w:rsidP="00687085">
      <w:r>
        <w:t>Auf eine Besprechung der einzelnen Daten</w:t>
      </w:r>
      <w:r w:rsidR="00090D52">
        <w:t>kategorien</w:t>
      </w:r>
      <w:r>
        <w:t xml:space="preserve"> wird an dieser Stelle verzichtet und auf die vorhandene Literatur und Rechtsprechung verwiesen.</w:t>
      </w:r>
    </w:p>
    <w:p w14:paraId="76F0FF3F" w14:textId="4CBD7BDB" w:rsidR="00687085" w:rsidRDefault="005F5895" w:rsidP="00687085">
      <w:r>
        <w:t>Art. </w:t>
      </w:r>
      <w:r w:rsidR="00687085">
        <w:t xml:space="preserve">9 </w:t>
      </w:r>
      <w:r>
        <w:t>Abs. </w:t>
      </w:r>
      <w:r w:rsidR="00687085">
        <w:t xml:space="preserve">1 DS-GVO verbietet kategorisch </w:t>
      </w:r>
      <w:r w:rsidR="00687085" w:rsidRPr="007F73E5">
        <w:rPr>
          <w:u w:val="single"/>
        </w:rPr>
        <w:t>alle</w:t>
      </w:r>
      <w:r w:rsidR="00687085">
        <w:t xml:space="preserve"> </w:t>
      </w:r>
      <w:r w:rsidR="00687085" w:rsidRPr="007F73E5">
        <w:t>Verarbeitung</w:t>
      </w:r>
      <w:r w:rsidR="00687085">
        <w:t>en</w:t>
      </w:r>
      <w:r w:rsidR="00687085" w:rsidRPr="007F73E5">
        <w:t xml:space="preserve"> </w:t>
      </w:r>
      <w:r w:rsidR="00687085">
        <w:t xml:space="preserve">dieser </w:t>
      </w:r>
      <w:r w:rsidR="00090D52">
        <w:t>besonderen Kategorien</w:t>
      </w:r>
      <w:r w:rsidR="00687085">
        <w:t xml:space="preserve"> personenbezogene</w:t>
      </w:r>
      <w:r w:rsidR="00090D52">
        <w:t>r</w:t>
      </w:r>
      <w:r w:rsidR="00687085">
        <w:t xml:space="preserve"> Daten. Damit fällt auch jegliche Verarbeitung von Patientendaten unter dieses „Verbot mit Erlaubnisvorbehalt“. </w:t>
      </w:r>
      <w:r>
        <w:t>Art. </w:t>
      </w:r>
      <w:r w:rsidR="00E458DB">
        <w:t>9</w:t>
      </w:r>
      <w:r w:rsidR="00687085">
        <w:t xml:space="preserve"> </w:t>
      </w:r>
      <w:r w:rsidR="00E458DB">
        <w:t>Abs.</w:t>
      </w:r>
      <w:r w:rsidR="00687085">
        <w:t> 2 DS-GVO schränkt dieses Verbot ein: Liegt ein gesetzlich normierter Erlaubnistatbestand zur Verarbeitung vor, ist die Verarbeitung nur für diesen erlaubten Zweck statthaft.</w:t>
      </w:r>
    </w:p>
    <w:p w14:paraId="167D1E82" w14:textId="483B0317" w:rsidR="00687085" w:rsidRDefault="00687085" w:rsidP="00687085">
      <w:pPr>
        <w:spacing w:after="0"/>
      </w:pPr>
      <w:bookmarkStart w:id="69" w:name="_Hlk156288717"/>
      <w:r>
        <w:t xml:space="preserve">Entsprechend der Rechtsprechung des EuGH </w:t>
      </w:r>
      <w:r w:rsidR="00090D52">
        <w:t xml:space="preserve">ist </w:t>
      </w:r>
      <w:r>
        <w:t xml:space="preserve">die Zuordnung eines Datums als „sensibles Datum“ </w:t>
      </w:r>
      <w:r w:rsidRPr="00B21FDE">
        <w:t>i. S. d.</w:t>
      </w:r>
      <w:r>
        <w:t xml:space="preserve"> </w:t>
      </w:r>
      <w:r w:rsidR="005F5895">
        <w:t>Art. </w:t>
      </w:r>
      <w:r>
        <w:t>9 Abs, 1 DS-GVO weit zu verstehen</w:t>
      </w:r>
      <w:bookmarkStart w:id="70" w:name="_Ref154898654"/>
      <w:r>
        <w:rPr>
          <w:rStyle w:val="Funotenzeichen"/>
        </w:rPr>
        <w:footnoteReference w:id="3"/>
      </w:r>
      <w:bookmarkEnd w:id="70"/>
      <w:r>
        <w:t xml:space="preserve">. Auch wenn ein Datum aufgrund der eigenen Bedeutung </w:t>
      </w:r>
      <w:r w:rsidRPr="002846F8">
        <w:t xml:space="preserve">nach </w:t>
      </w:r>
      <w:r>
        <w:t xml:space="preserve">an sich </w:t>
      </w:r>
      <w:r w:rsidRPr="002846F8">
        <w:t>kein sensible</w:t>
      </w:r>
      <w:r>
        <w:t>s</w:t>
      </w:r>
      <w:r w:rsidRPr="002846F8">
        <w:t xml:space="preserve"> Dat</w:t>
      </w:r>
      <w:r>
        <w:t xml:space="preserve">um darstellt, </w:t>
      </w:r>
      <w:r w:rsidRPr="002846F8">
        <w:t xml:space="preserve">ist </w:t>
      </w:r>
      <w:r>
        <w:t xml:space="preserve">entsprechend dem Urteil des EuGH </w:t>
      </w:r>
      <w:r w:rsidRPr="002846F8">
        <w:t xml:space="preserve">zu prüfen, ob </w:t>
      </w:r>
      <w:r>
        <w:t>„</w:t>
      </w:r>
      <w:r w:rsidRPr="002846F8">
        <w:t>mittels gedanklicher Kombination oder Ableitung</w:t>
      </w:r>
      <w:r>
        <w:t>“</w:t>
      </w:r>
      <w:r w:rsidRPr="002846F8">
        <w:t xml:space="preserve"> auf </w:t>
      </w:r>
      <w:r w:rsidR="00090D52">
        <w:t xml:space="preserve">diese </w:t>
      </w:r>
      <w:r>
        <w:t xml:space="preserve">in </w:t>
      </w:r>
      <w:r w:rsidR="005F5895">
        <w:t>Art. </w:t>
      </w:r>
      <w:r>
        <w:t xml:space="preserve">9 </w:t>
      </w:r>
      <w:r w:rsidR="005F5895">
        <w:t>Abs. </w:t>
      </w:r>
      <w:r>
        <w:t>1 DS-GVO genannte</w:t>
      </w:r>
      <w:r w:rsidR="00090D52">
        <w:t>n</w:t>
      </w:r>
      <w:r>
        <w:t xml:space="preserve"> Datenkategorien </w:t>
      </w:r>
      <w:r w:rsidRPr="002846F8">
        <w:t>geschlossen werden kann</w:t>
      </w:r>
      <w:r>
        <w:t>. Trifft dies zu, sind entsprechende Daten auch als sensible Daten i. S. d. </w:t>
      </w:r>
      <w:r w:rsidR="005F5895">
        <w:t>Art. </w:t>
      </w:r>
      <w:r>
        <w:t xml:space="preserve">9 </w:t>
      </w:r>
      <w:r w:rsidR="005F5895">
        <w:t>Abs. </w:t>
      </w:r>
      <w:r>
        <w:t>1 DS-GVO anzusehen.</w:t>
      </w:r>
      <w:bookmarkEnd w:id="69"/>
      <w:r>
        <w:t xml:space="preserve"> Ist somit ein Datum als „personenbezogen oder personenbeziehbar“ klassifiziert, so muss bei der Prüfung, ob es sich um ein sensibles </w:t>
      </w:r>
      <w:r w:rsidRPr="00AF2176">
        <w:t>Datum</w:t>
      </w:r>
      <w:r>
        <w:t xml:space="preserve"> i. S. d. </w:t>
      </w:r>
      <w:r w:rsidR="005F5895">
        <w:t>Art. </w:t>
      </w:r>
      <w:r>
        <w:t xml:space="preserve">9 </w:t>
      </w:r>
      <w:r w:rsidR="005F5895">
        <w:t>Abs. </w:t>
      </w:r>
      <w:r>
        <w:t>1 DS-GVO handelt, entsprechend vorgegangen werden. D. h., dass auch indirekt mögliche Aussagen ge</w:t>
      </w:r>
      <w:r w:rsidRPr="004832F9">
        <w:t>prüf</w:t>
      </w:r>
      <w:r>
        <w:t>t werd</w:t>
      </w:r>
      <w:r w:rsidRPr="004832F9">
        <w:t>en</w:t>
      </w:r>
      <w:r>
        <w:t xml:space="preserve"> müssen.</w:t>
      </w:r>
    </w:p>
    <w:p w14:paraId="59081633" w14:textId="5DC91E5F" w:rsidR="00687085" w:rsidRDefault="00687085" w:rsidP="00BF277A">
      <w:pPr>
        <w:spacing w:after="140" w:line="274" w:lineRule="auto"/>
        <w:ind w:left="578"/>
      </w:pPr>
      <w:r>
        <w:t xml:space="preserve">Beispiel: Eine Person besucht </w:t>
      </w:r>
      <w:r w:rsidRPr="00AF2176">
        <w:t>eine</w:t>
      </w:r>
      <w:r>
        <w:t xml:space="preserve"> Arztpraxis. Die Standortdaten, also Straße, Postleitzahl und Ort, der Arztpraxis stellen eigentlich keine sensiblen Daten i. S. v. </w:t>
      </w:r>
      <w:r w:rsidR="005F5895">
        <w:t>Art. </w:t>
      </w:r>
      <w:r>
        <w:t xml:space="preserve">9 </w:t>
      </w:r>
      <w:r w:rsidR="005F5895">
        <w:t>Abs. </w:t>
      </w:r>
      <w:r>
        <w:t>1 DS-GVO dar. Da aber bekannt ist, dass eine Arztpraxis aufgesucht wird und dies i. d. R. für eine medizinische Betreuung erfolgt, ist diese Information damit als sensibles Datum aufzufassen.</w:t>
      </w:r>
    </w:p>
    <w:p w14:paraId="26488C7A" w14:textId="7C5D36AB" w:rsidR="00687085" w:rsidRDefault="00687085" w:rsidP="00BF277A">
      <w:pPr>
        <w:spacing w:after="140" w:line="274" w:lineRule="auto"/>
      </w:pPr>
      <w:bookmarkStart w:id="71" w:name="_Hlk156288798"/>
      <w:r>
        <w:t xml:space="preserve">Weiterhin urteilte der EuGH, dass ein </w:t>
      </w:r>
      <w:r w:rsidRPr="00463704">
        <w:t>Datensatz, der sowohl sensible als auch nicht sensible Daten enthält,</w:t>
      </w:r>
      <w:r>
        <w:t xml:space="preserve"> insgesamt als sensibles Datum i. S. v. </w:t>
      </w:r>
      <w:r w:rsidR="005F5895">
        <w:t>Art. </w:t>
      </w:r>
      <w:r>
        <w:t xml:space="preserve">9 </w:t>
      </w:r>
      <w:r w:rsidR="005F5895">
        <w:t>Abs. </w:t>
      </w:r>
      <w:r>
        <w:t>1 DS-GVO anzusehen ist.</w:t>
      </w:r>
      <w:bookmarkStart w:id="72" w:name="_Ref154898658"/>
      <w:bookmarkEnd w:id="71"/>
      <w:r>
        <w:rPr>
          <w:rStyle w:val="Funotenzeichen"/>
        </w:rPr>
        <w:footnoteReference w:id="4"/>
      </w:r>
      <w:bookmarkEnd w:id="72"/>
    </w:p>
    <w:p w14:paraId="4841F804" w14:textId="77777777" w:rsidR="00687085" w:rsidRDefault="00687085" w:rsidP="00BF277A">
      <w:pPr>
        <w:pStyle w:val="berschrift2"/>
        <w:spacing w:before="120" w:line="271" w:lineRule="auto"/>
        <w:ind w:left="578" w:hanging="578"/>
      </w:pPr>
      <w:bookmarkStart w:id="73" w:name="_Toc156289850"/>
      <w:bookmarkStart w:id="74" w:name="_Toc169934787"/>
      <w:r>
        <w:t xml:space="preserve">Sensibles Datum: </w:t>
      </w:r>
      <w:r w:rsidRPr="005F5895">
        <w:t>Sich</w:t>
      </w:r>
      <w:r>
        <w:t xml:space="preserve"> daraus ergebende Rahmenbedingungen</w:t>
      </w:r>
      <w:bookmarkEnd w:id="73"/>
      <w:bookmarkEnd w:id="74"/>
    </w:p>
    <w:p w14:paraId="25D4872C" w14:textId="75E2F165" w:rsidR="00687085" w:rsidRDefault="008B0D52" w:rsidP="00BF277A">
      <w:pPr>
        <w:spacing w:after="140" w:line="274" w:lineRule="auto"/>
      </w:pPr>
      <w:r>
        <w:t>ErwGr. </w:t>
      </w:r>
      <w:r w:rsidR="00687085">
        <w:t xml:space="preserve">51 DS-GVO hebt hervor, dass die in </w:t>
      </w:r>
      <w:r w:rsidR="005F5895">
        <w:t>Art. </w:t>
      </w:r>
      <w:r w:rsidR="00687085">
        <w:t xml:space="preserve">9 </w:t>
      </w:r>
      <w:r w:rsidR="005F5895">
        <w:t>Abs. </w:t>
      </w:r>
      <w:r w:rsidR="00687085">
        <w:t xml:space="preserve">1 DS-GVO genannten </w:t>
      </w:r>
      <w:r w:rsidR="00090D52">
        <w:t>Datenk</w:t>
      </w:r>
      <w:r w:rsidR="00687085">
        <w:t xml:space="preserve">ategorien </w:t>
      </w:r>
      <w:r w:rsidR="00090D52">
        <w:t>im Hinblick auf die</w:t>
      </w:r>
      <w:r w:rsidR="00687085" w:rsidRPr="00AC0D49">
        <w:t xml:space="preserve"> Grundrechte und Grundfreiheiten </w:t>
      </w:r>
      <w:r w:rsidR="00090D52">
        <w:t xml:space="preserve">besonders sensibel </w:t>
      </w:r>
      <w:r w:rsidR="00687085" w:rsidRPr="00AC0D49">
        <w:t>sind</w:t>
      </w:r>
      <w:r w:rsidR="00687085">
        <w:t xml:space="preserve"> und daher</w:t>
      </w:r>
      <w:r w:rsidR="00687085" w:rsidRPr="00AC0D49">
        <w:t xml:space="preserve"> einen besonderen Schutz</w:t>
      </w:r>
      <w:r w:rsidR="00687085">
        <w:t xml:space="preserve"> </w:t>
      </w:r>
      <w:r w:rsidR="00687085" w:rsidRPr="00AC0D49">
        <w:t>verdienen</w:t>
      </w:r>
      <w:r w:rsidR="00687085">
        <w:t xml:space="preserve">. Die Verarbeitung dieser Daten </w:t>
      </w:r>
      <w:r w:rsidR="00090D52">
        <w:t>ist</w:t>
      </w:r>
      <w:r w:rsidR="00687085">
        <w:t xml:space="preserve"> grundsätzlich </w:t>
      </w:r>
      <w:r w:rsidR="00090D52">
        <w:t xml:space="preserve">mit </w:t>
      </w:r>
      <w:r w:rsidR="00687085" w:rsidRPr="00AC0D49">
        <w:t>erhebliche</w:t>
      </w:r>
      <w:r w:rsidR="00090D52">
        <w:t>n</w:t>
      </w:r>
      <w:r w:rsidR="00687085" w:rsidRPr="00AC0D49">
        <w:t xml:space="preserve"> Risiken für die Grundrechte und Grundfreiheiten </w:t>
      </w:r>
      <w:r w:rsidR="00687085">
        <w:t>der betroffenen Personen</w:t>
      </w:r>
      <w:r w:rsidR="00090D52" w:rsidRPr="00090D52">
        <w:t xml:space="preserve"> </w:t>
      </w:r>
      <w:r w:rsidR="00090D52">
        <w:t>verbunden</w:t>
      </w:r>
      <w:r w:rsidR="00687085">
        <w:t>.</w:t>
      </w:r>
    </w:p>
    <w:p w14:paraId="65527507" w14:textId="286CBF59" w:rsidR="00687085" w:rsidRDefault="00687085" w:rsidP="00BF277A">
      <w:pPr>
        <w:spacing w:after="140" w:line="274" w:lineRule="auto"/>
      </w:pPr>
      <w:r>
        <w:t xml:space="preserve">Daher ist die Verarbeitung </w:t>
      </w:r>
      <w:r w:rsidR="00090D52">
        <w:t xml:space="preserve">dieser personenbezogenen Datenkategorien </w:t>
      </w:r>
      <w:r>
        <w:t xml:space="preserve">entsprechend </w:t>
      </w:r>
      <w:r w:rsidR="005F5895">
        <w:t>Art. </w:t>
      </w:r>
      <w:r>
        <w:t xml:space="preserve">9 </w:t>
      </w:r>
      <w:r w:rsidR="005F5895">
        <w:t>Abs. </w:t>
      </w:r>
      <w:r>
        <w:t xml:space="preserve">1 DS-GVO grundsätzlich verboten, </w:t>
      </w:r>
      <w:r w:rsidRPr="00B21FDE">
        <w:t>d. h.</w:t>
      </w:r>
      <w:r>
        <w:t xml:space="preserve"> für die Verarbeitung </w:t>
      </w:r>
      <w:r w:rsidR="00090D52">
        <w:t>solcher</w:t>
      </w:r>
      <w:r>
        <w:t xml:space="preserve"> Daten muss immer ein Erlaubnistatbestand vorliegen, </w:t>
      </w:r>
      <w:r w:rsidR="00090D52">
        <w:t>der gemäß</w:t>
      </w:r>
      <w:r>
        <w:t xml:space="preserve"> </w:t>
      </w:r>
      <w:r w:rsidR="008B0D52">
        <w:t>ErwGr. </w:t>
      </w:r>
      <w:r>
        <w:t xml:space="preserve">52 DS-GVO </w:t>
      </w:r>
      <w:r w:rsidRPr="00AC0D49">
        <w:t xml:space="preserve">angemessene Garantien </w:t>
      </w:r>
      <w:r w:rsidR="00090D52">
        <w:t>für den</w:t>
      </w:r>
      <w:r w:rsidRPr="00AC0D49">
        <w:t xml:space="preserve"> Schutz personenbezogene</w:t>
      </w:r>
      <w:r w:rsidR="00624CC8">
        <w:t>r</w:t>
      </w:r>
      <w:r w:rsidRPr="00AC0D49">
        <w:t xml:space="preserve"> Daten und anderer Grundrechte</w:t>
      </w:r>
      <w:r>
        <w:t xml:space="preserve"> </w:t>
      </w:r>
      <w:r w:rsidR="00090D52">
        <w:t>enthalten</w:t>
      </w:r>
      <w:r>
        <w:t xml:space="preserve"> muss. Dies gilt auch für eine Einwilligung: Gemäß den Anforderungen von </w:t>
      </w:r>
      <w:r w:rsidR="008B0D52">
        <w:t>ErwGr. </w:t>
      </w:r>
      <w:r>
        <w:t xml:space="preserve">51 DS-GVO </w:t>
      </w:r>
      <w:r w:rsidR="00F11B80">
        <w:t>sollten</w:t>
      </w:r>
      <w:r>
        <w:t xml:space="preserve"> </w:t>
      </w:r>
      <w:r w:rsidR="00B70A10">
        <w:t>stets</w:t>
      </w:r>
      <w:r>
        <w:t xml:space="preserve"> angemessene Schutzmaßnahmen </w:t>
      </w:r>
      <w:r w:rsidR="00B70A10">
        <w:t>für die</w:t>
      </w:r>
      <w:r>
        <w:t xml:space="preserve"> Verarbeitung dieser sensiblen Daten vor</w:t>
      </w:r>
      <w:r w:rsidR="00B70A10">
        <w:t>liegen</w:t>
      </w:r>
      <w:r w:rsidR="004430A8">
        <w:t xml:space="preserve">. Neben der DS-GVO bestimmen diverse europäische und deutsche Rechtsakte Mindestanforderungen hinsichtlich der Gewährleistung einer IT-Sicherheit (ausführlichere Diskussion zu dieser Thematik siehe </w:t>
      </w:r>
      <w:r w:rsidR="004430A8">
        <w:fldChar w:fldCharType="begin"/>
      </w:r>
      <w:r w:rsidR="004430A8">
        <w:instrText xml:space="preserve"> REF _Ref164680868 \r \h </w:instrText>
      </w:r>
      <w:r w:rsidR="004430A8">
        <w:fldChar w:fldCharType="separate"/>
      </w:r>
      <w:r w:rsidR="00F43608">
        <w:t>Anhang 1</w:t>
      </w:r>
      <w:r w:rsidR="004430A8">
        <w:fldChar w:fldCharType="end"/>
      </w:r>
      <w:r w:rsidR="004430A8">
        <w:t>).</w:t>
      </w:r>
      <w:r>
        <w:t xml:space="preserve"> </w:t>
      </w:r>
      <w:r w:rsidR="004430A8">
        <w:t>D</w:t>
      </w:r>
      <w:r>
        <w:t xml:space="preserve">ementsprechend </w:t>
      </w:r>
      <w:r w:rsidR="00F11B80">
        <w:t xml:space="preserve">kann die Sicherheit der Verarbeitung </w:t>
      </w:r>
      <w:r>
        <w:t xml:space="preserve">nicht ohne Weiteres </w:t>
      </w:r>
      <w:r w:rsidR="00B70A10">
        <w:t xml:space="preserve">durch eine Einwilligung </w:t>
      </w:r>
      <w:r>
        <w:t xml:space="preserve">reduziert </w:t>
      </w:r>
      <w:r w:rsidR="00A424AE">
        <w:t>werden</w:t>
      </w:r>
      <w:r>
        <w:t>.</w:t>
      </w:r>
    </w:p>
    <w:p w14:paraId="276089C7" w14:textId="296D681B" w:rsidR="00687085" w:rsidRDefault="008B0D52" w:rsidP="00687085">
      <w:pPr>
        <w:spacing w:after="0"/>
      </w:pPr>
      <w:r>
        <w:t>ErwGr. </w:t>
      </w:r>
      <w:r w:rsidR="00687085">
        <w:t>53 DS-GVO betont, dass b</w:t>
      </w:r>
      <w:r w:rsidR="00687085" w:rsidRPr="00AC0D49">
        <w:t>esondere Kategorien personenbezogener Daten, die eine</w:t>
      </w:r>
      <w:r w:rsidR="00B70A10">
        <w:t>n</w:t>
      </w:r>
      <w:r w:rsidR="00687085" w:rsidRPr="00AC0D49">
        <w:t xml:space="preserve"> höheren Schutz </w:t>
      </w:r>
      <w:r w:rsidR="00B70A10">
        <w:t>erfordern</w:t>
      </w:r>
      <w:r w:rsidR="00687085" w:rsidRPr="00AC0D49">
        <w:t>, nur dann für gesundheitsbezogene Zwecke verarbeitet werden</w:t>
      </w:r>
      <w:r w:rsidR="00687085">
        <w:t xml:space="preserve"> </w:t>
      </w:r>
      <w:r w:rsidR="00B70A10">
        <w:t>dürfen</w:t>
      </w:r>
      <w:r w:rsidR="00687085" w:rsidRPr="00AC0D49">
        <w:t xml:space="preserve">, wenn </w:t>
      </w:r>
      <w:r w:rsidR="00687085">
        <w:t xml:space="preserve">die Verarbeitung </w:t>
      </w:r>
      <w:r w:rsidR="00687085" w:rsidRPr="00AC0D49">
        <w:t xml:space="preserve">für das Erreichen dieser Zwecke im Interesse einzelner natürlicher Personen </w:t>
      </w:r>
      <w:r w:rsidR="00B70A10">
        <w:t>oder</w:t>
      </w:r>
      <w:r w:rsidR="00687085" w:rsidRPr="00AC0D49">
        <w:t xml:space="preserve"> der Gesellschaft </w:t>
      </w:r>
      <w:r w:rsidR="00B70A10">
        <w:t>als Ganzes</w:t>
      </w:r>
      <w:r w:rsidR="00687085" w:rsidRPr="00AC0D49">
        <w:t xml:space="preserve"> erforderlich ist</w:t>
      </w:r>
      <w:r w:rsidR="00687085">
        <w:t xml:space="preserve">. Dies gilt </w:t>
      </w:r>
      <w:r w:rsidR="00B70A10">
        <w:t>nach</w:t>
      </w:r>
      <w:r w:rsidR="00687085">
        <w:t xml:space="preserve"> ErwGr</w:t>
      </w:r>
      <w:r w:rsidR="00624CC8">
        <w:t>.</w:t>
      </w:r>
      <w:r w:rsidR="00687085">
        <w:t xml:space="preserve"> 53 DS-GVO </w:t>
      </w:r>
      <w:r w:rsidR="00687085" w:rsidRPr="005F5895">
        <w:t>insbesondere</w:t>
      </w:r>
    </w:p>
    <w:p w14:paraId="3D9250EA" w14:textId="77777777" w:rsidR="00687085" w:rsidRDefault="00687085" w:rsidP="00687085">
      <w:pPr>
        <w:pStyle w:val="Listenabsatz"/>
        <w:numPr>
          <w:ilvl w:val="0"/>
          <w:numId w:val="6"/>
        </w:numPr>
        <w:suppressAutoHyphens w:val="0"/>
        <w:spacing w:after="0" w:line="259" w:lineRule="auto"/>
      </w:pPr>
      <w:r w:rsidRPr="005F5895">
        <w:t>im</w:t>
      </w:r>
      <w:r w:rsidRPr="000957EF">
        <w:t xml:space="preserve"> Zusammenhang mit der Verwaltung der Dienste und Systeme des Gesundheits- oder Sozialbereichs,</w:t>
      </w:r>
    </w:p>
    <w:p w14:paraId="3136EEA2" w14:textId="6B494AD6" w:rsidR="00687085" w:rsidRDefault="00687085" w:rsidP="00687085">
      <w:pPr>
        <w:pStyle w:val="Listenabsatz"/>
        <w:numPr>
          <w:ilvl w:val="0"/>
          <w:numId w:val="6"/>
        </w:numPr>
        <w:suppressAutoHyphens w:val="0"/>
        <w:spacing w:after="0" w:line="259" w:lineRule="auto"/>
      </w:pPr>
      <w:r w:rsidRPr="005F5895">
        <w:t>einschließlich</w:t>
      </w:r>
      <w:r w:rsidRPr="000957EF">
        <w:t xml:space="preserve"> der Verarbeitung dieser Daten durch die Verwaltung und die zentralen nationalen Gesundheitsbehörden zwecks Qualitätskontrolle, Verwaltungsinformationen</w:t>
      </w:r>
      <w:r w:rsidR="00624CC8">
        <w:t>,</w:t>
      </w:r>
    </w:p>
    <w:p w14:paraId="236D9D96" w14:textId="4599CCB8" w:rsidR="00687085" w:rsidRDefault="00624CC8" w:rsidP="00687085">
      <w:pPr>
        <w:pStyle w:val="Listenabsatz"/>
        <w:numPr>
          <w:ilvl w:val="0"/>
          <w:numId w:val="6"/>
        </w:numPr>
        <w:suppressAutoHyphens w:val="0"/>
        <w:spacing w:after="0" w:line="259" w:lineRule="auto"/>
      </w:pPr>
      <w:r>
        <w:t>sowie</w:t>
      </w:r>
      <w:r w:rsidR="00687085" w:rsidRPr="000957EF">
        <w:t xml:space="preserve"> der allgemeinen nationalen und lokalen Überwachung des Gesundheitssystems oder des Sozialsystems </w:t>
      </w:r>
    </w:p>
    <w:p w14:paraId="3F434A13" w14:textId="77777777" w:rsidR="00687085" w:rsidRDefault="00687085" w:rsidP="00687085">
      <w:pPr>
        <w:pStyle w:val="Listenabsatz"/>
        <w:numPr>
          <w:ilvl w:val="0"/>
          <w:numId w:val="6"/>
        </w:numPr>
        <w:suppressAutoHyphens w:val="0"/>
        <w:spacing w:after="0" w:line="259" w:lineRule="auto"/>
      </w:pPr>
      <w:r w:rsidRPr="005F5895">
        <w:t>und</w:t>
      </w:r>
      <w:r w:rsidRPr="000957EF">
        <w:t xml:space="preserve"> zwecks Gewährleistung der Kontinuität der Gesundheits- und Sozialfürsorge </w:t>
      </w:r>
    </w:p>
    <w:p w14:paraId="137D98CA" w14:textId="77777777" w:rsidR="00687085" w:rsidRDefault="00687085" w:rsidP="00687085">
      <w:pPr>
        <w:pStyle w:val="Listenabsatz"/>
        <w:numPr>
          <w:ilvl w:val="0"/>
          <w:numId w:val="6"/>
        </w:numPr>
        <w:suppressAutoHyphens w:val="0"/>
        <w:spacing w:after="0" w:line="259" w:lineRule="auto"/>
      </w:pPr>
      <w:r w:rsidRPr="005F5895">
        <w:t>und</w:t>
      </w:r>
      <w:r w:rsidRPr="000957EF">
        <w:t xml:space="preserve"> der grenzüberschreitenden Gesundheitsversorgung </w:t>
      </w:r>
    </w:p>
    <w:p w14:paraId="545B47B6" w14:textId="77777777" w:rsidR="00687085" w:rsidRDefault="00687085" w:rsidP="00687085">
      <w:pPr>
        <w:pStyle w:val="Listenabsatz"/>
        <w:numPr>
          <w:ilvl w:val="0"/>
          <w:numId w:val="6"/>
        </w:numPr>
        <w:suppressAutoHyphens w:val="0"/>
        <w:spacing w:after="0" w:line="259" w:lineRule="auto"/>
      </w:pPr>
      <w:r w:rsidRPr="005F5895">
        <w:t>oder</w:t>
      </w:r>
      <w:r w:rsidRPr="000957EF">
        <w:t xml:space="preserve"> Sicherstellung und Überwachung der Gesundheit und Gesundheitswarnungen </w:t>
      </w:r>
    </w:p>
    <w:p w14:paraId="4CDAF226" w14:textId="77777777" w:rsidR="00687085" w:rsidRDefault="00687085" w:rsidP="00687085">
      <w:pPr>
        <w:pStyle w:val="Listenabsatz"/>
        <w:numPr>
          <w:ilvl w:val="0"/>
          <w:numId w:val="6"/>
        </w:numPr>
        <w:suppressAutoHyphens w:val="0"/>
        <w:spacing w:after="0" w:line="259" w:lineRule="auto"/>
      </w:pPr>
      <w:r w:rsidRPr="005F5895">
        <w:t>oder</w:t>
      </w:r>
      <w:r w:rsidRPr="000957EF">
        <w:t xml:space="preserve"> für im öffentlichen Interesse liegende Archivzwecke, zu wissenschaftlichen oder historischen Forschungszwecken oder statistischen Zwecken, die auf Rechtsvorschriften der Union oder der Mitgliedstaaten beruhen, die einem im öffentlichen Interesse liegenden Ziel dienen müssen, </w:t>
      </w:r>
    </w:p>
    <w:p w14:paraId="06887E44" w14:textId="77777777" w:rsidR="00687085" w:rsidRDefault="00687085" w:rsidP="00687085">
      <w:pPr>
        <w:pStyle w:val="Listenabsatz"/>
        <w:numPr>
          <w:ilvl w:val="0"/>
          <w:numId w:val="6"/>
        </w:numPr>
        <w:suppressAutoHyphens w:val="0"/>
        <w:spacing w:after="0" w:line="259" w:lineRule="auto"/>
      </w:pPr>
      <w:r w:rsidRPr="005F5895">
        <w:t>sowie</w:t>
      </w:r>
      <w:r w:rsidRPr="000957EF">
        <w:t xml:space="preserve"> für Studien, die im öffentlichen Interesse im Bereich der öffentlichen Gesundheit durchgeführt werden.</w:t>
      </w:r>
    </w:p>
    <w:p w14:paraId="3D609DBE" w14:textId="73A60F9D" w:rsidR="00687085" w:rsidRDefault="00687085" w:rsidP="00BF277A">
      <w:pPr>
        <w:spacing w:after="0" w:line="271" w:lineRule="auto"/>
      </w:pPr>
      <w:r w:rsidRPr="00EE270D">
        <w:t>D.</w:t>
      </w:r>
      <w:r>
        <w:t> </w:t>
      </w:r>
      <w:r w:rsidRPr="00EE270D">
        <w:t>h.</w:t>
      </w:r>
      <w:r>
        <w:t xml:space="preserve">, </w:t>
      </w:r>
      <w:r w:rsidR="00B70A10">
        <w:t xml:space="preserve">nach </w:t>
      </w:r>
      <w:r>
        <w:t xml:space="preserve">den Vorgaben von </w:t>
      </w:r>
      <w:r w:rsidR="005F5895">
        <w:t>Art. </w:t>
      </w:r>
      <w:r>
        <w:t xml:space="preserve">53 DS-GVO </w:t>
      </w:r>
      <w:r w:rsidR="00B70A10">
        <w:t xml:space="preserve">muss </w:t>
      </w:r>
      <w:r>
        <w:t xml:space="preserve">bei </w:t>
      </w:r>
      <w:r w:rsidR="00B70A10">
        <w:t xml:space="preserve">der </w:t>
      </w:r>
      <w:r>
        <w:t>Verarbeitung von Gesundheits- und genetischen Daten</w:t>
      </w:r>
      <w:r w:rsidR="00CB6137">
        <w:t xml:space="preserve"> zu den oben genannten Zwecken</w:t>
      </w:r>
      <w:r>
        <w:t xml:space="preserve"> nachgewiesen werden, </w:t>
      </w:r>
      <w:r w:rsidRPr="005F5895">
        <w:t>dass</w:t>
      </w:r>
    </w:p>
    <w:p w14:paraId="3E904DDA" w14:textId="77777777" w:rsidR="00687085" w:rsidRDefault="00687085" w:rsidP="00687085">
      <w:pPr>
        <w:pStyle w:val="Listenabsatz"/>
        <w:numPr>
          <w:ilvl w:val="0"/>
          <w:numId w:val="5"/>
        </w:numPr>
        <w:suppressAutoHyphens w:val="0"/>
        <w:spacing w:before="40" w:after="80"/>
        <w:jc w:val="left"/>
      </w:pPr>
      <w:r w:rsidRPr="005F5895">
        <w:t>die</w:t>
      </w:r>
      <w:r>
        <w:t xml:space="preserve"> jeweilige Verarbeitung </w:t>
      </w:r>
      <w:r w:rsidRPr="00AC0D49">
        <w:t>im Interesse einzelner natürlicher Personen</w:t>
      </w:r>
      <w:r>
        <w:t xml:space="preserve"> erforderlich ist, </w:t>
      </w:r>
      <w:r w:rsidRPr="005F5895">
        <w:t>oder</w:t>
      </w:r>
    </w:p>
    <w:p w14:paraId="56727CD7" w14:textId="56F50106" w:rsidR="00687085" w:rsidRPr="000957EF" w:rsidRDefault="00687085" w:rsidP="00E842F3">
      <w:pPr>
        <w:pStyle w:val="Listenabsatz"/>
        <w:numPr>
          <w:ilvl w:val="0"/>
          <w:numId w:val="5"/>
        </w:numPr>
        <w:suppressAutoHyphens w:val="0"/>
        <w:spacing w:before="40" w:after="80"/>
        <w:jc w:val="left"/>
      </w:pPr>
      <w:r w:rsidRPr="005F5895">
        <w:t>die</w:t>
      </w:r>
      <w:r>
        <w:t xml:space="preserve"> jeweilige Verarbeitung </w:t>
      </w:r>
      <w:r w:rsidRPr="00AC0D49">
        <w:t>im Interesse der Gesellschaft insgesamt erforderlich ist</w:t>
      </w:r>
      <w:r>
        <w:t>.</w:t>
      </w:r>
    </w:p>
    <w:p w14:paraId="54563AE1" w14:textId="1461ECF0" w:rsidR="00687085" w:rsidRDefault="00687085" w:rsidP="00687085">
      <w:pPr>
        <w:pStyle w:val="berschrift1"/>
      </w:pPr>
      <w:bookmarkStart w:id="75" w:name="_Toc156289851"/>
      <w:bookmarkStart w:id="76" w:name="_Toc169934788"/>
      <w:r>
        <w:t xml:space="preserve">Rechtfertigungsgründe in </w:t>
      </w:r>
      <w:r w:rsidR="005F5895">
        <w:t>Art. </w:t>
      </w:r>
      <w:r>
        <w:t xml:space="preserve">6 </w:t>
      </w:r>
      <w:r w:rsidR="005F5895">
        <w:t>Abs. </w:t>
      </w:r>
      <w:r>
        <w:t>1 DS-GVO</w:t>
      </w:r>
      <w:bookmarkEnd w:id="75"/>
      <w:bookmarkEnd w:id="76"/>
    </w:p>
    <w:p w14:paraId="0B1DBF61" w14:textId="7207D738" w:rsidR="00687085" w:rsidRDefault="005F5895" w:rsidP="00687085">
      <w:pPr>
        <w:pStyle w:val="berschrift2"/>
      </w:pPr>
      <w:bookmarkStart w:id="77" w:name="_Ref156213575"/>
      <w:bookmarkStart w:id="78" w:name="_Toc156289852"/>
      <w:bookmarkStart w:id="79" w:name="_Toc169934789"/>
      <w:r>
        <w:t>Art. </w:t>
      </w:r>
      <w:r w:rsidR="00687085">
        <w:t xml:space="preserve">6 </w:t>
      </w:r>
      <w:r>
        <w:t>Abs. </w:t>
      </w:r>
      <w:r w:rsidR="00687085">
        <w:t xml:space="preserve">1 </w:t>
      </w:r>
      <w:r>
        <w:t>lit. </w:t>
      </w:r>
      <w:r w:rsidR="00687085">
        <w:t>a</w:t>
      </w:r>
      <w:r w:rsidR="008F202B">
        <w:t xml:space="preserve"> DS-GVO</w:t>
      </w:r>
      <w:r w:rsidR="00687085">
        <w:t>: Einwilligung</w:t>
      </w:r>
      <w:bookmarkEnd w:id="77"/>
      <w:bookmarkEnd w:id="78"/>
      <w:bookmarkEnd w:id="79"/>
    </w:p>
    <w:p w14:paraId="0F43A676" w14:textId="77777777" w:rsidR="00687085" w:rsidRDefault="00687085" w:rsidP="00687085">
      <w:r>
        <w:t>Zum Thema „Einwilligung“ wird auf vorhandene und frei verfügbare Literatur verwiesen.</w:t>
      </w:r>
      <w:r>
        <w:rPr>
          <w:rStyle w:val="Funotenzeichen"/>
        </w:rPr>
        <w:footnoteReference w:id="5"/>
      </w:r>
      <w:r>
        <w:t xml:space="preserve"> </w:t>
      </w:r>
    </w:p>
    <w:p w14:paraId="3155B584" w14:textId="2025FD04" w:rsidR="00687085" w:rsidRDefault="00687085" w:rsidP="00687085">
      <w:r>
        <w:t>Der EuGH urteilte,</w:t>
      </w:r>
      <w:r>
        <w:rPr>
          <w:rStyle w:val="Funotenzeichen"/>
        </w:rPr>
        <w:footnoteReference w:id="6"/>
      </w:r>
      <w:r>
        <w:t xml:space="preserve"> dass </w:t>
      </w:r>
      <w:r w:rsidRPr="00B21FDE">
        <w:t>der Verantwortliche</w:t>
      </w:r>
      <w:r w:rsidRPr="00D52A0B">
        <w:t xml:space="preserve"> </w:t>
      </w:r>
      <w:r>
        <w:t xml:space="preserve">insbesondere </w:t>
      </w:r>
      <w:r w:rsidRPr="00CD1BC8">
        <w:t xml:space="preserve">nachweisen </w:t>
      </w:r>
      <w:r>
        <w:t>muss</w:t>
      </w:r>
      <w:r w:rsidRPr="00D52A0B">
        <w:t xml:space="preserve">, dass </w:t>
      </w:r>
      <w:r w:rsidR="00B30E6F">
        <w:t xml:space="preserve">die </w:t>
      </w:r>
      <w:r w:rsidRPr="00D52A0B">
        <w:t>betroffene</w:t>
      </w:r>
      <w:r w:rsidR="00B30E6F">
        <w:t>n</w:t>
      </w:r>
      <w:r w:rsidRPr="00D52A0B">
        <w:t xml:space="preserve"> Person</w:t>
      </w:r>
      <w:r>
        <w:t xml:space="preserve">en ihre jeweilige </w:t>
      </w:r>
      <w:r w:rsidRPr="00D52A0B">
        <w:t xml:space="preserve">Einwilligung durch aktives Verhalten </w:t>
      </w:r>
      <w:r w:rsidR="00B30E6F">
        <w:t>gaben</w:t>
      </w:r>
      <w:r w:rsidRPr="00D52A0B">
        <w:t xml:space="preserve"> und </w:t>
      </w:r>
      <w:r>
        <w:t xml:space="preserve">zuvor </w:t>
      </w:r>
      <w:r w:rsidRPr="00D52A0B">
        <w:t xml:space="preserve">über alle Umstände im Zusammenhang mit der Verarbeitung </w:t>
      </w:r>
      <w:r w:rsidR="00B30E6F">
        <w:t>informiert wurden</w:t>
      </w:r>
      <w:r w:rsidRPr="00D52A0B">
        <w:t xml:space="preserve">, </w:t>
      </w:r>
      <w:r w:rsidR="00B30E6F">
        <w:t xml:space="preserve">sodass </w:t>
      </w:r>
      <w:r w:rsidR="00B30E6F" w:rsidRPr="005F5895">
        <w:t>die</w:t>
      </w:r>
      <w:r w:rsidRPr="005F5895">
        <w:t xml:space="preserve"> </w:t>
      </w:r>
      <w:r w:rsidR="00B30E6F" w:rsidRPr="005F5895">
        <w:t xml:space="preserve">betroffenen </w:t>
      </w:r>
      <w:r w:rsidRPr="005F5895">
        <w:t>Person</w:t>
      </w:r>
      <w:r w:rsidR="005F5895" w:rsidRPr="005F5895">
        <w:t>en</w:t>
      </w:r>
      <w:r w:rsidRPr="00D52A0B">
        <w:t xml:space="preserve"> </w:t>
      </w:r>
      <w:r w:rsidR="005F5895">
        <w:t>ihre</w:t>
      </w:r>
      <w:r w:rsidR="00B30E6F">
        <w:t xml:space="preserve"> </w:t>
      </w:r>
      <w:r w:rsidR="00B30E6F" w:rsidRPr="005F5895">
        <w:t>Einwilligung</w:t>
      </w:r>
      <w:r w:rsidR="00B30E6F">
        <w:t xml:space="preserve"> in voller Kenntnis der</w:t>
      </w:r>
      <w:r w:rsidRPr="00D52A0B">
        <w:t xml:space="preserve"> Konsequenzen </w:t>
      </w:r>
      <w:r w:rsidR="00B30E6F">
        <w:t>abgaben</w:t>
      </w:r>
      <w:r w:rsidRPr="00D52A0B">
        <w:t xml:space="preserve">, die Einwilligung </w:t>
      </w:r>
      <w:r w:rsidR="00B30E6F">
        <w:t xml:space="preserve">also </w:t>
      </w:r>
      <w:r w:rsidRPr="00D52A0B">
        <w:t xml:space="preserve">in voller Kenntnis der Sachlage erteilt </w:t>
      </w:r>
      <w:r w:rsidR="00B30E6F">
        <w:t>wurde</w:t>
      </w:r>
      <w:r w:rsidRPr="00D52A0B">
        <w:t>.</w:t>
      </w:r>
      <w:r>
        <w:t xml:space="preserve"> Kann </w:t>
      </w:r>
      <w:r w:rsidR="00B30E6F">
        <w:t>der für die Verarbeitung</w:t>
      </w:r>
      <w:r>
        <w:t xml:space="preserve"> Verantwortliche </w:t>
      </w:r>
      <w:r w:rsidR="00B30E6F">
        <w:t xml:space="preserve">dies </w:t>
      </w:r>
      <w:r>
        <w:t>nicht nach</w:t>
      </w:r>
      <w:r w:rsidR="00B30E6F">
        <w:t>weisen</w:t>
      </w:r>
      <w:r>
        <w:t xml:space="preserve">, liegt keine rechtsgültige Einwilligung vor, d. h. die Verarbeitung </w:t>
      </w:r>
      <w:r w:rsidR="00B30E6F">
        <w:t>wird</w:t>
      </w:r>
      <w:r>
        <w:t xml:space="preserve"> </w:t>
      </w:r>
      <w:r w:rsidR="00B30E6F">
        <w:t xml:space="preserve">nicht </w:t>
      </w:r>
      <w:r>
        <w:t xml:space="preserve">durch </w:t>
      </w:r>
      <w:r w:rsidR="00B30E6F">
        <w:t>eine</w:t>
      </w:r>
      <w:r>
        <w:t xml:space="preserve"> Einwilligung legitimiert.</w:t>
      </w:r>
      <w:r>
        <w:rPr>
          <w:rStyle w:val="Funotenzeichen"/>
        </w:rPr>
        <w:footnoteReference w:id="7"/>
      </w:r>
    </w:p>
    <w:p w14:paraId="402148B8" w14:textId="0C50857A" w:rsidR="00687085" w:rsidRPr="00F61E50" w:rsidRDefault="00687085" w:rsidP="00687085">
      <w:r>
        <w:t>Damit eine Einwilligung als „freiwillig“ erteilt gilt, darf die Einwilligung entsprechend dem Urteil des EuGH</w:t>
      </w:r>
      <w:r>
        <w:rPr>
          <w:rStyle w:val="Funotenzeichen"/>
        </w:rPr>
        <w:footnoteReference w:id="8"/>
      </w:r>
      <w:r>
        <w:t xml:space="preserve"> </w:t>
      </w:r>
      <w:r w:rsidRPr="00AB6ECD">
        <w:t>keine zwingende Voraussetzung für Datenverarbeitungsvorgänge, die für die Erfüllung des Vertrags nicht erforderlich sind,</w:t>
      </w:r>
      <w:r>
        <w:t xml:space="preserve"> sein. Erfolgt eine medizinische Versorgung bei Privatpatienten, so ist </w:t>
      </w:r>
      <w:r w:rsidR="00E458DB">
        <w:t xml:space="preserve">die Abrechnung </w:t>
      </w:r>
      <w:r>
        <w:t>der Leistungen durch eine private Abrechnungsgesellschaft</w:t>
      </w:r>
      <w:r w:rsidR="00E458DB">
        <w:t xml:space="preserve"> (inclusive Forderungsübertragung</w:t>
      </w:r>
      <w:r w:rsidR="00E458DB">
        <w:rPr>
          <w:rStyle w:val="Funotenzeichen"/>
        </w:rPr>
        <w:footnoteReference w:id="9"/>
      </w:r>
      <w:r w:rsidR="00E458DB">
        <w:t>)</w:t>
      </w:r>
      <w:r>
        <w:t xml:space="preserve"> grundsätzlich nicht erforderlich, da der Leistungserbringer auch selbst abrechnen kann. Eine Verweigerung der Behandlung aufgrund der Tatsache, dass eine entsprechende Einwilligung verweigert wird, ist somit grundsätzlich nicht zulässig.</w:t>
      </w:r>
    </w:p>
    <w:p w14:paraId="57EF846C" w14:textId="585D1E4B" w:rsidR="00687085" w:rsidRDefault="005F5895" w:rsidP="00687085">
      <w:pPr>
        <w:pStyle w:val="berschrift2"/>
      </w:pPr>
      <w:bookmarkStart w:id="81" w:name="_Toc156289853"/>
      <w:bookmarkStart w:id="82" w:name="_Toc169934790"/>
      <w:r>
        <w:t>Art. </w:t>
      </w:r>
      <w:r w:rsidR="00687085">
        <w:t xml:space="preserve">6 </w:t>
      </w:r>
      <w:r>
        <w:t>Abs. </w:t>
      </w:r>
      <w:r w:rsidR="00687085">
        <w:t xml:space="preserve">1 </w:t>
      </w:r>
      <w:r>
        <w:t>lit. </w:t>
      </w:r>
      <w:r w:rsidR="00687085">
        <w:t>b</w:t>
      </w:r>
      <w:r w:rsidR="008F202B">
        <w:t xml:space="preserve"> DS-GVO</w:t>
      </w:r>
      <w:r w:rsidR="00687085">
        <w:t>: Vertrag; eine Vertragspartei muss betroffene Person sein</w:t>
      </w:r>
      <w:bookmarkEnd w:id="81"/>
      <w:bookmarkEnd w:id="82"/>
    </w:p>
    <w:p w14:paraId="1AB80B50" w14:textId="0B4E8635" w:rsidR="00687085" w:rsidRDefault="00687085" w:rsidP="00687085">
      <w:pPr>
        <w:spacing w:after="0"/>
      </w:pPr>
      <w:r>
        <w:t xml:space="preserve">Entsprechend </w:t>
      </w:r>
      <w:r w:rsidR="005F5895">
        <w:t>Art. </w:t>
      </w:r>
      <w:r w:rsidRPr="00124ED1">
        <w:t xml:space="preserve">6 </w:t>
      </w:r>
      <w:r w:rsidR="005F5895">
        <w:t>Abs. </w:t>
      </w:r>
      <w:r w:rsidRPr="00124ED1">
        <w:t xml:space="preserve">1 </w:t>
      </w:r>
      <w:r w:rsidR="005F5895">
        <w:t>lit. </w:t>
      </w:r>
      <w:r w:rsidRPr="00124ED1">
        <w:t xml:space="preserve">b </w:t>
      </w:r>
      <w:r>
        <w:t xml:space="preserve">DS-GVO kann eine Verarbeitung rechtmäßig erfolgen, </w:t>
      </w:r>
      <w:r w:rsidRPr="005F5895">
        <w:t>wenn</w:t>
      </w:r>
    </w:p>
    <w:p w14:paraId="2196BB01" w14:textId="3170A22E" w:rsidR="00687085" w:rsidRDefault="00687085" w:rsidP="00687085">
      <w:pPr>
        <w:pStyle w:val="Listenabsatz"/>
        <w:numPr>
          <w:ilvl w:val="0"/>
          <w:numId w:val="13"/>
        </w:numPr>
        <w:suppressAutoHyphens w:val="0"/>
        <w:spacing w:after="160" w:line="259" w:lineRule="auto"/>
      </w:pPr>
      <w:r w:rsidRPr="005F5895">
        <w:t>diese</w:t>
      </w:r>
      <w:r>
        <w:t xml:space="preserve"> Verarbeitung </w:t>
      </w:r>
      <w:r w:rsidRPr="00124ED1">
        <w:t>zur Erfüllung eines Vertrages</w:t>
      </w:r>
      <w:r w:rsidR="00B30E6F">
        <w:t xml:space="preserve"> (z. B. Behandlungsvertrag)</w:t>
      </w:r>
      <w:r>
        <w:t xml:space="preserve">, </w:t>
      </w:r>
      <w:r w:rsidRPr="00124ED1">
        <w:t xml:space="preserve">dessen Vertragspartei die betroffene Person ist </w:t>
      </w:r>
      <w:r w:rsidRPr="005F5895">
        <w:t>oder</w:t>
      </w:r>
    </w:p>
    <w:p w14:paraId="2E90DF05" w14:textId="77777777" w:rsidR="00687085" w:rsidRDefault="00687085" w:rsidP="00687085">
      <w:pPr>
        <w:pStyle w:val="Listenabsatz"/>
        <w:numPr>
          <w:ilvl w:val="0"/>
          <w:numId w:val="13"/>
        </w:numPr>
        <w:suppressAutoHyphens w:val="0"/>
        <w:spacing w:after="0" w:line="259" w:lineRule="auto"/>
        <w:ind w:left="714" w:hanging="357"/>
      </w:pPr>
      <w:r w:rsidRPr="005F5895">
        <w:t>zur</w:t>
      </w:r>
      <w:r w:rsidRPr="00124ED1">
        <w:t xml:space="preserve"> Durchführung vorvertraglicher Maßnahmen</w:t>
      </w:r>
      <w:r>
        <w:t xml:space="preserve">, welche </w:t>
      </w:r>
      <w:r w:rsidRPr="00124ED1">
        <w:t>auf Anfrage der betroffenen Person erfolgen</w:t>
      </w:r>
      <w:r>
        <w:t>,</w:t>
      </w:r>
    </w:p>
    <w:p w14:paraId="06C88B80" w14:textId="19CD5473" w:rsidR="00687085" w:rsidRDefault="00687085" w:rsidP="00687085">
      <w:r w:rsidRPr="005F5895">
        <w:t>erforderlich</w:t>
      </w:r>
      <w:r w:rsidRPr="00124ED1">
        <w:t xml:space="preserve"> ist.</w:t>
      </w:r>
      <w:r>
        <w:t xml:space="preserve"> Dabei erfasst </w:t>
      </w:r>
      <w:r w:rsidRPr="004D1A18">
        <w:t xml:space="preserve">„Vertrag“ </w:t>
      </w:r>
      <w:r>
        <w:t xml:space="preserve">grundsätzlich </w:t>
      </w:r>
      <w:r w:rsidRPr="004D1A18">
        <w:t>rechtsgeschäftliche oder rechtsgeschäftsähnliche Schuldverhältniss</w:t>
      </w:r>
      <w:r>
        <w:t xml:space="preserve">e, somit insbesondere auch </w:t>
      </w:r>
      <w:r w:rsidR="005F5895" w:rsidRPr="005F5895">
        <w:t>a</w:t>
      </w:r>
      <w:r w:rsidR="00B30E6F" w:rsidRPr="005F5895">
        <w:t>llg</w:t>
      </w:r>
      <w:r w:rsidR="00EC3E32" w:rsidRPr="005F5895">
        <w:t>e</w:t>
      </w:r>
      <w:r w:rsidR="00B30E6F" w:rsidRPr="005F5895">
        <w:t>meine</w:t>
      </w:r>
      <w:r w:rsidR="00B30E6F">
        <w:t xml:space="preserve"> Geschäftsbedingungen (</w:t>
      </w:r>
      <w:r>
        <w:t>AGB</w:t>
      </w:r>
      <w:r w:rsidR="00B30E6F">
        <w:t>)</w:t>
      </w:r>
      <w:r>
        <w:t xml:space="preserve">. Zu beachten ist jedoch, dass datenschutzrechtlich nur zur </w:t>
      </w:r>
      <w:r w:rsidRPr="004D1A18">
        <w:t>Erfüllung eines Vertrages</w:t>
      </w:r>
      <w:r>
        <w:t xml:space="preserve"> </w:t>
      </w:r>
      <w:r w:rsidRPr="004D1A18">
        <w:rPr>
          <w:b/>
          <w:bCs/>
        </w:rPr>
        <w:t>erforderliche</w:t>
      </w:r>
      <w:r>
        <w:t xml:space="preserve"> Verarbeitungen erfasst werden, somit ggf. andere in einem Vertrag erfasste Verarbeitungen von </w:t>
      </w:r>
      <w:r w:rsidR="005F5895">
        <w:t>Art. </w:t>
      </w:r>
      <w:r w:rsidRPr="00124ED1">
        <w:t xml:space="preserve">6 </w:t>
      </w:r>
      <w:r w:rsidR="005F5895">
        <w:t>Abs. </w:t>
      </w:r>
      <w:r w:rsidRPr="00124ED1">
        <w:t xml:space="preserve">1 </w:t>
      </w:r>
      <w:r w:rsidR="005F5895">
        <w:t>lit. </w:t>
      </w:r>
      <w:r w:rsidRPr="00124ED1">
        <w:t xml:space="preserve">b </w:t>
      </w:r>
      <w:r>
        <w:t xml:space="preserve">DS-GVO nicht legitimiert werden können. Es muss ein </w:t>
      </w:r>
      <w:r w:rsidRPr="004D1A18">
        <w:t>unmittelbarer Zusammenhang zwischen der Verarbeitung und dem konkreten Zweck des Vertragsverhältnisses beste</w:t>
      </w:r>
      <w:r>
        <w:t>hen.</w:t>
      </w:r>
      <w:r>
        <w:rPr>
          <w:rStyle w:val="Funotenzeichen"/>
        </w:rPr>
        <w:footnoteReference w:id="10"/>
      </w:r>
    </w:p>
    <w:p w14:paraId="569C6851" w14:textId="464D03E3" w:rsidR="00687085" w:rsidRDefault="00687085" w:rsidP="00687085">
      <w:r>
        <w:t xml:space="preserve">Verarbeitungen im </w:t>
      </w:r>
      <w:r w:rsidR="00B30E6F">
        <w:t>Rahmen</w:t>
      </w:r>
      <w:r>
        <w:t xml:space="preserve"> von </w:t>
      </w:r>
      <w:r w:rsidR="00B30E6F">
        <w:t>M</w:t>
      </w:r>
      <w:r w:rsidRPr="008B0D52">
        <w:t>itgliedschaft</w:t>
      </w:r>
      <w:r w:rsidR="00B30E6F">
        <w:t>sv</w:t>
      </w:r>
      <w:r>
        <w:t xml:space="preserve">erhältnissen, wie sie bei Vereinen und anderen entsprechenden Organisationen </w:t>
      </w:r>
      <w:r w:rsidR="00B30E6F">
        <w:t>vorkommen</w:t>
      </w:r>
      <w:r>
        <w:t xml:space="preserve">, können – </w:t>
      </w:r>
      <w:r w:rsidR="00B30E6F">
        <w:t xml:space="preserve">eine </w:t>
      </w:r>
      <w:r>
        <w:t xml:space="preserve">autonome Entscheidung der jeweiligen betroffenen Person vorausgesetzt – durch </w:t>
      </w:r>
      <w:r w:rsidR="005F5895">
        <w:t>Art. </w:t>
      </w:r>
      <w:r>
        <w:t xml:space="preserve">6 </w:t>
      </w:r>
      <w:r w:rsidR="005F5895">
        <w:t>Abs. </w:t>
      </w:r>
      <w:r>
        <w:t xml:space="preserve">1 </w:t>
      </w:r>
      <w:r w:rsidR="005F5895">
        <w:t>lit. </w:t>
      </w:r>
      <w:r>
        <w:t xml:space="preserve">b DS-GVO legitimiert werden. Hierbei ist die </w:t>
      </w:r>
      <w:r w:rsidR="00B30E6F">
        <w:t>Ausg</w:t>
      </w:r>
      <w:r>
        <w:t xml:space="preserve">estaltung des Vereinszweckes von Bedeutung, da ggf. durch </w:t>
      </w:r>
      <w:r w:rsidR="00B30E6F">
        <w:t>da</w:t>
      </w:r>
      <w:r>
        <w:t xml:space="preserve">rin enthaltene Vorgaben die Erforderlichkeit der Verarbeitung </w:t>
      </w:r>
      <w:r w:rsidR="00B30E6F">
        <w:t xml:space="preserve">zu </w:t>
      </w:r>
      <w:r w:rsidR="00B30E6F" w:rsidRPr="005F5895">
        <w:t>begründen</w:t>
      </w:r>
      <w:r w:rsidR="005F5895" w:rsidRPr="005F5895">
        <w:t xml:space="preserve"> </w:t>
      </w:r>
      <w:r w:rsidR="00B30E6F" w:rsidRPr="005F5895">
        <w:t>ist</w:t>
      </w:r>
      <w:r>
        <w:t>.</w:t>
      </w:r>
    </w:p>
    <w:p w14:paraId="495ADBD1" w14:textId="7249ADDC" w:rsidR="00687085" w:rsidRDefault="00687085" w:rsidP="00687085">
      <w:r w:rsidRPr="007E53F6">
        <w:t xml:space="preserve">Im </w:t>
      </w:r>
      <w:r w:rsidR="00B30E6F">
        <w:t>Zusammenhang mit Beschäftigten</w:t>
      </w:r>
      <w:r w:rsidRPr="007E53F6">
        <w:t xml:space="preserve"> ist</w:t>
      </w:r>
      <w:r>
        <w:t xml:space="preserve"> </w:t>
      </w:r>
      <w:r w:rsidRPr="007E53F6">
        <w:t xml:space="preserve">zu unterscheiden, in welchem Umfang eine Verarbeitung für die </w:t>
      </w:r>
      <w:r w:rsidR="00B30E6F">
        <w:t>Durchführung</w:t>
      </w:r>
      <w:r w:rsidRPr="007E53F6">
        <w:t xml:space="preserve"> de</w:t>
      </w:r>
      <w:r w:rsidR="00B30E6F">
        <w:t>r au</w:t>
      </w:r>
      <w:r w:rsidRPr="007E53F6">
        <w:t xml:space="preserve">s </w:t>
      </w:r>
      <w:r w:rsidR="00B30E6F">
        <w:t xml:space="preserve">dem </w:t>
      </w:r>
      <w:r w:rsidRPr="007E53F6">
        <w:t xml:space="preserve">Arbeitsvertrag </w:t>
      </w:r>
      <w:r w:rsidR="00B30E6F">
        <w:t xml:space="preserve">resultierenden Pflichten bzw. Aufgaben </w:t>
      </w:r>
      <w:r>
        <w:t xml:space="preserve">erforderlich </w:t>
      </w:r>
      <w:r w:rsidRPr="007E53F6">
        <w:t xml:space="preserve">ist und welche </w:t>
      </w:r>
      <w:r>
        <w:t xml:space="preserve">Verarbeitungen von Beschäftigtendaten </w:t>
      </w:r>
      <w:r w:rsidRPr="007E53F6">
        <w:t>nicht den eigentlichen Vertragszweck betreffen</w:t>
      </w:r>
      <w:r>
        <w:t xml:space="preserve">. Eine </w:t>
      </w:r>
      <w:r w:rsidRPr="007E53F6">
        <w:t xml:space="preserve">Videoüberwachung des Arbeitsplatzes </w:t>
      </w:r>
      <w:r>
        <w:t xml:space="preserve">beispielsweise wird i. d. R. </w:t>
      </w:r>
      <w:r w:rsidRPr="007E53F6">
        <w:t>für die Durchführung des Arbeitsverhältnisses nicht erforderlich</w:t>
      </w:r>
      <w:r>
        <w:t xml:space="preserve"> sein und kann somit </w:t>
      </w:r>
      <w:r w:rsidR="00B30E6F">
        <w:t xml:space="preserve">nur dann </w:t>
      </w:r>
      <w:r>
        <w:t>rechtmäßig erfolgen, wenn diese Verarbeitung auf eine andere Rechtsgrundlage gestützt werden kann.</w:t>
      </w:r>
    </w:p>
    <w:p w14:paraId="3DAFCC73" w14:textId="592B098F" w:rsidR="00687085" w:rsidRDefault="00687085" w:rsidP="00687085">
      <w:r>
        <w:t xml:space="preserve">Im Rahmen einer medizinischen Behandlung </w:t>
      </w:r>
      <w:r w:rsidR="00B30E6F">
        <w:t>besteht</w:t>
      </w:r>
      <w:r>
        <w:t xml:space="preserve"> in den meisten Fällen </w:t>
      </w:r>
      <w:r w:rsidR="00B30E6F">
        <w:t>auch</w:t>
      </w:r>
      <w:r>
        <w:t xml:space="preserve"> ein Vertragsverhältnis zwischen behandelnden Personen </w:t>
      </w:r>
      <w:r w:rsidR="00B30E6F">
        <w:t>und</w:t>
      </w:r>
      <w:r>
        <w:t xml:space="preserve"> den Patienten. Hierbei ist zu beachten, dass </w:t>
      </w:r>
      <w:r w:rsidR="005F5895">
        <w:t>Art. </w:t>
      </w:r>
      <w:r>
        <w:t xml:space="preserve">6 </w:t>
      </w:r>
      <w:r w:rsidR="005F5895">
        <w:t>Abs. </w:t>
      </w:r>
      <w:r>
        <w:t xml:space="preserve">1 </w:t>
      </w:r>
      <w:r w:rsidR="005F5895">
        <w:t>lit. </w:t>
      </w:r>
      <w:r>
        <w:t>b DS-GVO allein</w:t>
      </w:r>
      <w:r w:rsidR="00B30E6F">
        <w:t xml:space="preserve"> di</w:t>
      </w:r>
      <w:r>
        <w:t xml:space="preserve">e Verarbeitung von Gesundheitsdaten </w:t>
      </w:r>
      <w:r w:rsidR="00B30E6F">
        <w:t xml:space="preserve">nicht </w:t>
      </w:r>
      <w:r>
        <w:t xml:space="preserve">legitimieren kann, sondern Vertragsverhältnisse in diesem </w:t>
      </w:r>
      <w:r w:rsidR="00B30E6F">
        <w:t>Zusammenhang</w:t>
      </w:r>
      <w:r>
        <w:t xml:space="preserve"> den </w:t>
      </w:r>
      <w:r w:rsidR="00B30E6F">
        <w:t>Anforderungen</w:t>
      </w:r>
      <w:r>
        <w:t xml:space="preserve"> von </w:t>
      </w:r>
      <w:r w:rsidR="005F5895">
        <w:t>Art. </w:t>
      </w:r>
      <w:r>
        <w:t xml:space="preserve">9 </w:t>
      </w:r>
      <w:r w:rsidR="005F5895">
        <w:t>Abs. </w:t>
      </w:r>
      <w:r>
        <w:t xml:space="preserve">2 </w:t>
      </w:r>
      <w:r w:rsidR="005F5895">
        <w:t>lit. </w:t>
      </w:r>
      <w:r>
        <w:t xml:space="preserve">h und </w:t>
      </w:r>
      <w:r w:rsidR="005F5895">
        <w:t>Abs. </w:t>
      </w:r>
      <w:r>
        <w:t xml:space="preserve">3 DS-GVO genügen müssen (siehe Kapitel </w:t>
      </w:r>
      <w:r>
        <w:fldChar w:fldCharType="begin"/>
      </w:r>
      <w:r>
        <w:instrText xml:space="preserve"> REF _Ref156195371 \r \h </w:instrText>
      </w:r>
      <w:r>
        <w:fldChar w:fldCharType="separate"/>
      </w:r>
      <w:r w:rsidR="00F43608">
        <w:t>5.8</w:t>
      </w:r>
      <w:r>
        <w:fldChar w:fldCharType="end"/>
      </w:r>
      <w:r>
        <w:t>).</w:t>
      </w:r>
    </w:p>
    <w:p w14:paraId="1C43245B" w14:textId="24588709" w:rsidR="00687085" w:rsidRPr="00F61E50" w:rsidRDefault="00687085" w:rsidP="00687085">
      <w:r>
        <w:t xml:space="preserve">Vorvertragliche Maßnahmen wie beispielsweise </w:t>
      </w:r>
      <w:r w:rsidRPr="004D1A18">
        <w:t>Vertragsverhandlungen</w:t>
      </w:r>
      <w:r>
        <w:t xml:space="preserve"> können </w:t>
      </w:r>
      <w:r w:rsidR="00B30E6F">
        <w:t xml:space="preserve">nur dann </w:t>
      </w:r>
      <w:r>
        <w:t xml:space="preserve">durch </w:t>
      </w:r>
      <w:r w:rsidR="005F5895">
        <w:t>Art. </w:t>
      </w:r>
      <w:r w:rsidRPr="00124ED1">
        <w:t xml:space="preserve">6 </w:t>
      </w:r>
      <w:r w:rsidR="005F5895">
        <w:t>Abs. </w:t>
      </w:r>
      <w:r w:rsidRPr="00124ED1">
        <w:t xml:space="preserve">1 </w:t>
      </w:r>
      <w:r w:rsidR="005F5895">
        <w:t>lit. </w:t>
      </w:r>
      <w:r w:rsidRPr="00124ED1">
        <w:t xml:space="preserve">b </w:t>
      </w:r>
      <w:r>
        <w:t xml:space="preserve">DS-GVO legitimiert werden, wenn die Anfrage von der betroffenen Person ausgeht. Patienten, welche </w:t>
      </w:r>
      <w:r w:rsidR="00B30E6F">
        <w:t xml:space="preserve">sich </w:t>
      </w:r>
      <w:r>
        <w:t>zur Behandlung in</w:t>
      </w:r>
      <w:r w:rsidR="00B30E6F">
        <w:t xml:space="preserve"> ein</w:t>
      </w:r>
      <w:r>
        <w:t xml:space="preserve"> Krankenhaus </w:t>
      </w:r>
      <w:r w:rsidR="00B30E6F">
        <w:t>begeben</w:t>
      </w:r>
      <w:r>
        <w:t xml:space="preserve">, </w:t>
      </w:r>
      <w:r w:rsidR="00B30E6F">
        <w:t>dürfen</w:t>
      </w:r>
      <w:r w:rsidR="00B30E6F" w:rsidRPr="00B30E6F">
        <w:t xml:space="preserve"> </w:t>
      </w:r>
      <w:r w:rsidR="00B30E6F">
        <w:t xml:space="preserve">grundsätzlich nicht </w:t>
      </w:r>
      <w:r>
        <w:t xml:space="preserve">unter </w:t>
      </w:r>
      <w:r w:rsidR="00B30E6F">
        <w:t>Berufung</w:t>
      </w:r>
      <w:r>
        <w:t xml:space="preserve"> auf </w:t>
      </w:r>
      <w:r w:rsidR="005F5895">
        <w:t>Art. </w:t>
      </w:r>
      <w:r w:rsidRPr="00124ED1">
        <w:t xml:space="preserve">6 </w:t>
      </w:r>
      <w:r w:rsidR="005F5895">
        <w:t>Abs. </w:t>
      </w:r>
      <w:r w:rsidRPr="00124ED1">
        <w:t xml:space="preserve">1 </w:t>
      </w:r>
      <w:r w:rsidR="005F5895">
        <w:t>lit. </w:t>
      </w:r>
      <w:r w:rsidRPr="00124ED1">
        <w:t xml:space="preserve">b </w:t>
      </w:r>
      <w:r>
        <w:t>DS-GVO zur Bereitschaft zur Teilnahme an Forschungsprojekten angesprochen werden. Hier wird regel</w:t>
      </w:r>
      <w:r w:rsidR="00B30E6F">
        <w:t>mäßig</w:t>
      </w:r>
      <w:r>
        <w:t xml:space="preserve"> nur eine Interessenabwägung nach </w:t>
      </w:r>
      <w:r w:rsidR="005F5895">
        <w:t>Art. </w:t>
      </w:r>
      <w:r>
        <w:t xml:space="preserve">6 </w:t>
      </w:r>
      <w:r w:rsidR="005F5895">
        <w:t>Abs. </w:t>
      </w:r>
      <w:r>
        <w:t xml:space="preserve">1 </w:t>
      </w:r>
      <w:r w:rsidR="005F5895">
        <w:t>lit. </w:t>
      </w:r>
      <w:r>
        <w:t>f DS-GVO die Ansprache der Patienten legitimieren können.</w:t>
      </w:r>
    </w:p>
    <w:p w14:paraId="56D682F6" w14:textId="71ED7E43" w:rsidR="00687085" w:rsidRDefault="005F5895" w:rsidP="00687085">
      <w:pPr>
        <w:pStyle w:val="berschrift2"/>
      </w:pPr>
      <w:bookmarkStart w:id="83" w:name="_Toc156289854"/>
      <w:bookmarkStart w:id="84" w:name="_Toc169934791"/>
      <w:r>
        <w:t>Art. </w:t>
      </w:r>
      <w:r w:rsidR="00687085">
        <w:t xml:space="preserve">6 </w:t>
      </w:r>
      <w:r>
        <w:t>Abs. </w:t>
      </w:r>
      <w:r w:rsidR="00687085">
        <w:t xml:space="preserve">1 </w:t>
      </w:r>
      <w:r>
        <w:t>lit. </w:t>
      </w:r>
      <w:r w:rsidR="00687085">
        <w:t>c</w:t>
      </w:r>
      <w:r w:rsidR="008F202B">
        <w:t xml:space="preserve"> DS-GVO</w:t>
      </w:r>
      <w:r w:rsidR="00687085">
        <w:t xml:space="preserve">: </w:t>
      </w:r>
      <w:r w:rsidR="00687085" w:rsidRPr="005F5895">
        <w:t>Zur</w:t>
      </w:r>
      <w:r w:rsidR="00687085">
        <w:t xml:space="preserve"> Erfüllung einer rechtlichen Verpflichtung erforderlich</w:t>
      </w:r>
      <w:bookmarkEnd w:id="83"/>
      <w:bookmarkEnd w:id="84"/>
    </w:p>
    <w:p w14:paraId="7E6AF147" w14:textId="271031FA" w:rsidR="00687085" w:rsidRDefault="005F5895" w:rsidP="00687085">
      <w:r>
        <w:t>Art. </w:t>
      </w:r>
      <w:r w:rsidR="00687085" w:rsidRPr="007E53F6">
        <w:t xml:space="preserve">6 </w:t>
      </w:r>
      <w:r>
        <w:t>Abs. </w:t>
      </w:r>
      <w:r w:rsidR="00687085" w:rsidRPr="007E53F6">
        <w:t xml:space="preserve">1 </w:t>
      </w:r>
      <w:r>
        <w:t>lit. </w:t>
      </w:r>
      <w:r w:rsidR="00687085">
        <w:t xml:space="preserve">c DS-GVO selbst kann keine Verarbeitung legitimieren, sondern entsprechend </w:t>
      </w:r>
      <w:r>
        <w:t>Art. </w:t>
      </w:r>
      <w:r w:rsidR="00687085">
        <w:t xml:space="preserve">6 </w:t>
      </w:r>
      <w:r>
        <w:t>Abs. </w:t>
      </w:r>
      <w:r w:rsidR="00687085">
        <w:t xml:space="preserve">3 DS-GVO muss immer </w:t>
      </w:r>
      <w:r w:rsidR="00687085" w:rsidRPr="007E53F6">
        <w:t>eine</w:t>
      </w:r>
      <w:r w:rsidR="00687085">
        <w:t xml:space="preserve"> den Anforderungen des </w:t>
      </w:r>
      <w:r>
        <w:t>Art. </w:t>
      </w:r>
      <w:r w:rsidR="00687085">
        <w:t xml:space="preserve">6 </w:t>
      </w:r>
      <w:r>
        <w:t>Abs. </w:t>
      </w:r>
      <w:r w:rsidR="00687085">
        <w:t xml:space="preserve">3 DS-GVO genügende </w:t>
      </w:r>
      <w:r w:rsidR="00687085" w:rsidRPr="007E53F6">
        <w:t xml:space="preserve">konkrete Grundlage im Unionsrecht oder im Recht </w:t>
      </w:r>
      <w:r w:rsidR="00687085">
        <w:t xml:space="preserve">des jeweiligen </w:t>
      </w:r>
      <w:r w:rsidR="00687085" w:rsidRPr="007E53F6">
        <w:t>Mitgliedstaats bestehen</w:t>
      </w:r>
      <w:r w:rsidR="00687085">
        <w:t>.</w:t>
      </w:r>
    </w:p>
    <w:p w14:paraId="67B72FCB" w14:textId="1DEC8AB9" w:rsidR="00687085" w:rsidRDefault="00687085" w:rsidP="00687085">
      <w:r w:rsidRPr="004D1A18">
        <w:t xml:space="preserve">Die in einer </w:t>
      </w:r>
      <w:r>
        <w:t xml:space="preserve">nationalen oder europarechtlichen </w:t>
      </w:r>
      <w:r w:rsidRPr="004D1A18">
        <w:t xml:space="preserve">Vorschrift des objektiven Rechts </w:t>
      </w:r>
      <w:r>
        <w:t xml:space="preserve">enthaltene </w:t>
      </w:r>
      <w:r w:rsidRPr="004D1A18">
        <w:t xml:space="preserve">rechtliche Verpflichtung muss sich </w:t>
      </w:r>
      <w:r>
        <w:t xml:space="preserve">gemäß </w:t>
      </w:r>
      <w:r w:rsidR="005F5895">
        <w:t>Art. </w:t>
      </w:r>
      <w:r>
        <w:t xml:space="preserve">6 </w:t>
      </w:r>
      <w:r w:rsidR="005F5895">
        <w:t>Abs. </w:t>
      </w:r>
      <w:r w:rsidRPr="007E53F6">
        <w:t>3 S.</w:t>
      </w:r>
      <w:r>
        <w:t> </w:t>
      </w:r>
      <w:r w:rsidRPr="007E53F6">
        <w:t>1</w:t>
      </w:r>
      <w:r>
        <w:t xml:space="preserve"> DS-GVO </w:t>
      </w:r>
      <w:r w:rsidRPr="004D1A18">
        <w:t>unmittelbar auf die Datenverarbeitung beziehen</w:t>
      </w:r>
      <w:r>
        <w:t xml:space="preserve">. </w:t>
      </w:r>
      <w:r w:rsidR="005F5895">
        <w:t>Art. </w:t>
      </w:r>
      <w:r>
        <w:t xml:space="preserve">6 </w:t>
      </w:r>
      <w:r w:rsidR="005F5895">
        <w:t>Abs. </w:t>
      </w:r>
      <w:r>
        <w:t xml:space="preserve">1 </w:t>
      </w:r>
      <w:r w:rsidR="005F5895">
        <w:t>lit. </w:t>
      </w:r>
      <w:r>
        <w:t xml:space="preserve">c DS-GVO adressiert somit ausschließlich </w:t>
      </w:r>
      <w:r w:rsidRPr="00071DBD">
        <w:t>Verpflichtung</w:t>
      </w:r>
      <w:r>
        <w:t>en</w:t>
      </w:r>
      <w:r w:rsidRPr="00071DBD">
        <w:t xml:space="preserve"> kraft objektiven Rechts</w:t>
      </w:r>
      <w:r>
        <w:t>, jedoch keine gesetzlich geregelten Möglichkeiten, um personenbezogene Daten zu verarbeiten. Allein de</w:t>
      </w:r>
      <w:r w:rsidRPr="004D1A18">
        <w:t>r Umstand, dass ein Verantwortlicher</w:t>
      </w:r>
      <w:r>
        <w:t xml:space="preserve"> eine </w:t>
      </w:r>
      <w:r w:rsidRPr="004D1A18">
        <w:t xml:space="preserve">rechtliche Verpflichtung erfüllen </w:t>
      </w:r>
      <w:r>
        <w:t xml:space="preserve">soll, kann die Verarbeitung </w:t>
      </w:r>
      <w:r w:rsidRPr="004D1A18">
        <w:t xml:space="preserve">personenbezogene Daten </w:t>
      </w:r>
      <w:r>
        <w:t xml:space="preserve">dabei auch nicht legitimieren, denn </w:t>
      </w:r>
      <w:r w:rsidR="005F5895">
        <w:t>Art. </w:t>
      </w:r>
      <w:r>
        <w:t>6</w:t>
      </w:r>
      <w:r w:rsidRPr="007E53F6">
        <w:t xml:space="preserve"> </w:t>
      </w:r>
      <w:r w:rsidR="005F5895">
        <w:t>Abs. </w:t>
      </w:r>
      <w:r w:rsidRPr="007E53F6">
        <w:t>3 S.</w:t>
      </w:r>
      <w:r>
        <w:t> </w:t>
      </w:r>
      <w:r w:rsidRPr="007E53F6">
        <w:t xml:space="preserve">2 und 4 </w:t>
      </w:r>
      <w:r>
        <w:t>DS-GVO verlangt „</w:t>
      </w:r>
      <w:r w:rsidRPr="007E53F6">
        <w:t>spezifische Bestimmungen</w:t>
      </w:r>
      <w:r>
        <w:t>“. Wenn die Verarbeitung seitens Gesetzes nicht konkret genug vorgeschrieben ist, wird zudem die Erforderlichkeit der Verarbeitung rechtlich nur schwer darstellbar sein.</w:t>
      </w:r>
    </w:p>
    <w:p w14:paraId="79B17A73" w14:textId="77777777" w:rsidR="00687085" w:rsidRDefault="00687085" w:rsidP="00687085">
      <w:r>
        <w:t xml:space="preserve">Im deutschen Recht finden sich beispielsweise diverse Verpflichtungen zur </w:t>
      </w:r>
      <w:r w:rsidRPr="00071DBD">
        <w:t>Speicherung und Übermittlung</w:t>
      </w:r>
      <w:r>
        <w:t xml:space="preserve"> von Daten, z. B. im Steuer- oder Telekommunikationsrecht. Diese fallen unter diese Regelung, da sie den Verantwortlichen zu einer bestimmten Verarbeitung verpflichten.</w:t>
      </w:r>
    </w:p>
    <w:p w14:paraId="28B389B6" w14:textId="1197E8CE" w:rsidR="00687085" w:rsidRDefault="00687085" w:rsidP="00687085">
      <w:r>
        <w:t xml:space="preserve">Gesetzliche Erlaubnistatbestände, Daten zu verarbeiten, wenn der Verantwortliche dies möchte, fallen hingegen nicht darunter; ohne eine Pflicht zur Verarbeitung für den Verantwortlichen ist die </w:t>
      </w:r>
      <w:r w:rsidRPr="00071DBD">
        <w:t>Bedingung der Erforderlichkeit</w:t>
      </w:r>
      <w:r>
        <w:t xml:space="preserve"> nicht erfüllt.</w:t>
      </w:r>
      <w:r>
        <w:rPr>
          <w:rStyle w:val="Funotenzeichen"/>
        </w:rPr>
        <w:footnoteReference w:id="11"/>
      </w:r>
      <w:r>
        <w:t xml:space="preserve"> Somit finden gesetzliche Regelungen, welche die Verarbeitung z. B. für </w:t>
      </w:r>
      <w:r w:rsidRPr="00071DBD">
        <w:t>wissenschaftliche oder historische Forschungszwecke sowie statistische Zwecke</w:t>
      </w:r>
      <w:r>
        <w:t xml:space="preserve"> </w:t>
      </w:r>
      <w:r w:rsidRPr="00624CC8">
        <w:t>erlauben</w:t>
      </w:r>
      <w:r>
        <w:t xml:space="preserve">, keine Entsprechung in </w:t>
      </w:r>
      <w:r w:rsidR="005F5895">
        <w:t>Art. </w:t>
      </w:r>
      <w:r>
        <w:t xml:space="preserve">6 </w:t>
      </w:r>
      <w:r w:rsidR="005F5895">
        <w:t>Abs. </w:t>
      </w:r>
      <w:r>
        <w:t xml:space="preserve">1 </w:t>
      </w:r>
      <w:r w:rsidR="005F5895">
        <w:t>lit. </w:t>
      </w:r>
      <w:r>
        <w:t xml:space="preserve">c DS-GVO. D. h., in diesen Fällen muss ein anderer Rechtfertigungstatbestand aus </w:t>
      </w:r>
      <w:r w:rsidR="005F5895">
        <w:t>Art. </w:t>
      </w:r>
      <w:r>
        <w:t xml:space="preserve">6 </w:t>
      </w:r>
      <w:r w:rsidR="005F5895">
        <w:t>Abs. </w:t>
      </w:r>
      <w:r>
        <w:t>1 DS-GVO gefunden werden.</w:t>
      </w:r>
    </w:p>
    <w:p w14:paraId="0AB6CF61" w14:textId="0416F358" w:rsidR="00687085" w:rsidRDefault="005F5895" w:rsidP="00687085">
      <w:pPr>
        <w:pStyle w:val="berschrift2"/>
      </w:pPr>
      <w:bookmarkStart w:id="85" w:name="_Toc156289855"/>
      <w:bookmarkStart w:id="86" w:name="_Toc169934792"/>
      <w:r>
        <w:t>Art. </w:t>
      </w:r>
      <w:r w:rsidR="00687085">
        <w:t xml:space="preserve">6 </w:t>
      </w:r>
      <w:r>
        <w:t>Abs. </w:t>
      </w:r>
      <w:r w:rsidR="00687085">
        <w:t xml:space="preserve">1 </w:t>
      </w:r>
      <w:r>
        <w:t>lit. </w:t>
      </w:r>
      <w:r w:rsidR="00687085">
        <w:t>d</w:t>
      </w:r>
      <w:r w:rsidR="008F202B">
        <w:t xml:space="preserve"> DS-GVO</w:t>
      </w:r>
      <w:r w:rsidR="00687085">
        <w:t xml:space="preserve">: </w:t>
      </w:r>
      <w:r w:rsidR="00687085" w:rsidRPr="005F5895">
        <w:t>Erforderlich</w:t>
      </w:r>
      <w:r w:rsidR="00687085">
        <w:t>, um lebenswichtige Interessen der betroffenen Person oder einer anderen natürlichen Person zu schützen</w:t>
      </w:r>
      <w:bookmarkEnd w:id="85"/>
      <w:bookmarkEnd w:id="86"/>
    </w:p>
    <w:p w14:paraId="223E81EC" w14:textId="25B38BF8" w:rsidR="00687085" w:rsidRDefault="00687085" w:rsidP="00687085">
      <w:r>
        <w:t xml:space="preserve">Entsprechend </w:t>
      </w:r>
      <w:r w:rsidR="008B0D52">
        <w:t>ErwGr. </w:t>
      </w:r>
      <w:r>
        <w:t xml:space="preserve">112 S. 2 DS-GVO wird unter </w:t>
      </w:r>
      <w:r w:rsidRPr="004D1A18">
        <w:t xml:space="preserve">lebenswichtigen Interessen </w:t>
      </w:r>
      <w:r>
        <w:t xml:space="preserve">die </w:t>
      </w:r>
      <w:r w:rsidRPr="004D1A18">
        <w:t xml:space="preserve">körperliche Unversehrtheit oder </w:t>
      </w:r>
      <w:r>
        <w:t xml:space="preserve">eine Gefährdung </w:t>
      </w:r>
      <w:r w:rsidRPr="004D1A18">
        <w:t xml:space="preserve">des Lebens </w:t>
      </w:r>
      <w:r>
        <w:t>selbst verstanden, sei es die</w:t>
      </w:r>
      <w:r w:rsidRPr="004D1A18">
        <w:t xml:space="preserve"> betroffene Person </w:t>
      </w:r>
      <w:r>
        <w:t xml:space="preserve">selbst </w:t>
      </w:r>
      <w:r w:rsidRPr="004D1A18">
        <w:t>oder einer anderen Person</w:t>
      </w:r>
      <w:r>
        <w:t xml:space="preserve"> betreffend.</w:t>
      </w:r>
    </w:p>
    <w:p w14:paraId="530B11BA" w14:textId="3FE73BBD" w:rsidR="00687085" w:rsidRDefault="008B0D52" w:rsidP="00687085">
      <w:r>
        <w:t>ErwGr. </w:t>
      </w:r>
      <w:r w:rsidR="00687085">
        <w:t>46 S. 2 DS-GVO beinhaltet die Vorgabe, dass personenbezogene Daten „</w:t>
      </w:r>
      <w:r w:rsidR="00687085" w:rsidRPr="007E53F6">
        <w:t>grundsätzlich nur dann aufgrund eines lebenswichtigen Interesses einer anderen natürlichen Person verarbeitet werden</w:t>
      </w:r>
      <w:r w:rsidR="00687085">
        <w:t xml:space="preserve"> [sollten]</w:t>
      </w:r>
      <w:r w:rsidR="00687085" w:rsidRPr="007E53F6">
        <w:t>, wenn die Verarbeitung offensichtlich nicht auf eine andere Rechtsgrundlage gestützt werden kann</w:t>
      </w:r>
      <w:r w:rsidR="00687085">
        <w:t>“</w:t>
      </w:r>
      <w:r w:rsidR="00687085" w:rsidRPr="007E53F6">
        <w:t>.</w:t>
      </w:r>
      <w:r w:rsidR="00687085">
        <w:t xml:space="preserve"> Insbesondere bei der Argumentation hinsichtlich der Erforderlichkeit der Verarbeitung bzgl. lebenswichtiger Interessen </w:t>
      </w:r>
      <w:r w:rsidR="00687085" w:rsidRPr="005F5895">
        <w:t>Dritter</w:t>
      </w:r>
      <w:r w:rsidR="00687085">
        <w:t xml:space="preserve"> ist daher diese vorgegebene N</w:t>
      </w:r>
      <w:r w:rsidR="00687085" w:rsidRPr="007E53F6">
        <w:t>achrang</w:t>
      </w:r>
      <w:r w:rsidR="00687085">
        <w:t>igkeit</w:t>
      </w:r>
      <w:r w:rsidR="00687085" w:rsidRPr="007E53F6">
        <w:t xml:space="preserve"> dieses Rechtsgrunds </w:t>
      </w:r>
      <w:r w:rsidR="00687085">
        <w:t>zu beachten.</w:t>
      </w:r>
    </w:p>
    <w:p w14:paraId="6AB3E1FC" w14:textId="4154F738" w:rsidR="00687085" w:rsidRDefault="00687085" w:rsidP="00687085">
      <w:r>
        <w:t xml:space="preserve">In Anbetracht der Vorgabe des EuGH, dass die Tatbestände von </w:t>
      </w:r>
      <w:r w:rsidR="005F5895">
        <w:t>Art. </w:t>
      </w:r>
      <w:r>
        <w:t>6 und 9 DS-GVO eng auszulegen sind,</w:t>
      </w:r>
      <w:r>
        <w:rPr>
          <w:rStyle w:val="Funotenzeichen"/>
        </w:rPr>
        <w:footnoteReference w:id="12"/>
      </w:r>
      <w:r>
        <w:t xml:space="preserve"> wird man bei diesem Tatbestand immer eine natürliche Person, welche bezüglich ihrer k</w:t>
      </w:r>
      <w:r w:rsidRPr="004D1A18">
        <w:t>örperlichen Integrität und Gesundheit</w:t>
      </w:r>
      <w:r>
        <w:t xml:space="preserve"> entsprechend gefährdet ist, benennen müssen. Eine abstrakte Gefährdung wird hier keine Verarbeitung legitimieren können.</w:t>
      </w:r>
    </w:p>
    <w:p w14:paraId="11F18373" w14:textId="4143F655" w:rsidR="00687085" w:rsidRDefault="005F5895" w:rsidP="00687085">
      <w:pPr>
        <w:pStyle w:val="berschrift2"/>
      </w:pPr>
      <w:bookmarkStart w:id="87" w:name="_Toc156289856"/>
      <w:bookmarkStart w:id="88" w:name="_Toc169934793"/>
      <w:r>
        <w:t>Art. </w:t>
      </w:r>
      <w:r w:rsidR="00687085">
        <w:t xml:space="preserve">6 </w:t>
      </w:r>
      <w:r>
        <w:t>Abs. </w:t>
      </w:r>
      <w:r w:rsidR="00687085">
        <w:t xml:space="preserve">1 </w:t>
      </w:r>
      <w:r>
        <w:t>lit. </w:t>
      </w:r>
      <w:r w:rsidR="00687085">
        <w:t>e</w:t>
      </w:r>
      <w:r w:rsidR="008F202B">
        <w:t xml:space="preserve"> DS-GVO</w:t>
      </w:r>
      <w:r w:rsidR="00687085">
        <w:t>: Erforderlich für Wahrnehmung einer Aufgabe, die im öffentlichen Interesse liegt oder in Ausübung öffentlicher Gewalt, die Verantwortlichen übertragen wurde, erfolgt</w:t>
      </w:r>
      <w:bookmarkEnd w:id="87"/>
      <w:bookmarkEnd w:id="88"/>
    </w:p>
    <w:p w14:paraId="794C92C3" w14:textId="7AF62EFC" w:rsidR="00687085" w:rsidRDefault="00687085" w:rsidP="00687085">
      <w:r>
        <w:t xml:space="preserve">Entsprechend </w:t>
      </w:r>
      <w:r w:rsidR="008B0D52">
        <w:t>ErwGr. </w:t>
      </w:r>
      <w:r>
        <w:t>45 S. 1 DS-GVO wird durch diese Regelung einerseits eine erforderliche V</w:t>
      </w:r>
      <w:r w:rsidRPr="007E53F6">
        <w:t>erarbeitung zur Wahrnehmung einer Aufgabe im öffentlichen Interesse</w:t>
      </w:r>
      <w:r>
        <w:t xml:space="preserve"> adressiert, andererseits eine erforderliche Verarbeitung im Kontext der </w:t>
      </w:r>
      <w:r w:rsidRPr="007E53F6">
        <w:t>Ausübung öffentlicher Gewalt</w:t>
      </w:r>
      <w:r>
        <w:t>. Dies kann grundsätzlich auch durch e</w:t>
      </w:r>
      <w:r w:rsidRPr="007E53F6">
        <w:t>ine natürliche oder juristische Person des Privatrechts, der diese Aufgabe übertragen worden ist</w:t>
      </w:r>
      <w:r>
        <w:t>, erfolgen.</w:t>
      </w:r>
      <w:r>
        <w:rPr>
          <w:rStyle w:val="Funotenzeichen"/>
        </w:rPr>
        <w:footnoteReference w:id="13"/>
      </w:r>
    </w:p>
    <w:p w14:paraId="09A747B1" w14:textId="77777777" w:rsidR="00687085" w:rsidRDefault="00687085" w:rsidP="00687085">
      <w:r>
        <w:t xml:space="preserve">Normadressat der Regelung </w:t>
      </w:r>
      <w:r w:rsidRPr="007E53F6">
        <w:t xml:space="preserve">sind </w:t>
      </w:r>
      <w:r>
        <w:t xml:space="preserve">jedoch ausschließlich </w:t>
      </w:r>
      <w:r w:rsidRPr="007E53F6">
        <w:t xml:space="preserve">diejenigen Verantwortlichen, denen eine solche Aufgabe </w:t>
      </w:r>
      <w:r>
        <w:t xml:space="preserve">auch tatsächlich </w:t>
      </w:r>
      <w:r w:rsidRPr="007E53F6">
        <w:t>übertragen wurde</w:t>
      </w:r>
      <w:r>
        <w:t>, Dritte werden nicht adressiert</w:t>
      </w:r>
      <w:r w:rsidRPr="007E53F6">
        <w:t>.</w:t>
      </w:r>
      <w:r>
        <w:t xml:space="preserve"> Insbesondere kann somit eine Weitergabe an Dritte, wie sie möglicherweise durch Nutzung von IT-Systemen im Rahmen von Wartungsmaßnahmen oder Zugriff durch Behörden aus Drittländern erfolgen könnte, grundsätzlich nicht durch diese Regelung legitimiert werden.</w:t>
      </w:r>
    </w:p>
    <w:p w14:paraId="717606B9" w14:textId="7063FF89" w:rsidR="00687085" w:rsidRDefault="00687085" w:rsidP="00687085">
      <w:r>
        <w:t xml:space="preserve">Zu beachten </w:t>
      </w:r>
      <w:r w:rsidR="00624CC8">
        <w:t xml:space="preserve">ist </w:t>
      </w:r>
      <w:r>
        <w:t xml:space="preserve">hierbei, dass </w:t>
      </w:r>
      <w:r w:rsidR="005F5895">
        <w:t>Art. </w:t>
      </w:r>
      <w:r w:rsidRPr="007E53F6">
        <w:t xml:space="preserve">6 </w:t>
      </w:r>
      <w:r w:rsidR="005F5895">
        <w:t>Abs. </w:t>
      </w:r>
      <w:r w:rsidRPr="007E53F6">
        <w:t xml:space="preserve">1 </w:t>
      </w:r>
      <w:r w:rsidR="005F5895">
        <w:t>lit. </w:t>
      </w:r>
      <w:r w:rsidRPr="007E53F6">
        <w:t>e</w:t>
      </w:r>
      <w:r>
        <w:t xml:space="preserve"> DS-GVO allein eine Verarbeitung </w:t>
      </w:r>
      <w:r w:rsidR="00624CC8">
        <w:t xml:space="preserve">nicht </w:t>
      </w:r>
      <w:r>
        <w:t xml:space="preserve">legitimieren kann, sondern entsprechend </w:t>
      </w:r>
      <w:r w:rsidR="005F5895">
        <w:t>Art. </w:t>
      </w:r>
      <w:r>
        <w:t xml:space="preserve">6 </w:t>
      </w:r>
      <w:r w:rsidR="005F5895">
        <w:t>Abs. </w:t>
      </w:r>
      <w:r>
        <w:t xml:space="preserve">3 DS-GVO </w:t>
      </w:r>
      <w:r w:rsidR="00624CC8">
        <w:t>stets</w:t>
      </w:r>
      <w:r>
        <w:t xml:space="preserve"> </w:t>
      </w:r>
      <w:r w:rsidRPr="007E53F6">
        <w:t>eine</w:t>
      </w:r>
      <w:r>
        <w:t xml:space="preserve"> den Anforderungen des </w:t>
      </w:r>
      <w:r w:rsidR="005F5895">
        <w:t>Art. </w:t>
      </w:r>
      <w:r>
        <w:t xml:space="preserve">6 </w:t>
      </w:r>
      <w:r w:rsidR="005F5895">
        <w:t>Abs. </w:t>
      </w:r>
      <w:r>
        <w:t xml:space="preserve">3 DS-GVO genügende </w:t>
      </w:r>
      <w:r w:rsidRPr="007E53F6">
        <w:t xml:space="preserve">konkrete Grundlage im Unionsrecht oder im Recht </w:t>
      </w:r>
      <w:r>
        <w:t xml:space="preserve">des jeweiligen </w:t>
      </w:r>
      <w:r w:rsidRPr="007E53F6">
        <w:t xml:space="preserve">Mitgliedstaats </w:t>
      </w:r>
      <w:r w:rsidR="00624CC8">
        <w:t>vorliegen</w:t>
      </w:r>
      <w:r>
        <w:t xml:space="preserve"> muss. Die konkrete Befugnis zur Verarbeitung muss dem jeweiligen Verantwortlichen im Rahmen der sachlichen Verantwortung somit gesetzlich zugewiesen sein.</w:t>
      </w:r>
    </w:p>
    <w:p w14:paraId="57ECD49A" w14:textId="697AE095" w:rsidR="00687085" w:rsidRDefault="008B0D52" w:rsidP="00687085">
      <w:r>
        <w:t>ErwGr. </w:t>
      </w:r>
      <w:r w:rsidR="00687085">
        <w:t>45 S. 2 DS-GVO betont, dass die DS-GVO „</w:t>
      </w:r>
      <w:r w:rsidR="00687085" w:rsidRPr="005024BB">
        <w:t>nicht für jede einzelne Verarbeitung ein spezifisches Gesetz verlang</w:t>
      </w:r>
      <w:r w:rsidR="00687085">
        <w:t>t“, sondern e</w:t>
      </w:r>
      <w:r w:rsidR="00687085" w:rsidRPr="005024BB">
        <w:t>in Gesetz als Grundlage für mehrere Verarbeitungsvorgänge ausreichend sein</w:t>
      </w:r>
      <w:r w:rsidR="00687085">
        <w:t xml:space="preserve"> kann</w:t>
      </w:r>
      <w:r w:rsidR="00687085" w:rsidRPr="005024BB">
        <w:t xml:space="preserve">, wenn die </w:t>
      </w:r>
      <w:r w:rsidR="00687085">
        <w:t xml:space="preserve">jeweilige </w:t>
      </w:r>
      <w:r w:rsidR="00687085" w:rsidRPr="005024BB">
        <w:t>Verarbeitung aufgrund einer dem Verantwortlichen obliegenden rechtlichen Verpflichtung erfolgt</w:t>
      </w:r>
      <w:r w:rsidR="00687085">
        <w:t>. Eine konkrete gesetzliche Grundlage muss zur Nutzung dieses Rechtfertigungstatbestandes jedoch immer vorhanden sein. Als im ö</w:t>
      </w:r>
      <w:r w:rsidR="00687085" w:rsidRPr="005024BB">
        <w:t>ffentliche</w:t>
      </w:r>
      <w:r w:rsidR="00687085">
        <w:t>n</w:t>
      </w:r>
      <w:r w:rsidR="00687085" w:rsidRPr="005024BB">
        <w:t xml:space="preserve"> </w:t>
      </w:r>
      <w:r w:rsidR="00687085">
        <w:t xml:space="preserve">Interesse liegende Verarbeitungen führt </w:t>
      </w:r>
      <w:r>
        <w:t>ErwGr. </w:t>
      </w:r>
      <w:r w:rsidR="00687085">
        <w:t>45 S. </w:t>
      </w:r>
      <w:r w:rsidR="003C7352">
        <w:t>6</w:t>
      </w:r>
      <w:r w:rsidR="00687085">
        <w:t xml:space="preserve"> beispielhaft </w:t>
      </w:r>
      <w:r w:rsidR="00687085" w:rsidRPr="005024BB">
        <w:t>gesundheitliche Zwecke wie die öffentliche Gesundheit</w:t>
      </w:r>
      <w:r w:rsidR="00687085">
        <w:t xml:space="preserve">, </w:t>
      </w:r>
      <w:r w:rsidR="00687085" w:rsidRPr="005024BB">
        <w:t>die soziale Sicherheit oder die Verwaltung von Leistungen der Gesundheitsfürsorg</w:t>
      </w:r>
      <w:r w:rsidR="00687085">
        <w:t>e auf.</w:t>
      </w:r>
    </w:p>
    <w:p w14:paraId="5BF3E3CE" w14:textId="72B9C4DF" w:rsidR="00F72024" w:rsidRDefault="00F72024" w:rsidP="00F72024">
      <w:pPr>
        <w:spacing w:after="0"/>
      </w:pPr>
      <w:r>
        <w:t>D.</w:t>
      </w:r>
      <w:r w:rsidR="00F446CC">
        <w:t> </w:t>
      </w:r>
      <w:r>
        <w:t xml:space="preserve">h., behauptet ein Verantwortlicher, er handele im „öffentlichen Interesse“, muss der Verantwortliche </w:t>
      </w:r>
      <w:r w:rsidRPr="005F5895">
        <w:t>insbesondere</w:t>
      </w:r>
    </w:p>
    <w:p w14:paraId="36773E36" w14:textId="06E98825" w:rsidR="00F72024" w:rsidRDefault="00F72024">
      <w:pPr>
        <w:pStyle w:val="Listenabsatz"/>
        <w:numPr>
          <w:ilvl w:val="0"/>
          <w:numId w:val="31"/>
        </w:numPr>
      </w:pPr>
      <w:r w:rsidRPr="005F5895">
        <w:t>das</w:t>
      </w:r>
      <w:r>
        <w:t xml:space="preserve"> konkrete Interesse benennen,</w:t>
      </w:r>
    </w:p>
    <w:p w14:paraId="179A786F" w14:textId="140A56F1" w:rsidR="00F72024" w:rsidRDefault="003C7352">
      <w:pPr>
        <w:pStyle w:val="Listenabsatz"/>
        <w:numPr>
          <w:ilvl w:val="0"/>
          <w:numId w:val="31"/>
        </w:numPr>
      </w:pPr>
      <w:r>
        <w:t>n</w:t>
      </w:r>
      <w:r w:rsidR="00F72024">
        <w:t>achweisen, dass es sich um ein öffentliches Interesse handelt,</w:t>
      </w:r>
    </w:p>
    <w:p w14:paraId="66ED6FA8" w14:textId="4DF5561B" w:rsidR="00F72024" w:rsidRDefault="003C7352">
      <w:pPr>
        <w:pStyle w:val="Listenabsatz"/>
        <w:numPr>
          <w:ilvl w:val="0"/>
          <w:numId w:val="31"/>
        </w:numPr>
      </w:pPr>
      <w:r>
        <w:t>d</w:t>
      </w:r>
      <w:r w:rsidR="00F72024">
        <w:t>ie gesetzliche Regelung (Unionsrecht/Recht des Mitgliedstaates) benennen</w:t>
      </w:r>
      <w:r w:rsidR="00F72024" w:rsidRPr="00F72024">
        <w:t>, welches eine Verarbeitung für genau dieses öffentliche Interesse erlaubt</w:t>
      </w:r>
      <w:r w:rsidR="00F72024">
        <w:t xml:space="preserve"> </w:t>
      </w:r>
      <w:r w:rsidR="00F72024" w:rsidRPr="005F5895">
        <w:t>und</w:t>
      </w:r>
    </w:p>
    <w:p w14:paraId="045B46D3" w14:textId="5FBD3511" w:rsidR="00F72024" w:rsidRDefault="003C7352">
      <w:pPr>
        <w:pStyle w:val="Listenabsatz"/>
        <w:numPr>
          <w:ilvl w:val="0"/>
          <w:numId w:val="31"/>
        </w:numPr>
        <w:spacing w:after="0"/>
        <w:ind w:left="714" w:hanging="357"/>
      </w:pPr>
      <w:r>
        <w:t>d</w:t>
      </w:r>
      <w:r w:rsidR="00F72024">
        <w:t>arstellen, wie seine Verarbeitung dieses öffentliche Interesse bedient.</w:t>
      </w:r>
    </w:p>
    <w:p w14:paraId="70D3675F" w14:textId="6EAA9469" w:rsidR="00F446CC" w:rsidRDefault="00F72024" w:rsidP="00F72024">
      <w:r w:rsidRPr="00F72024">
        <w:t xml:space="preserve">Aufgrund des öffentlichen Interesses darf die geplante Verarbeitung dann </w:t>
      </w:r>
      <w:r>
        <w:t>entsprechend den Vorgaben der gesetzlichen Regelung (Art./</w:t>
      </w:r>
      <w:r w:rsidR="005F5895">
        <w:t>§ </w:t>
      </w:r>
      <w:r w:rsidR="00F446CC">
        <w:t>0815 in</w:t>
      </w:r>
      <w:r w:rsidRPr="00F72024">
        <w:t xml:space="preserve"> Gesetz </w:t>
      </w:r>
      <w:r w:rsidR="005F5895" w:rsidRPr="005F5895">
        <w:t>„</w:t>
      </w:r>
      <w:r w:rsidRPr="005F5895">
        <w:t>xy</w:t>
      </w:r>
      <w:r w:rsidR="005F5895" w:rsidRPr="005F5895">
        <w:t>“</w:t>
      </w:r>
      <w:r>
        <w:t>)</w:t>
      </w:r>
      <w:r w:rsidRPr="00F72024">
        <w:t xml:space="preserve"> durch</w:t>
      </w:r>
      <w:r>
        <w:t>ge</w:t>
      </w:r>
      <w:r w:rsidRPr="00F72024">
        <w:t>führ</w:t>
      </w:r>
      <w:r>
        <w:t>t werd</w:t>
      </w:r>
      <w:r w:rsidRPr="00F72024">
        <w:t>en</w:t>
      </w:r>
      <w:r>
        <w:t>.</w:t>
      </w:r>
      <w:r w:rsidR="00F446CC">
        <w:t xml:space="preserve"> Der Nachweis „öffentliches </w:t>
      </w:r>
      <w:r w:rsidR="00F446CC" w:rsidRPr="00F446CC">
        <w:t>Interesse</w:t>
      </w:r>
      <w:r w:rsidR="00F446CC">
        <w:t xml:space="preserve">“ allein kann keine Verarbeitung legitimieren, immer muss eine für den Verantwortlichen geltende gesetzliche Regelung die Verarbeitung bei Vorliegen des </w:t>
      </w:r>
      <w:r w:rsidR="00F446CC" w:rsidRPr="00F446CC">
        <w:t>in</w:t>
      </w:r>
      <w:r w:rsidR="00F446CC">
        <w:t xml:space="preserve"> der gesetzlichen Regelung konkret benannte</w:t>
      </w:r>
      <w:r w:rsidR="003C7352">
        <w:t>n</w:t>
      </w:r>
      <w:r w:rsidR="00F446CC">
        <w:t xml:space="preserve"> öffentliche</w:t>
      </w:r>
      <w:r w:rsidR="003C7352">
        <w:t>n</w:t>
      </w:r>
      <w:r w:rsidR="00F446CC">
        <w:t xml:space="preserve"> Interesse</w:t>
      </w:r>
      <w:r w:rsidR="003C7352">
        <w:t>s</w:t>
      </w:r>
      <w:r w:rsidR="00F446CC">
        <w:t xml:space="preserve"> auch erlauben.</w:t>
      </w:r>
    </w:p>
    <w:p w14:paraId="0A6B2A2B" w14:textId="2BD2C45A" w:rsidR="00F72024" w:rsidRDefault="00F446CC" w:rsidP="00F446CC">
      <w:pPr>
        <w:spacing w:after="0"/>
      </w:pPr>
      <w:r>
        <w:t xml:space="preserve">Hierzu </w:t>
      </w:r>
      <w:r w:rsidR="00F72024">
        <w:t>ein Beispiel:</w:t>
      </w:r>
    </w:p>
    <w:p w14:paraId="22CD9B72" w14:textId="65141001" w:rsidR="00F72024" w:rsidRDefault="005F5895" w:rsidP="00F72024">
      <w:pPr>
        <w:spacing w:after="0"/>
        <w:ind w:left="709"/>
      </w:pPr>
      <w:r>
        <w:t>Art. </w:t>
      </w:r>
      <w:r w:rsidR="00F72024" w:rsidRPr="00F72024">
        <w:t xml:space="preserve">9 </w:t>
      </w:r>
      <w:r>
        <w:t>Abs. </w:t>
      </w:r>
      <w:r w:rsidR="00F72024" w:rsidRPr="00F72024">
        <w:t xml:space="preserve">2 </w:t>
      </w:r>
      <w:r>
        <w:t>lit. </w:t>
      </w:r>
      <w:r w:rsidR="00F72024" w:rsidRPr="00F72024">
        <w:t xml:space="preserve">i DS-GVO benennt beispielsweise verschiedene Aspekte bzgl. öffentlichen Interesses im Bereich der öffentlichen Gesundheit, wobei ergänzend zu </w:t>
      </w:r>
      <w:r>
        <w:t>Art. </w:t>
      </w:r>
      <w:r w:rsidR="00F72024" w:rsidRPr="00F72024">
        <w:t xml:space="preserve">9 </w:t>
      </w:r>
      <w:r>
        <w:t>Abs. </w:t>
      </w:r>
      <w:r w:rsidR="00F72024" w:rsidRPr="00F72024">
        <w:t xml:space="preserve">2 </w:t>
      </w:r>
      <w:r>
        <w:t>lit. </w:t>
      </w:r>
      <w:r w:rsidR="00F72024" w:rsidRPr="00F72024">
        <w:t>i DS-GVO wiederum Unionsrecht oder nationales Recht erforderlich ist.</w:t>
      </w:r>
      <w:r w:rsidR="00F72024">
        <w:t xml:space="preserve"> In Deutschland besteht ein öffentliches Interesse an der Qualitätssicherung der medizinischen Versorgung, dies wird im 9. Abschnitt des 4 Kapitels SGB V (</w:t>
      </w:r>
      <w:r w:rsidR="00D71A87">
        <w:t>§§</w:t>
      </w:r>
      <w:r>
        <w:t> </w:t>
      </w:r>
      <w:r w:rsidR="00F72024">
        <w:t>135 ff. SGB V) gesetzlich geregelt. Warum dürfen Krankenhäuser Patientendaten an ein externes statistisches Institut liefern?</w:t>
      </w:r>
    </w:p>
    <w:p w14:paraId="27ED1FA0" w14:textId="7A660B55" w:rsidR="00F72024" w:rsidRDefault="00F72024">
      <w:pPr>
        <w:pStyle w:val="Listenabsatz"/>
        <w:numPr>
          <w:ilvl w:val="0"/>
          <w:numId w:val="32"/>
        </w:numPr>
      </w:pPr>
      <w:r>
        <w:t>Es besteht ein öffentliches Interesse an einer hohen Qualität der Gesundheitsversorgung sowie der Feststellung, in welchen Einrichtungen Mindestvorgaben zur Qualität der Versorgung nicht eingehalten werden.</w:t>
      </w:r>
    </w:p>
    <w:p w14:paraId="4D6D362F" w14:textId="6DC31402" w:rsidR="00F72024" w:rsidRDefault="00F72024">
      <w:pPr>
        <w:pStyle w:val="Listenabsatz"/>
        <w:numPr>
          <w:ilvl w:val="0"/>
          <w:numId w:val="32"/>
        </w:numPr>
      </w:pPr>
      <w:r>
        <w:t xml:space="preserve">Rechtsgrundlage sind </w:t>
      </w:r>
      <w:r w:rsidR="005F5895">
        <w:t>§§ </w:t>
      </w:r>
      <w:r>
        <w:t xml:space="preserve">135 ff. SGB V i. V. m. </w:t>
      </w:r>
      <w:r w:rsidR="005F5895">
        <w:t>Art. </w:t>
      </w:r>
      <w:r w:rsidRPr="00F72024">
        <w:t xml:space="preserve">9 </w:t>
      </w:r>
      <w:r w:rsidR="005F5895">
        <w:t>Abs. </w:t>
      </w:r>
      <w:r w:rsidRPr="00F72024">
        <w:t xml:space="preserve">2 </w:t>
      </w:r>
      <w:r w:rsidR="005F5895">
        <w:t>lit. </w:t>
      </w:r>
      <w:r w:rsidRPr="00F72024">
        <w:t>i</w:t>
      </w:r>
      <w:r>
        <w:t xml:space="preserve"> </w:t>
      </w:r>
      <w:r w:rsidRPr="005F5895">
        <w:t>DS-GVO</w:t>
      </w:r>
      <w:r w:rsidR="00624CC8">
        <w:t>,</w:t>
      </w:r>
    </w:p>
    <w:p w14:paraId="3A7D9688" w14:textId="2069674F" w:rsidR="00F72024" w:rsidRDefault="00F72024">
      <w:pPr>
        <w:pStyle w:val="Listenabsatz"/>
        <w:numPr>
          <w:ilvl w:val="0"/>
          <w:numId w:val="32"/>
        </w:numPr>
      </w:pPr>
      <w:r>
        <w:t xml:space="preserve">Rechtfertigungstatbestand ist </w:t>
      </w:r>
      <w:r w:rsidR="005F5895">
        <w:t>Art. </w:t>
      </w:r>
      <w:r>
        <w:t xml:space="preserve">6 </w:t>
      </w:r>
      <w:r w:rsidR="005F5895">
        <w:t>Abs. </w:t>
      </w:r>
      <w:r>
        <w:t xml:space="preserve">1 </w:t>
      </w:r>
      <w:r w:rsidR="005F5895">
        <w:t>lit. </w:t>
      </w:r>
      <w:r>
        <w:t>e DS-GVO.</w:t>
      </w:r>
    </w:p>
    <w:p w14:paraId="33A4F947" w14:textId="7B62D59A" w:rsidR="00687085" w:rsidRDefault="00687085" w:rsidP="00687085">
      <w:r w:rsidRPr="007E53F6">
        <w:t>Aufgabenwahrnehmung im öffentlichen Interesse</w:t>
      </w:r>
      <w:r>
        <w:t xml:space="preserve"> kann beispielsweise auch Handlungen einer Ärztekammer in Bezug auf Mitglieder legitimieren, ebenso die Verarbeitung personenbezogener Daten innerhalb einer öffentlichen Schule. In beiden Fällen wurden die Aufgaben vom Gesetzgeber an die entsprechenden Akteure durch entsprechende nationale gesetzliche Regelungen übertragen.</w:t>
      </w:r>
    </w:p>
    <w:p w14:paraId="6D1D03D1" w14:textId="5CEE827C" w:rsidR="00E458DB" w:rsidRDefault="00687085" w:rsidP="00687085">
      <w:r w:rsidRPr="007E53F6">
        <w:t xml:space="preserve">Die Ausübung öffentlicher Gewalt </w:t>
      </w:r>
      <w:r>
        <w:t xml:space="preserve">hingegen </w:t>
      </w:r>
      <w:r w:rsidRPr="007E53F6">
        <w:t>betrifft die Wahrnehmung hoheitlicher Aufgaben auf der Grundlage rechtlich festgelegter Aufgaben und Befugnisse</w:t>
      </w:r>
      <w:r>
        <w:t xml:space="preserve">. </w:t>
      </w:r>
      <w:r w:rsidRPr="005F5895">
        <w:t>D. h.</w:t>
      </w:r>
      <w:r>
        <w:t xml:space="preserve"> </w:t>
      </w:r>
      <w:r w:rsidRPr="007E53F6">
        <w:t xml:space="preserve">privatwirtschaftliche Tätigkeiten, </w:t>
      </w:r>
      <w:r>
        <w:t>welche</w:t>
      </w:r>
      <w:r w:rsidRPr="007E53F6">
        <w:t xml:space="preserve"> nicht auf hoheitlichem Sonderrecht beruhen, werden von dieser Vorschrift nicht </w:t>
      </w:r>
      <w:r>
        <w:t xml:space="preserve">abgebildet. Der Betrieb eines Gefängnisses, bei welchem entsprechende hoheitliche Aufgaben delegiert wurden, könnte hierunter fallen oder </w:t>
      </w:r>
      <w:r w:rsidR="00E458DB">
        <w:t>die Entsorgung von Abfall oder Abwasser.</w:t>
      </w:r>
    </w:p>
    <w:p w14:paraId="377A613A" w14:textId="6F680186" w:rsidR="00E616DE" w:rsidRDefault="00E458DB" w:rsidP="00687085">
      <w:r w:rsidRPr="00E458DB">
        <w:t>Aus verfassungsrechtlicher Sicht unterliegt der Gesetzgeber</w:t>
      </w:r>
      <w:r>
        <w:t xml:space="preserve"> bezüglich </w:t>
      </w:r>
      <w:r w:rsidRPr="00E458DB">
        <w:t>der Übertragung von Aufgaben</w:t>
      </w:r>
      <w:r>
        <w:t xml:space="preserve"> keiner Beschränkung, weswegen grundsätzlich alle öffentlichen </w:t>
      </w:r>
      <w:r w:rsidRPr="00E458DB">
        <w:t xml:space="preserve">Aufgaben </w:t>
      </w:r>
      <w:r>
        <w:t xml:space="preserve">übertragungsfähig sind, auch </w:t>
      </w:r>
      <w:r w:rsidRPr="00E458DB">
        <w:t>solche der hoheitlichen Verwaltung.</w:t>
      </w:r>
      <w:r>
        <w:rPr>
          <w:rStyle w:val="Funotenzeichen"/>
        </w:rPr>
        <w:footnoteReference w:id="14"/>
      </w:r>
      <w:r>
        <w:t xml:space="preserve"> </w:t>
      </w:r>
      <w:r w:rsidR="00E616DE">
        <w:t xml:space="preserve">Allerdings kann der Einsatz privater Dienstleister und die Übertragung des staatlichen Gewaltmonopols </w:t>
      </w:r>
      <w:r w:rsidR="00624CC8">
        <w:t xml:space="preserve">sich </w:t>
      </w:r>
      <w:r w:rsidR="00E616DE">
        <w:t xml:space="preserve">rechtlich schwierig gestalten, wenn diese </w:t>
      </w:r>
      <w:r w:rsidR="00E616DE" w:rsidRPr="00E616DE">
        <w:t>private</w:t>
      </w:r>
      <w:r w:rsidR="00E616DE">
        <w:t>n</w:t>
      </w:r>
      <w:r w:rsidR="00E616DE" w:rsidRPr="00E616DE">
        <w:t xml:space="preserve"> Dienstleister bzw. Personen</w:t>
      </w:r>
      <w:r w:rsidR="00E616DE">
        <w:t xml:space="preserve"> </w:t>
      </w:r>
      <w:r w:rsidR="00E616DE" w:rsidRPr="00E616DE">
        <w:t>nicht in einem Dienst- und Treueverhältnis zum Staat stehen</w:t>
      </w:r>
      <w:r w:rsidR="00E616DE">
        <w:t>.</w:t>
      </w:r>
      <w:r w:rsidR="00E616DE">
        <w:rPr>
          <w:rStyle w:val="Funotenzeichen"/>
        </w:rPr>
        <w:footnoteReference w:id="15"/>
      </w:r>
    </w:p>
    <w:p w14:paraId="12F40DE1" w14:textId="525EFAEC" w:rsidR="00E458DB" w:rsidRDefault="00E458DB" w:rsidP="00687085">
      <w:r>
        <w:t xml:space="preserve">Nimmt eine privatwirtschaftliche Stelle aufgrund einer Übertragung </w:t>
      </w:r>
      <w:r w:rsidRPr="00E458DB">
        <w:t xml:space="preserve">hoheitliche Aufgaben wahr, dann trifft </w:t>
      </w:r>
      <w:r>
        <w:t>diese Stelle</w:t>
      </w:r>
      <w:r w:rsidRPr="00E458DB">
        <w:t xml:space="preserve"> selbst keine Pflicht zum Ersatz schuldhaft verursachter Schäden gegenüber </w:t>
      </w:r>
      <w:r>
        <w:t>Bürgern</w:t>
      </w:r>
      <w:r w:rsidRPr="00E458DB">
        <w:t xml:space="preserve">, </w:t>
      </w:r>
      <w:r>
        <w:t>sondern</w:t>
      </w:r>
      <w:r w:rsidRPr="00E458DB">
        <w:t xml:space="preserve"> die Haftung </w:t>
      </w:r>
      <w:r>
        <w:t xml:space="preserve">wird gemäß </w:t>
      </w:r>
      <w:r w:rsidRPr="00E458DB">
        <w:t>§</w:t>
      </w:r>
      <w:r>
        <w:t> </w:t>
      </w:r>
      <w:r w:rsidRPr="00E458DB">
        <w:t xml:space="preserve">839 BGB im Wege der befreienden Schuldübernahme </w:t>
      </w:r>
      <w:r>
        <w:t>(</w:t>
      </w:r>
      <w:r w:rsidRPr="00E458DB">
        <w:t>Art.</w:t>
      </w:r>
      <w:r>
        <w:t> </w:t>
      </w:r>
      <w:r w:rsidRPr="00E458DB">
        <w:t>34 S.</w:t>
      </w:r>
      <w:r>
        <w:t> </w:t>
      </w:r>
      <w:r w:rsidRPr="00E458DB">
        <w:t>1 GG</w:t>
      </w:r>
      <w:r>
        <w:t>)</w:t>
      </w:r>
      <w:r w:rsidRPr="00E458DB">
        <w:t xml:space="preserve"> auf die Anstellungskörperschaft</w:t>
      </w:r>
      <w:r>
        <w:t xml:space="preserve">, d. h. die beauftragende öffentliche Stelle) </w:t>
      </w:r>
      <w:r w:rsidRPr="00E458DB">
        <w:t>übergeleitet</w:t>
      </w:r>
      <w:r>
        <w:t>.</w:t>
      </w:r>
      <w:r w:rsidR="00E616DE">
        <w:t xml:space="preserve"> Die Patientenbehandlung erfolgt i. d. R. nicht </w:t>
      </w:r>
      <w:r w:rsidR="008C3ACA">
        <w:t>i</w:t>
      </w:r>
      <w:r w:rsidR="00E616DE" w:rsidRPr="00E616DE">
        <w:t>n Ausübung eines öffentlichen Amtes i</w:t>
      </w:r>
      <w:r w:rsidR="00E616DE">
        <w:t>. </w:t>
      </w:r>
      <w:r w:rsidR="00E616DE" w:rsidRPr="00E616DE">
        <w:t>S</w:t>
      </w:r>
      <w:r w:rsidR="00E616DE">
        <w:t>. </w:t>
      </w:r>
      <w:r w:rsidR="00E616DE" w:rsidRPr="00E616DE">
        <w:t>d</w:t>
      </w:r>
      <w:r w:rsidR="00E616DE">
        <w:t>.</w:t>
      </w:r>
      <w:r w:rsidR="00E616DE" w:rsidRPr="00E616DE">
        <w:t xml:space="preserve"> Art.</w:t>
      </w:r>
      <w:r w:rsidR="00E616DE">
        <w:t> </w:t>
      </w:r>
      <w:r w:rsidR="00E616DE" w:rsidRPr="00E616DE">
        <w:t>34 GG</w:t>
      </w:r>
      <w:r w:rsidR="00E616DE">
        <w:t xml:space="preserve">, selbst wenn die behandelnde Stelle </w:t>
      </w:r>
      <w:r w:rsidR="00E616DE" w:rsidRPr="00E616DE">
        <w:t>öffentlich-rechtlich organisiert ist und auf der Behandlungsseite beamtete Ärzte tätig werden</w:t>
      </w:r>
      <w:r w:rsidR="00E616DE">
        <w:t>.</w:t>
      </w:r>
      <w:r w:rsidR="00E616DE">
        <w:rPr>
          <w:rStyle w:val="Funotenzeichen"/>
        </w:rPr>
        <w:footnoteReference w:id="16"/>
      </w:r>
      <w:r w:rsidR="00E616DE">
        <w:t xml:space="preserve"> </w:t>
      </w:r>
    </w:p>
    <w:p w14:paraId="407828E5" w14:textId="2D264F09" w:rsidR="00E616DE" w:rsidRDefault="00624CC8" w:rsidP="00E616DE">
      <w:r>
        <w:t>Es gibt j</w:t>
      </w:r>
      <w:r w:rsidR="00E616DE">
        <w:t xml:space="preserve">edoch Fallkonstellationen, </w:t>
      </w:r>
      <w:r>
        <w:t>in denen</w:t>
      </w:r>
      <w:r w:rsidR="00E616DE">
        <w:t xml:space="preserve"> eine </w:t>
      </w:r>
      <w:r w:rsidR="00E616DE" w:rsidRPr="00E616DE">
        <w:t>ärztliche Behandlung hoheitlicher Natur</w:t>
      </w:r>
      <w:r w:rsidR="00E616DE">
        <w:t xml:space="preserve"> sein kann, wie beispielsweise </w:t>
      </w:r>
      <w:r w:rsidR="00E616DE" w:rsidRPr="00E616DE">
        <w:t xml:space="preserve">im Rahmen </w:t>
      </w:r>
      <w:r w:rsidR="00E616DE">
        <w:t xml:space="preserve">der Tätigkeit in Erfüllung öffentlicher Aufgaben (ein </w:t>
      </w:r>
      <w:r w:rsidR="00E616DE" w:rsidRPr="00E616DE">
        <w:t>Sanitätsoffizier</w:t>
      </w:r>
      <w:r w:rsidR="00E616DE">
        <w:t xml:space="preserve"> bei der Truppenbehandlung</w:t>
      </w:r>
      <w:r w:rsidR="00E616DE" w:rsidRPr="00E616DE">
        <w:t xml:space="preserve"> oder Polizei</w:t>
      </w:r>
      <w:r w:rsidR="00E616DE">
        <w:t>ä</w:t>
      </w:r>
      <w:r w:rsidR="00E616DE" w:rsidRPr="00E616DE">
        <w:t>rzte</w:t>
      </w:r>
      <w:r w:rsidR="00E616DE">
        <w:t xml:space="preserve">) oder im </w:t>
      </w:r>
      <w:r>
        <w:t>Rahmen</w:t>
      </w:r>
      <w:r w:rsidR="00E616DE">
        <w:t xml:space="preserve"> des </w:t>
      </w:r>
      <w:r w:rsidR="00E616DE" w:rsidRPr="00E616DE">
        <w:t>öffentlichen Gesundheitsdienstes</w:t>
      </w:r>
      <w:r w:rsidR="00E616DE">
        <w:t xml:space="preserve"> durch einen </w:t>
      </w:r>
      <w:r w:rsidR="00E616DE" w:rsidRPr="00E616DE">
        <w:t>Amtsarzt</w:t>
      </w:r>
      <w:r w:rsidR="00E616DE">
        <w:t>.</w:t>
      </w:r>
      <w:r w:rsidR="00E616DE">
        <w:rPr>
          <w:rStyle w:val="Funotenzeichen"/>
        </w:rPr>
        <w:footnoteReference w:id="17"/>
      </w:r>
      <w:r w:rsidR="00E616DE" w:rsidRPr="00E616DE">
        <w:t xml:space="preserve"> </w:t>
      </w:r>
      <w:r w:rsidR="00E616DE">
        <w:t>Grundsätzlich können hoheitliche Aufgaben bei entsprechender Übertragung auch von Ärzten im Krankenhaus ausgeübt werden:</w:t>
      </w:r>
      <w:r w:rsidR="00E616DE">
        <w:rPr>
          <w:rStyle w:val="Funotenzeichen"/>
        </w:rPr>
        <w:footnoteReference w:id="18"/>
      </w:r>
      <w:r w:rsidR="00E616DE">
        <w:t xml:space="preserve"> Im Krankenhaus kann der </w:t>
      </w:r>
      <w:r w:rsidR="00E616DE" w:rsidRPr="00E616DE">
        <w:t xml:space="preserve">Leiter eines rechtsmedizinischen Instituts bei der Leichenöffnung und den nachfolgenden Untersuchungen </w:t>
      </w:r>
      <w:r w:rsidR="00E616DE">
        <w:t>nach</w:t>
      </w:r>
      <w:r w:rsidR="00E616DE" w:rsidRPr="00E616DE">
        <w:t xml:space="preserve"> </w:t>
      </w:r>
      <w:r>
        <w:t>§§ </w:t>
      </w:r>
      <w:r w:rsidR="00E616DE" w:rsidRPr="00E616DE">
        <w:t>87</w:t>
      </w:r>
      <w:r w:rsidR="00E616DE">
        <w:t> </w:t>
      </w:r>
      <w:r w:rsidR="00E616DE" w:rsidRPr="00E616DE">
        <w:t>Abs.</w:t>
      </w:r>
      <w:r w:rsidR="00E616DE">
        <w:t> </w:t>
      </w:r>
      <w:r w:rsidR="00E616DE" w:rsidRPr="00E616DE">
        <w:t>2, 91 StPO in Ausübung eines öffentlichen Amtes</w:t>
      </w:r>
      <w:r w:rsidR="00E616DE">
        <w:t xml:space="preserve"> handeln. Auch die Tätigkeit des Rettungsdienstes kann hoheitlicher Natur sein, wenn </w:t>
      </w:r>
      <w:r w:rsidR="00E616DE" w:rsidRPr="00E616DE">
        <w:t>das Rettungswesen öffentlich-rechtlich organisiert ist</w:t>
      </w:r>
      <w:r w:rsidR="00E616DE">
        <w:t>.</w:t>
      </w:r>
      <w:r w:rsidR="00E616DE">
        <w:rPr>
          <w:rStyle w:val="Funotenzeichen"/>
        </w:rPr>
        <w:footnoteReference w:id="19"/>
      </w:r>
      <w:r w:rsidR="00E616DE">
        <w:t xml:space="preserve"> Die </w:t>
      </w:r>
      <w:r w:rsidR="00E616DE" w:rsidRPr="00E616DE">
        <w:t xml:space="preserve">Wahrnehmung hoheitlicher </w:t>
      </w:r>
      <w:r w:rsidR="003C7352">
        <w:t xml:space="preserve">Aufgaben </w:t>
      </w:r>
      <w:r w:rsidR="00AC559B">
        <w:t>setzt</w:t>
      </w:r>
      <w:r w:rsidR="00E616DE">
        <w:t xml:space="preserve"> grundsätzlich </w:t>
      </w:r>
      <w:r w:rsidR="00AC559B">
        <w:t xml:space="preserve">voraus, dass </w:t>
      </w:r>
      <w:r w:rsidR="00E616DE">
        <w:t xml:space="preserve">die Übertragung der Wahrnehmung einer öffentlichen Aufgabe durch ein Gesetz oder eine Beauftragung durch die vom </w:t>
      </w:r>
      <w:r w:rsidR="00E616DE" w:rsidRPr="00E616DE">
        <w:t>Gesetz</w:t>
      </w:r>
      <w:r w:rsidR="00E616DE">
        <w:t xml:space="preserve"> beauftragte öffentliche Stelle</w:t>
      </w:r>
      <w:r w:rsidR="00AC559B">
        <w:t xml:space="preserve"> erfolgt</w:t>
      </w:r>
      <w:r w:rsidR="00E616DE">
        <w:t>.</w:t>
      </w:r>
    </w:p>
    <w:p w14:paraId="0E5025C3" w14:textId="62C442AC" w:rsidR="00687085" w:rsidRDefault="00687085" w:rsidP="00687085">
      <w:pPr>
        <w:spacing w:after="0"/>
      </w:pPr>
      <w:r>
        <w:t xml:space="preserve">Eine betroffene Person hat gemäß </w:t>
      </w:r>
      <w:r w:rsidR="005F5895">
        <w:t>Art. </w:t>
      </w:r>
      <w:r>
        <w:t xml:space="preserve">21 </w:t>
      </w:r>
      <w:r w:rsidR="005F5895">
        <w:t>Abs. </w:t>
      </w:r>
      <w:r>
        <w:t xml:space="preserve">1 DS-GVO das Recht, </w:t>
      </w:r>
      <w:r w:rsidRPr="00124ED1">
        <w:t xml:space="preserve">jederzeit gegen </w:t>
      </w:r>
      <w:r>
        <w:t xml:space="preserve">eine </w:t>
      </w:r>
      <w:r w:rsidRPr="00124ED1">
        <w:t>Verarbeitung</w:t>
      </w:r>
      <w:r>
        <w:t>, welche entweder i</w:t>
      </w:r>
      <w:r w:rsidRPr="00124ED1">
        <w:t>m öffentlichen Interesse liegt oder in Ausübung öffentlicher Gewalt erfolgt</w:t>
      </w:r>
      <w:r>
        <w:t>,</w:t>
      </w:r>
      <w:r w:rsidRPr="00124ED1">
        <w:t xml:space="preserve"> Widerspruch einzulegen</w:t>
      </w:r>
      <w:r>
        <w:t xml:space="preserve">. Dieses Recht kann die betroffene Person natürlich nur </w:t>
      </w:r>
      <w:r w:rsidR="00624CC8">
        <w:t>ausüben</w:t>
      </w:r>
      <w:r>
        <w:t>, wenn sie zuvor über diese Verarbeitung informiert wurde:</w:t>
      </w:r>
      <w:r w:rsidRPr="00124ED1">
        <w:t xml:space="preserve"> </w:t>
      </w:r>
      <w:r>
        <w:t xml:space="preserve">Entsprechend </w:t>
      </w:r>
      <w:r w:rsidR="005F5895">
        <w:t>Art. </w:t>
      </w:r>
      <w:r>
        <w:t xml:space="preserve">21 </w:t>
      </w:r>
      <w:r w:rsidR="005F5895">
        <w:t>Abs. </w:t>
      </w:r>
      <w:r>
        <w:t xml:space="preserve">4 DS-GVO muss eine betroffene Person auf das Recht zum Widerspruch einer Verarbeitung, welche unter Verweis auf </w:t>
      </w:r>
      <w:r w:rsidR="005F5895">
        <w:t>Art. </w:t>
      </w:r>
      <w:r>
        <w:t xml:space="preserve">6 </w:t>
      </w:r>
      <w:r w:rsidR="005F5895">
        <w:t>Abs. </w:t>
      </w:r>
      <w:r>
        <w:t xml:space="preserve">1 </w:t>
      </w:r>
      <w:r w:rsidR="005F5895">
        <w:t>lit. </w:t>
      </w:r>
      <w:r>
        <w:t>e DS-GVO legitimiert wird</w:t>
      </w:r>
      <w:r w:rsidR="00562420">
        <w:t xml:space="preserve">, </w:t>
      </w:r>
      <w:r w:rsidR="00562420" w:rsidRPr="00562420">
        <w:t>informiert werden</w:t>
      </w:r>
      <w:r>
        <w:t xml:space="preserve">. Erfolgt ein Widerspruch, so dürfen die vom Widerspruch erfassten Daten nicht mehr verarbeitet werden. Eine Weiterverarbeitung ist gemäß </w:t>
      </w:r>
      <w:r w:rsidR="005F5895">
        <w:t>Art. </w:t>
      </w:r>
      <w:r>
        <w:t xml:space="preserve">21 </w:t>
      </w:r>
      <w:r w:rsidR="005F5895">
        <w:t>Abs. </w:t>
      </w:r>
      <w:r>
        <w:t xml:space="preserve">1 DS-GVO nur möglich, </w:t>
      </w:r>
      <w:r w:rsidRPr="005F5895">
        <w:t>wenn</w:t>
      </w:r>
    </w:p>
    <w:p w14:paraId="33C550CE" w14:textId="77777777" w:rsidR="00687085" w:rsidRDefault="00687085" w:rsidP="00687085">
      <w:pPr>
        <w:pStyle w:val="Listenabsatz"/>
        <w:numPr>
          <w:ilvl w:val="0"/>
          <w:numId w:val="14"/>
        </w:numPr>
        <w:suppressAutoHyphens w:val="0"/>
        <w:spacing w:after="160" w:line="259" w:lineRule="auto"/>
      </w:pPr>
      <w:r w:rsidRPr="005F5895">
        <w:t>der</w:t>
      </w:r>
      <w:r>
        <w:t xml:space="preserve"> Verantwortliche entweder </w:t>
      </w:r>
      <w:r w:rsidRPr="00124ED1">
        <w:t>zwingende schutzwürdige Gründe</w:t>
      </w:r>
      <w:r>
        <w:t xml:space="preserve">, </w:t>
      </w:r>
      <w:r w:rsidRPr="00124ED1">
        <w:t>die die Interessen, Rechte und Freiheiten der betroffenen Person überwiegen</w:t>
      </w:r>
      <w:r>
        <w:t xml:space="preserve">, </w:t>
      </w:r>
      <w:r w:rsidRPr="00124ED1">
        <w:t>für die Verarbeitung nachweisen</w:t>
      </w:r>
      <w:r>
        <w:t xml:space="preserve"> kann</w:t>
      </w:r>
      <w:r w:rsidRPr="00124ED1">
        <w:t>,</w:t>
      </w:r>
    </w:p>
    <w:p w14:paraId="33B9B3B2" w14:textId="77777777" w:rsidR="00687085" w:rsidRDefault="00687085" w:rsidP="00687085">
      <w:pPr>
        <w:pStyle w:val="Listenabsatz"/>
        <w:numPr>
          <w:ilvl w:val="0"/>
          <w:numId w:val="14"/>
        </w:numPr>
        <w:suppressAutoHyphens w:val="0"/>
        <w:spacing w:after="160" w:line="259" w:lineRule="auto"/>
      </w:pPr>
      <w:r w:rsidRPr="005F5895">
        <w:t>oder</w:t>
      </w:r>
      <w:r w:rsidRPr="00124ED1">
        <w:t xml:space="preserve"> die Verarbeitung der Geltendmachung, Ausübung oder Verteidigung von Rechtsansprüchen dient.</w:t>
      </w:r>
    </w:p>
    <w:p w14:paraId="762F8ABA" w14:textId="1E3E9ADA" w:rsidR="00687085" w:rsidRPr="00F61E50" w:rsidRDefault="00687085" w:rsidP="00687085">
      <w:r>
        <w:t xml:space="preserve">Entsprechend </w:t>
      </w:r>
      <w:r w:rsidR="005F5895">
        <w:t>Art. </w:t>
      </w:r>
      <w:r>
        <w:t xml:space="preserve">21 </w:t>
      </w:r>
      <w:r w:rsidR="005F5895">
        <w:t>Abs. </w:t>
      </w:r>
      <w:r>
        <w:t xml:space="preserve">6 DS-GVO besitzt eine betroffene Person ebenfalls ein Widerspruchsrecht, wenn </w:t>
      </w:r>
      <w:r w:rsidRPr="00124ED1">
        <w:t>sie betreffende personenbezogene Daten</w:t>
      </w:r>
      <w:r>
        <w:t xml:space="preserve"> </w:t>
      </w:r>
      <w:r w:rsidRPr="00124ED1">
        <w:t>zu wissenschaftlichen oder historischen Forschungszwecken oder zu statistischen Zwecken</w:t>
      </w:r>
      <w:r>
        <w:t xml:space="preserve"> verarbeitet werden. Diesem Widerspruch muss zwingend Folge geleistet werden, d. h. die Daten dürfen nicht weiter verarbeitet werden, </w:t>
      </w:r>
      <w:r w:rsidR="00624CC8">
        <w:t>es sei denn</w:t>
      </w:r>
      <w:r w:rsidRPr="00124ED1">
        <w:t>, die Verarbeitung ist zur Erfüllung einer im öffentlichen Interesse liegenden Aufgabe erforderlich</w:t>
      </w:r>
      <w:r>
        <w:t>.</w:t>
      </w:r>
    </w:p>
    <w:p w14:paraId="18EA0453" w14:textId="72853F5B" w:rsidR="00687085" w:rsidRDefault="005F5895" w:rsidP="00687085">
      <w:pPr>
        <w:pStyle w:val="berschrift2"/>
      </w:pPr>
      <w:bookmarkStart w:id="89" w:name="_Toc156289857"/>
      <w:bookmarkStart w:id="90" w:name="_Toc169934794"/>
      <w:r>
        <w:t>Art. </w:t>
      </w:r>
      <w:r w:rsidR="00687085">
        <w:t xml:space="preserve">6 </w:t>
      </w:r>
      <w:r>
        <w:t>Abs. </w:t>
      </w:r>
      <w:r w:rsidR="00687085">
        <w:t xml:space="preserve">1 </w:t>
      </w:r>
      <w:r>
        <w:t>lit. </w:t>
      </w:r>
      <w:r w:rsidR="00687085">
        <w:t>f</w:t>
      </w:r>
      <w:r w:rsidR="008F202B">
        <w:t xml:space="preserve"> DS-GVO</w:t>
      </w:r>
      <w:r w:rsidR="00687085">
        <w:t>: Interessenabwägung</w:t>
      </w:r>
      <w:bookmarkEnd w:id="89"/>
      <w:bookmarkEnd w:id="90"/>
    </w:p>
    <w:p w14:paraId="3410EFDD" w14:textId="2C03CB82" w:rsidR="008F202B" w:rsidRDefault="005F5895" w:rsidP="003147ED">
      <w:pPr>
        <w:spacing w:after="0"/>
      </w:pPr>
      <w:r>
        <w:t>Art. </w:t>
      </w:r>
      <w:r w:rsidR="008F202B" w:rsidRPr="008F202B">
        <w:t xml:space="preserve">6 </w:t>
      </w:r>
      <w:r>
        <w:t>Abs. </w:t>
      </w:r>
      <w:r w:rsidR="008F202B" w:rsidRPr="008F202B">
        <w:t xml:space="preserve">1 </w:t>
      </w:r>
      <w:r>
        <w:t>lit. </w:t>
      </w:r>
      <w:r w:rsidR="008F202B" w:rsidRPr="008F202B">
        <w:t>f</w:t>
      </w:r>
      <w:r w:rsidR="008F202B">
        <w:t xml:space="preserve"> DS-GVO </w:t>
      </w:r>
      <w:r w:rsidR="00A424AE">
        <w:t xml:space="preserve">gilt </w:t>
      </w:r>
      <w:r w:rsidR="008F202B">
        <w:t>ausdrücklich nicht für Behörden</w:t>
      </w:r>
      <w:r w:rsidR="00624CC8">
        <w:t xml:space="preserve"> und</w:t>
      </w:r>
      <w:r w:rsidR="008F202B">
        <w:t xml:space="preserve"> kann </w:t>
      </w:r>
      <w:r w:rsidR="00624CC8">
        <w:t>daher</w:t>
      </w:r>
      <w:r w:rsidR="008F202B">
        <w:t xml:space="preserve"> die Verarbeitung </w:t>
      </w:r>
      <w:r w:rsidR="00562420">
        <w:t>personenbezogene</w:t>
      </w:r>
      <w:r w:rsidR="00624CC8">
        <w:t>r</w:t>
      </w:r>
      <w:r w:rsidR="00562420">
        <w:t xml:space="preserve"> Daten </w:t>
      </w:r>
      <w:r w:rsidR="008F202B">
        <w:t xml:space="preserve">durch Behörden oder eine </w:t>
      </w:r>
      <w:r w:rsidR="00624CC8">
        <w:t xml:space="preserve">Verarbeitung </w:t>
      </w:r>
      <w:r w:rsidR="008F202B">
        <w:t>i</w:t>
      </w:r>
      <w:r w:rsidR="00624CC8">
        <w:t>m</w:t>
      </w:r>
      <w:r w:rsidR="008F202B">
        <w:t xml:space="preserve"> Auftrag </w:t>
      </w:r>
      <w:r w:rsidR="00624CC8">
        <w:t>von Behörden</w:t>
      </w:r>
      <w:r w:rsidR="008F202B">
        <w:t xml:space="preserve"> nicht legitimieren.</w:t>
      </w:r>
      <w:r w:rsidR="003147ED">
        <w:t xml:space="preserve"> In </w:t>
      </w:r>
      <w:r w:rsidR="008B0D52">
        <w:t>ErwGr. </w:t>
      </w:r>
      <w:r w:rsidR="003147ED">
        <w:t xml:space="preserve">47 </w:t>
      </w:r>
      <w:r w:rsidR="00A424AE">
        <w:t xml:space="preserve">S. 5 </w:t>
      </w:r>
      <w:r w:rsidR="003147ED">
        <w:t>DS-GVO heißt es entsprechend:</w:t>
      </w:r>
    </w:p>
    <w:p w14:paraId="4BA2BE5D" w14:textId="33771C2E" w:rsidR="003147ED" w:rsidRDefault="003147ED" w:rsidP="003147ED">
      <w:pPr>
        <w:ind w:left="708"/>
      </w:pPr>
      <w:r>
        <w:t>„</w:t>
      </w:r>
      <w:r w:rsidRPr="003147ED">
        <w:t>Da es dem Gesetzgeber obliegt, per Rechtsvorschrift die Rechtsgrundlage für die Verarbeitung personenbezogener Daten durch die Behörden zu schaffen, sollte diese Rechtsgrundlage nicht für Verarbeitungen durch Behörden gelten, die diese in Erfüllung ihrer Aufgaben vornehmen.</w:t>
      </w:r>
      <w:r>
        <w:t>“</w:t>
      </w:r>
    </w:p>
    <w:p w14:paraId="37D27BF7" w14:textId="20A2A1F2" w:rsidR="008F202B" w:rsidRDefault="003147ED" w:rsidP="008F202B">
      <w:pPr>
        <w:spacing w:after="0"/>
      </w:pPr>
      <w:r>
        <w:t>Gemäß</w:t>
      </w:r>
      <w:r w:rsidR="008F202B">
        <w:t xml:space="preserve"> </w:t>
      </w:r>
      <w:r w:rsidR="005F5895">
        <w:t>Art. </w:t>
      </w:r>
      <w:r w:rsidR="008F202B" w:rsidRPr="008F202B">
        <w:t xml:space="preserve">6 </w:t>
      </w:r>
      <w:r w:rsidR="005F5895">
        <w:t>Abs. </w:t>
      </w:r>
      <w:r w:rsidR="008F202B" w:rsidRPr="008F202B">
        <w:t xml:space="preserve">1 </w:t>
      </w:r>
      <w:r w:rsidR="005F5895">
        <w:t>lit. </w:t>
      </w:r>
      <w:r w:rsidR="008F202B" w:rsidRPr="008F202B">
        <w:t>f</w:t>
      </w:r>
      <w:r w:rsidR="008F202B">
        <w:t xml:space="preserve"> DS-GVO kann eine Verarbeitung u. U. dann rechtmäßig erfolgen, wenn</w:t>
      </w:r>
      <w:r>
        <w:t xml:space="preserve"> drei kumulative Bedingungen erfüllt sind:</w:t>
      </w:r>
    </w:p>
    <w:p w14:paraId="37EA8DE4" w14:textId="76390F4F" w:rsidR="003147ED" w:rsidRDefault="003147ED" w:rsidP="008F202B">
      <w:pPr>
        <w:pStyle w:val="Listenabsatz"/>
        <w:numPr>
          <w:ilvl w:val="0"/>
          <w:numId w:val="24"/>
        </w:numPr>
      </w:pPr>
      <w:r>
        <w:t xml:space="preserve">Es sich um ein berechtigtes Interesse </w:t>
      </w:r>
      <w:r w:rsidRPr="008F202B">
        <w:t>des Verantwortlichen oder eines Dritten</w:t>
      </w:r>
      <w:r>
        <w:t xml:space="preserve"> </w:t>
      </w:r>
      <w:r w:rsidRPr="005F5895">
        <w:t>handelt</w:t>
      </w:r>
      <w:r w:rsidR="00D71A87">
        <w:t>.</w:t>
      </w:r>
    </w:p>
    <w:p w14:paraId="7FEB9498" w14:textId="1B8C806D" w:rsidR="008F202B" w:rsidRDefault="003147ED" w:rsidP="008F202B">
      <w:pPr>
        <w:pStyle w:val="Listenabsatz"/>
        <w:numPr>
          <w:ilvl w:val="0"/>
          <w:numId w:val="24"/>
        </w:numPr>
      </w:pPr>
      <w:r>
        <w:t>Di</w:t>
      </w:r>
      <w:r w:rsidR="008F202B" w:rsidRPr="008F202B">
        <w:t xml:space="preserve">e Verarbeitung </w:t>
      </w:r>
      <w:r>
        <w:t xml:space="preserve">ist </w:t>
      </w:r>
      <w:r w:rsidR="008F202B" w:rsidRPr="008F202B">
        <w:t xml:space="preserve">zur Wahrung </w:t>
      </w:r>
      <w:r>
        <w:t xml:space="preserve">dieser Interessen </w:t>
      </w:r>
      <w:r w:rsidR="008F202B" w:rsidRPr="008F202B">
        <w:t>erforderlich</w:t>
      </w:r>
      <w:r>
        <w:t>.</w:t>
      </w:r>
    </w:p>
    <w:p w14:paraId="685F848D" w14:textId="7A7FD7F1" w:rsidR="008F202B" w:rsidRDefault="003147ED" w:rsidP="008F202B">
      <w:pPr>
        <w:pStyle w:val="Listenabsatz"/>
        <w:numPr>
          <w:ilvl w:val="0"/>
          <w:numId w:val="24"/>
        </w:numPr>
      </w:pPr>
      <w:r>
        <w:t>D</w:t>
      </w:r>
      <w:r w:rsidR="008F202B" w:rsidRPr="008F202B">
        <w:t xml:space="preserve">ie Interessen oder Grundrechte und Grundfreiheiten der betroffenen Person, die den Schutz personenbezogener Daten erfordern, </w:t>
      </w:r>
      <w:r w:rsidR="008F202B">
        <w:t xml:space="preserve">gegenüber den Interessen </w:t>
      </w:r>
      <w:r w:rsidR="008F202B" w:rsidRPr="008F202B">
        <w:t xml:space="preserve">des Verantwortlichen oder eines Dritten </w:t>
      </w:r>
      <w:r w:rsidR="008F202B">
        <w:t xml:space="preserve">nicht </w:t>
      </w:r>
      <w:r w:rsidR="008F202B" w:rsidRPr="008F202B">
        <w:t>überwiegen</w:t>
      </w:r>
      <w:r w:rsidR="008F202B">
        <w:t>.</w:t>
      </w:r>
    </w:p>
    <w:p w14:paraId="3C0ACE13" w14:textId="4044D827" w:rsidR="00AF1849" w:rsidRDefault="00AF1849" w:rsidP="00AF1849">
      <w:r>
        <w:t>Grundsätzlich können neben den Interessen des Verantwortlichen auch die Interessen Dritter berücksichtigt werden. Wenn i</w:t>
      </w:r>
      <w:r w:rsidR="00562420">
        <w:t>n</w:t>
      </w:r>
      <w:r>
        <w:t xml:space="preserve"> </w:t>
      </w:r>
      <w:r w:rsidR="008B0D52" w:rsidRPr="008B0D52">
        <w:t>n</w:t>
      </w:r>
      <w:r w:rsidRPr="008B0D52">
        <w:t>achfolgenden</w:t>
      </w:r>
      <w:r>
        <w:t xml:space="preserve"> Teilen dieses Kapitel daher vom „Verantwortlichen“ gesprochen wird, gilt dies für Interessen Dritter daher analog.</w:t>
      </w:r>
    </w:p>
    <w:p w14:paraId="33C2CBC7" w14:textId="7001464A" w:rsidR="00AF1849" w:rsidRDefault="00AF1849" w:rsidP="00AF1849">
      <w:pPr>
        <w:spacing w:after="0"/>
      </w:pPr>
      <w:r>
        <w:t xml:space="preserve">Der Kreis dieser Dritten ist grundsätzlich weit gefasst, endet aber einerseits an der Definition des „Dritten“ in </w:t>
      </w:r>
      <w:r w:rsidR="005F5895">
        <w:t>Art. </w:t>
      </w:r>
      <w:r>
        <w:t xml:space="preserve">4 </w:t>
      </w:r>
      <w:r w:rsidR="005F5895" w:rsidRPr="005F5895">
        <w:t>Ziff. </w:t>
      </w:r>
      <w:r>
        <w:t xml:space="preserve">10 DS-GVO, andererseits an den Schranken von </w:t>
      </w:r>
      <w:r w:rsidR="005F5895">
        <w:t>Art. </w:t>
      </w:r>
      <w:r>
        <w:t xml:space="preserve">6 </w:t>
      </w:r>
      <w:r w:rsidR="005F5895">
        <w:t>Abs. </w:t>
      </w:r>
      <w:r>
        <w:t xml:space="preserve">1 </w:t>
      </w:r>
      <w:r w:rsidR="005F5895">
        <w:t>lit. </w:t>
      </w:r>
      <w:r>
        <w:t>f DS-GVO:</w:t>
      </w:r>
    </w:p>
    <w:p w14:paraId="0DB89926" w14:textId="066432D0" w:rsidR="00AF1849" w:rsidRDefault="00AF1849" w:rsidP="00AF1849">
      <w:pPr>
        <w:pStyle w:val="Listenabsatz"/>
        <w:numPr>
          <w:ilvl w:val="0"/>
          <w:numId w:val="6"/>
        </w:numPr>
      </w:pPr>
      <w:r>
        <w:t xml:space="preserve">Dritter </w:t>
      </w:r>
      <w:r w:rsidRPr="005F5895">
        <w:t>muss eine natürliche oder juristische Person, Behörde, Einrichtung oder andere Stelle</w:t>
      </w:r>
      <w:r w:rsidRPr="00AF1849">
        <w:t>, außer der betroffenen Person, dem Verantwortlichen, dem Auftragsverarbeiter und den Personen</w:t>
      </w:r>
      <w:r>
        <w:t xml:space="preserve"> sein, </w:t>
      </w:r>
      <w:r w:rsidRPr="008B0D52">
        <w:t>d.</w:t>
      </w:r>
      <w:r w:rsidR="008B0D52" w:rsidRPr="008B0D52">
        <w:t> </w:t>
      </w:r>
      <w:r w:rsidRPr="008B0D52">
        <w:t>h.</w:t>
      </w:r>
      <w:r>
        <w:t xml:space="preserve"> „Allgemeininteresse“, „öffentliches Interesse“ usw., wo kein Bezug zu </w:t>
      </w:r>
      <w:r w:rsidRPr="008B0D52">
        <w:t>einer einzelnen Person</w:t>
      </w:r>
      <w:r>
        <w:t xml:space="preserve"> existiert, wird von der Regelung nicht erfasst.</w:t>
      </w:r>
    </w:p>
    <w:p w14:paraId="54FFDFE5" w14:textId="375DBD7E" w:rsidR="00AF1849" w:rsidRDefault="00AF1849" w:rsidP="00AF1849">
      <w:pPr>
        <w:pStyle w:val="Listenabsatz"/>
        <w:numPr>
          <w:ilvl w:val="0"/>
          <w:numId w:val="6"/>
        </w:numPr>
        <w:spacing w:after="0"/>
        <w:ind w:left="714" w:hanging="357"/>
      </w:pPr>
      <w:r>
        <w:t>Interessen von Behörden können in diesem Zusammenhang grundsätzlich nicht berücksichtigt werden</w:t>
      </w:r>
      <w:r w:rsidR="008B0D52">
        <w:t xml:space="preserve">, da diese vom Anwendungsbereich der </w:t>
      </w:r>
      <w:r w:rsidR="00303763">
        <w:t xml:space="preserve">Interessenabwägung </w:t>
      </w:r>
      <w:r w:rsidR="008B0D52">
        <w:t>ausgenommen sind</w:t>
      </w:r>
      <w:r>
        <w:t>.</w:t>
      </w:r>
    </w:p>
    <w:p w14:paraId="104230E1" w14:textId="439417A2" w:rsidR="00AF1849" w:rsidRDefault="00AF1849" w:rsidP="00AF1849">
      <w:r>
        <w:t>Ausgeschlossen ist ferner, dass nicht-öffentliche Stellen eine Verarbeitung mit der Wahrnehmung von Allgemeininteressen wie Terrorismusabwehr oder Volksgesundheit rechtfertigen.</w:t>
      </w:r>
      <w:r>
        <w:rPr>
          <w:rStyle w:val="Funotenzeichen"/>
        </w:rPr>
        <w:footnoteReference w:id="20"/>
      </w:r>
    </w:p>
    <w:p w14:paraId="0F9A8312" w14:textId="3E58E7B0" w:rsidR="008F202B" w:rsidRDefault="008F202B" w:rsidP="003147ED">
      <w:pPr>
        <w:spacing w:after="0"/>
      </w:pPr>
      <w:r>
        <w:t xml:space="preserve">Zunächst </w:t>
      </w:r>
      <w:r w:rsidR="00640CEA">
        <w:t>ist</w:t>
      </w:r>
      <w:r>
        <w:t xml:space="preserve"> das Interesse </w:t>
      </w:r>
      <w:r w:rsidR="00640CEA">
        <w:t>d</w:t>
      </w:r>
      <w:r>
        <w:t xml:space="preserve">es Verantwortlichen </w:t>
      </w:r>
      <w:r w:rsidR="00640CEA">
        <w:t xml:space="preserve">zu </w:t>
      </w:r>
      <w:r>
        <w:t xml:space="preserve">bestimmen. Dies muss grundsätzlich </w:t>
      </w:r>
      <w:r w:rsidR="00640CEA">
        <w:t>anhand</w:t>
      </w:r>
      <w:r>
        <w:t xml:space="preserve"> der Zweckbestimmung der Verarbeitung erfolgen</w:t>
      </w:r>
      <w:r w:rsidR="00640CEA">
        <w:t>. Gemäß</w:t>
      </w:r>
      <w:r>
        <w:t xml:space="preserve"> </w:t>
      </w:r>
      <w:r w:rsidR="005F5895">
        <w:t>Art. </w:t>
      </w:r>
      <w:r>
        <w:t xml:space="preserve">5 </w:t>
      </w:r>
      <w:r w:rsidR="005F5895">
        <w:t>Abs. </w:t>
      </w:r>
      <w:r>
        <w:t xml:space="preserve">1 </w:t>
      </w:r>
      <w:r w:rsidR="005F5895">
        <w:t>lit. </w:t>
      </w:r>
      <w:r>
        <w:t xml:space="preserve">b DS-GVO kann eine Verarbeitung </w:t>
      </w:r>
      <w:r w:rsidR="00640CEA">
        <w:t xml:space="preserve">nur rechtmäßig erfolgen, wenn die Verarbeitung nur </w:t>
      </w:r>
      <w:r>
        <w:t>„</w:t>
      </w:r>
      <w:r w:rsidRPr="008F202B">
        <w:t>für festgelegte, eindeutige und legitime Zweck</w:t>
      </w:r>
      <w:r w:rsidR="003C7352">
        <w:t>e</w:t>
      </w:r>
      <w:r>
        <w:t xml:space="preserve">“ </w:t>
      </w:r>
      <w:r w:rsidR="00640CEA">
        <w:t>stattfindet.</w:t>
      </w:r>
      <w:r>
        <w:t xml:space="preserve"> </w:t>
      </w:r>
      <w:r w:rsidR="00640CEA">
        <w:t>E</w:t>
      </w:r>
      <w:r>
        <w:t xml:space="preserve">in berechtigtes Interesse an einer Verarbeitung </w:t>
      </w:r>
      <w:r w:rsidR="00640CEA">
        <w:t xml:space="preserve">muss somit an einer </w:t>
      </w:r>
      <w:r>
        <w:t>„</w:t>
      </w:r>
      <w:r w:rsidRPr="008F202B">
        <w:t>für festgelegte, eindeutige und legitime Zweck</w:t>
      </w:r>
      <w:r w:rsidR="003C7352">
        <w:t>e</w:t>
      </w:r>
      <w:r>
        <w:t xml:space="preserve">“ </w:t>
      </w:r>
      <w:r w:rsidR="00640CEA">
        <w:t xml:space="preserve">Verarbeitung </w:t>
      </w:r>
      <w:r>
        <w:t xml:space="preserve">bestehen. </w:t>
      </w:r>
      <w:r w:rsidR="00640CEA">
        <w:t>Nach dem Wortlaut der Regelung bestehen</w:t>
      </w:r>
      <w:r w:rsidR="003C7352">
        <w:t>,</w:t>
      </w:r>
      <w:r w:rsidR="00640CEA">
        <w:t xml:space="preserve"> a</w:t>
      </w:r>
      <w:r>
        <w:t>bgesehen von dem Erfordernis der Rechtmäßigkeit des Interesses</w:t>
      </w:r>
      <w:r w:rsidR="003C7352">
        <w:t>,</w:t>
      </w:r>
      <w:r>
        <w:t xml:space="preserve"> jedoch keine weiteren Anforderungen: Grundsätzlich kann </w:t>
      </w:r>
      <w:r w:rsidRPr="008F202B">
        <w:t xml:space="preserve">jedes rechtliche, wirtschaftliche oder </w:t>
      </w:r>
      <w:r>
        <w:t xml:space="preserve">auch </w:t>
      </w:r>
      <w:r w:rsidRPr="008F202B">
        <w:t>ideelle Interesse</w:t>
      </w:r>
      <w:r>
        <w:t xml:space="preserve"> in Betracht gezogen werden.</w:t>
      </w:r>
      <w:r w:rsidR="003147ED">
        <w:t xml:space="preserve"> Dieses weite Verständnis von „berechtigtem Interesse“ kann u. a. aus den in </w:t>
      </w:r>
      <w:r w:rsidR="008B0D52">
        <w:t>ErwGr. </w:t>
      </w:r>
      <w:r w:rsidR="003147ED" w:rsidRPr="003147ED">
        <w:t xml:space="preserve">47 </w:t>
      </w:r>
      <w:r w:rsidR="003147ED">
        <w:t>DS-GVO genannten Beispielen abgeleitet werden:</w:t>
      </w:r>
    </w:p>
    <w:p w14:paraId="7B8FCEAB" w14:textId="67000292" w:rsidR="003147ED" w:rsidRDefault="003147ED" w:rsidP="003147ED">
      <w:pPr>
        <w:pStyle w:val="Listenabsatz"/>
        <w:numPr>
          <w:ilvl w:val="0"/>
          <w:numId w:val="6"/>
        </w:numPr>
      </w:pPr>
      <w:r>
        <w:t xml:space="preserve">Satz 2: </w:t>
      </w:r>
      <w:r w:rsidRPr="003147ED">
        <w:t>Ein berechtigtes Interesse könnte beispielsweise vorliegen, wenn eine maßgebliche und angemessene Beziehung zwischen der betroffenen Person und dem Verantwortlichen besteht, z. B. wenn die betroffene Person ein Kunde des Verantwortlichen ist oder in seinen Diensten steht.</w:t>
      </w:r>
    </w:p>
    <w:p w14:paraId="12630CEA" w14:textId="77777777" w:rsidR="003147ED" w:rsidRDefault="003147ED" w:rsidP="003147ED">
      <w:pPr>
        <w:pStyle w:val="Listenabsatz"/>
        <w:numPr>
          <w:ilvl w:val="0"/>
          <w:numId w:val="6"/>
        </w:numPr>
      </w:pPr>
      <w:r>
        <w:t xml:space="preserve">Satz 6: </w:t>
      </w:r>
      <w:r w:rsidRPr="003147ED">
        <w:t>Die Verarbeitung personenbezogener Daten im für die Verhinderung von Betrug unbedingt erforderlichen Umfang stellt ebenfalls ein berechtigtes Interesse des jeweiligen Verantwortlichen dar.</w:t>
      </w:r>
    </w:p>
    <w:p w14:paraId="503972A8" w14:textId="2C1CB018" w:rsidR="003147ED" w:rsidRDefault="003147ED" w:rsidP="003147ED">
      <w:pPr>
        <w:pStyle w:val="Listenabsatz"/>
        <w:numPr>
          <w:ilvl w:val="0"/>
          <w:numId w:val="6"/>
        </w:numPr>
      </w:pPr>
      <w:r>
        <w:t xml:space="preserve">Satz 7: </w:t>
      </w:r>
      <w:r w:rsidRPr="003147ED">
        <w:t>Die Verarbeitung personenbezogener Daten zum Zwecke der Direktwerbung kann als eine einem berechtigten Interesse dienende Verarbeitung betrachtet werden.</w:t>
      </w:r>
    </w:p>
    <w:p w14:paraId="74914209" w14:textId="043E4B23" w:rsidR="003147ED" w:rsidRDefault="008B0D52" w:rsidP="00687085">
      <w:r>
        <w:t>ErwGr. </w:t>
      </w:r>
      <w:r w:rsidR="003147ED">
        <w:t>48 DS-GVO stellt klar, dass auch innerhalb e</w:t>
      </w:r>
      <w:r w:rsidR="003147ED" w:rsidRPr="003147ED">
        <w:t>iner Unternehmensgruppe oder einer Gruppe von Einrichtungen</w:t>
      </w:r>
      <w:r w:rsidR="003147ED">
        <w:t xml:space="preserve"> </w:t>
      </w:r>
      <w:r w:rsidR="00562420" w:rsidRPr="00562420">
        <w:t xml:space="preserve">Verantwortliche </w:t>
      </w:r>
      <w:r w:rsidR="003147ED" w:rsidRPr="003147ED">
        <w:t>ein berechtigtes Interesse haben</w:t>
      </w:r>
      <w:r w:rsidR="003147ED">
        <w:t xml:space="preserve"> können</w:t>
      </w:r>
      <w:r w:rsidR="003147ED" w:rsidRPr="003147ED">
        <w:t>, personenbezogene Daten innerhalb der Unternehmens</w:t>
      </w:r>
      <w:r w:rsidR="00624CC8">
        <w:t>- oder Einrichtungs</w:t>
      </w:r>
      <w:r w:rsidR="003147ED" w:rsidRPr="003147ED">
        <w:t>gruppe für interne Verwaltungszwecke, einschließlich der Verarbeitung personenbezogener Daten von Kunden und Beschäftigten, zu übermitteln</w:t>
      </w:r>
      <w:r w:rsidR="003147ED">
        <w:t xml:space="preserve">. </w:t>
      </w:r>
      <w:r>
        <w:t>ErwGr. </w:t>
      </w:r>
      <w:r w:rsidR="003147ED">
        <w:t xml:space="preserve">48 S. 2 DS-GVO </w:t>
      </w:r>
      <w:r w:rsidR="00640CEA">
        <w:t>enthält</w:t>
      </w:r>
      <w:r w:rsidR="003147ED">
        <w:t xml:space="preserve"> ergänzend noch die Klarstellung, dass die </w:t>
      </w:r>
      <w:r w:rsidR="003147ED" w:rsidRPr="003147ED">
        <w:t>Grundprinzipien für die Übermittlung personenbezogener Daten innerhalb von Unternehmensgruppen an ein Unternehmen in einem Drittland</w:t>
      </w:r>
      <w:r w:rsidR="003147ED">
        <w:t xml:space="preserve"> davon</w:t>
      </w:r>
      <w:r w:rsidR="003147ED" w:rsidRPr="003147ED">
        <w:t xml:space="preserve"> unberührt</w:t>
      </w:r>
      <w:r w:rsidR="003147ED">
        <w:t xml:space="preserve"> bleiben, eine Rechtsgrundlage für die Übermittlung in ein Drittland also vorhanden sein muss</w:t>
      </w:r>
      <w:r w:rsidR="003147ED" w:rsidRPr="003147ED">
        <w:t>.</w:t>
      </w:r>
    </w:p>
    <w:p w14:paraId="2C1B8C3E" w14:textId="063F5239" w:rsidR="008F202B" w:rsidRDefault="008F202B" w:rsidP="00687085">
      <w:r>
        <w:t xml:space="preserve">Ist das Interesse bestimmt, muss geprüft werden, ob </w:t>
      </w:r>
      <w:r w:rsidRPr="008F202B">
        <w:t xml:space="preserve">dieses Interesse gegen die </w:t>
      </w:r>
      <w:r>
        <w:t xml:space="preserve">gesetzlichen Vorgaben </w:t>
      </w:r>
      <w:r w:rsidRPr="008F202B">
        <w:t>der Union</w:t>
      </w:r>
      <w:r>
        <w:t xml:space="preserve"> oder </w:t>
      </w:r>
      <w:r w:rsidRPr="008F202B">
        <w:t xml:space="preserve">des </w:t>
      </w:r>
      <w:r w:rsidR="00640CEA">
        <w:t>betreffenden</w:t>
      </w:r>
      <w:r w:rsidRPr="008F202B">
        <w:t xml:space="preserve"> Mitgliedstaates </w:t>
      </w:r>
      <w:r>
        <w:t xml:space="preserve">verstößt; ein berechtigtes Interesse kann nur </w:t>
      </w:r>
      <w:r w:rsidR="00640CEA">
        <w:t>vorliegen</w:t>
      </w:r>
      <w:r>
        <w:t xml:space="preserve">, wenn dieses Interesse </w:t>
      </w:r>
      <w:r w:rsidR="00640CEA">
        <w:t xml:space="preserve">nicht </w:t>
      </w:r>
      <w:r>
        <w:t xml:space="preserve">gegen </w:t>
      </w:r>
      <w:r w:rsidR="00640CEA">
        <w:t>Rechtsvorschriften</w:t>
      </w:r>
      <w:r>
        <w:t xml:space="preserve"> verstößt. </w:t>
      </w:r>
    </w:p>
    <w:p w14:paraId="258D7EE5" w14:textId="3FE61346" w:rsidR="008F202B" w:rsidRDefault="008F202B" w:rsidP="00687085">
      <w:r>
        <w:t xml:space="preserve">Sind die Interessen rechtmäßig, ist zu prüfen, ob die geplante Verarbeitung insbesondere den Anforderungen aus </w:t>
      </w:r>
      <w:r w:rsidR="005F5895">
        <w:t>Art. </w:t>
      </w:r>
      <w:r>
        <w:t xml:space="preserve">5 </w:t>
      </w:r>
      <w:r w:rsidR="005F5895">
        <w:t>Abs. </w:t>
      </w:r>
      <w:r>
        <w:t xml:space="preserve">1 DS-GVO genügt. </w:t>
      </w:r>
      <w:r w:rsidR="00624CC8" w:rsidRPr="00624CC8">
        <w:t xml:space="preserve">Das berechtigte </w:t>
      </w:r>
      <w:r>
        <w:t xml:space="preserve">Interesse und </w:t>
      </w:r>
      <w:r w:rsidR="00624CC8">
        <w:t xml:space="preserve">die </w:t>
      </w:r>
      <w:r>
        <w:t xml:space="preserve">geplante Verarbeitung dürfen insbesondere auch nicht gegen </w:t>
      </w:r>
      <w:r w:rsidRPr="005F5895">
        <w:t>Treu</w:t>
      </w:r>
      <w:r>
        <w:t xml:space="preserve"> und Glauben (</w:t>
      </w:r>
      <w:r w:rsidR="005F5895">
        <w:t>Art. </w:t>
      </w:r>
      <w:r>
        <w:t xml:space="preserve">5 </w:t>
      </w:r>
      <w:r w:rsidR="005F5895">
        <w:t>Abs. </w:t>
      </w:r>
      <w:r>
        <w:t xml:space="preserve">1 </w:t>
      </w:r>
      <w:r w:rsidR="005F5895">
        <w:t>lit. </w:t>
      </w:r>
      <w:r>
        <w:t>a DS-GVO) und de</w:t>
      </w:r>
      <w:r w:rsidR="003C7352">
        <w:t>n</w:t>
      </w:r>
      <w:r>
        <w:t xml:space="preserve"> </w:t>
      </w:r>
      <w:r w:rsidR="00692E01">
        <w:t>G</w:t>
      </w:r>
      <w:r>
        <w:t xml:space="preserve">rundsatz der Erforderlichkeit </w:t>
      </w:r>
      <w:r w:rsidR="00624CC8">
        <w:t>verstoßen</w:t>
      </w:r>
      <w:r>
        <w:t>. Dies</w:t>
      </w:r>
      <w:r w:rsidR="003147ED">
        <w:t xml:space="preserve">e in </w:t>
      </w:r>
      <w:r w:rsidR="005F5895">
        <w:t>Art. </w:t>
      </w:r>
      <w:r w:rsidR="003147ED">
        <w:t xml:space="preserve">6 </w:t>
      </w:r>
      <w:r w:rsidR="005F5895">
        <w:t>Abs. </w:t>
      </w:r>
      <w:r w:rsidR="003147ED">
        <w:t xml:space="preserve">1 </w:t>
      </w:r>
      <w:r w:rsidR="005F5895">
        <w:t>lit. </w:t>
      </w:r>
      <w:r w:rsidR="003147ED">
        <w:t xml:space="preserve">f DS-GVO vorgegebene Prüfung der Erforderlichkeit </w:t>
      </w:r>
      <w:r>
        <w:t xml:space="preserve">beinhaltet regelmäßig auch die Prüfung (und den Nachweis), dass dem Verantwortlichen </w:t>
      </w:r>
      <w:r w:rsidRPr="008F202B">
        <w:t xml:space="preserve">zur </w:t>
      </w:r>
      <w:r>
        <w:t xml:space="preserve">Erreichung </w:t>
      </w:r>
      <w:r w:rsidRPr="008F202B">
        <w:t xml:space="preserve">des </w:t>
      </w:r>
      <w:r>
        <w:t xml:space="preserve">Zweckes, aus dem sich das </w:t>
      </w:r>
      <w:r w:rsidR="00624CC8">
        <w:t xml:space="preserve">berechtigte </w:t>
      </w:r>
      <w:r w:rsidRPr="008F202B">
        <w:t>Interesse</w:t>
      </w:r>
      <w:r>
        <w:t xml:space="preserve"> ableitet, </w:t>
      </w:r>
      <w:r w:rsidRPr="008F202B">
        <w:t>kein weniger</w:t>
      </w:r>
      <w:r>
        <w:t xml:space="preserve"> intensiv</w:t>
      </w:r>
      <w:r w:rsidRPr="008F202B">
        <w:t xml:space="preserve"> </w:t>
      </w:r>
      <w:r>
        <w:t xml:space="preserve">in die </w:t>
      </w:r>
      <w:r w:rsidRPr="008F202B">
        <w:t>Grundrechte und Grundfreiheiten der betroffenen Person</w:t>
      </w:r>
      <w:r>
        <w:t xml:space="preserve"> der betroffenen Personen eingreifendes </w:t>
      </w:r>
      <w:r w:rsidRPr="008F202B">
        <w:t>Mittel zur Verfügung</w:t>
      </w:r>
      <w:r>
        <w:t xml:space="preserve"> steht</w:t>
      </w:r>
      <w:r w:rsidR="00624CC8">
        <w:t xml:space="preserve"> (mildeste Mittel)</w:t>
      </w:r>
      <w:r>
        <w:t>.</w:t>
      </w:r>
    </w:p>
    <w:p w14:paraId="139669F0" w14:textId="078CFE98" w:rsidR="00692E01" w:rsidRDefault="00692E01" w:rsidP="00687085">
      <w:r>
        <w:t>Besteht ein berechtigtes Interesse, so müssen d</w:t>
      </w:r>
      <w:r w:rsidR="00A424AE">
        <w:t>i</w:t>
      </w:r>
      <w:r>
        <w:t xml:space="preserve">e Interessen der betroffenen Personen identifiziert und gegen die Interessen des Verantwortlichen „auf die Waagschale“ gelegt werden. Überwiegen die Interessen der betroffenen Person an der Nicht-Verarbeitung der personenbezogenen </w:t>
      </w:r>
      <w:r w:rsidR="008B0D52" w:rsidRPr="008B0D52">
        <w:t>D</w:t>
      </w:r>
      <w:r w:rsidRPr="008B0D52">
        <w:t>aten</w:t>
      </w:r>
      <w:r>
        <w:t xml:space="preserve">, darf die Verarbeitung nicht erfolgen. Entsprechend dem Wortlaut von </w:t>
      </w:r>
      <w:r w:rsidR="005F5895">
        <w:t>Art. </w:t>
      </w:r>
      <w:r w:rsidRPr="008F202B">
        <w:t xml:space="preserve">6 </w:t>
      </w:r>
      <w:r w:rsidR="005F5895">
        <w:t>Abs. </w:t>
      </w:r>
      <w:r w:rsidRPr="008F202B">
        <w:t xml:space="preserve">1 </w:t>
      </w:r>
      <w:r w:rsidR="005F5895">
        <w:t>lit. </w:t>
      </w:r>
      <w:r w:rsidRPr="008F202B">
        <w:t>f</w:t>
      </w:r>
      <w:r>
        <w:t xml:space="preserve"> DS-GVO erlaubt </w:t>
      </w:r>
      <w:r w:rsidR="00624CC8">
        <w:t>bereits</w:t>
      </w:r>
      <w:r>
        <w:t xml:space="preserve"> ein gleichwertiges Ergebnis </w:t>
      </w:r>
      <w:r w:rsidR="00624CC8">
        <w:t>die</w:t>
      </w:r>
      <w:r>
        <w:t xml:space="preserve"> Verarbeitung der personenbezogenen Daten, ein geringeres Interesse der betroffenen Personen dementsprechend natürlich erst recht.</w:t>
      </w:r>
    </w:p>
    <w:p w14:paraId="3D9CE108" w14:textId="5F875F85" w:rsidR="00692E01" w:rsidRDefault="00692E01" w:rsidP="00687085">
      <w:r>
        <w:t xml:space="preserve">Zu beachten ist hierbei, dass </w:t>
      </w:r>
      <w:r w:rsidR="005F5895">
        <w:t>Art. </w:t>
      </w:r>
      <w:r>
        <w:t xml:space="preserve">6 </w:t>
      </w:r>
      <w:r w:rsidR="005F5895">
        <w:t>Abs. </w:t>
      </w:r>
      <w:r>
        <w:t xml:space="preserve">1 </w:t>
      </w:r>
      <w:r w:rsidR="005F5895">
        <w:t>lit. </w:t>
      </w:r>
      <w:r>
        <w:t>f DS-GVO ausdrücklich nur vom Verantwortlichen „</w:t>
      </w:r>
      <w:r w:rsidRPr="00E124F4">
        <w:t>berechtigte Interessen</w:t>
      </w:r>
      <w:r>
        <w:t xml:space="preserve">“ verlangt, </w:t>
      </w:r>
      <w:r w:rsidR="00640CEA" w:rsidRPr="00640CEA">
        <w:t>auf Seiten der</w:t>
      </w:r>
      <w:r>
        <w:t xml:space="preserve"> betroffene</w:t>
      </w:r>
      <w:r w:rsidR="00640CEA">
        <w:t>n</w:t>
      </w:r>
      <w:r>
        <w:t xml:space="preserve"> Person jedoch nur „Interessen“</w:t>
      </w:r>
      <w:r w:rsidR="00640CEA">
        <w:t xml:space="preserve"> fordert</w:t>
      </w:r>
      <w:r>
        <w:t xml:space="preserve">. Somit kann eine betroffene Person </w:t>
      </w:r>
      <w:r w:rsidRPr="00E124F4">
        <w:t xml:space="preserve">auch </w:t>
      </w:r>
      <w:r w:rsidR="00640CEA">
        <w:t xml:space="preserve">unberechtigte oder sogar </w:t>
      </w:r>
      <w:r w:rsidRPr="00E124F4">
        <w:t>„illegitime“ Interessen</w:t>
      </w:r>
      <w:r>
        <w:t xml:space="preserve"> in die Abwägung einbringen.</w:t>
      </w:r>
      <w:r>
        <w:rPr>
          <w:rStyle w:val="Funotenzeichen"/>
        </w:rPr>
        <w:footnoteReference w:id="21"/>
      </w:r>
      <w:r>
        <w:t xml:space="preserve"> Wird beispielsweise in Arztbewertungsportalen auf die nachweislich (</w:t>
      </w:r>
      <w:r w:rsidRPr="008B0D52">
        <w:t>z.</w:t>
      </w:r>
      <w:r w:rsidR="008B0D52" w:rsidRPr="008B0D52">
        <w:t> </w:t>
      </w:r>
      <w:r w:rsidRPr="008B0D52">
        <w:t>B.</w:t>
      </w:r>
      <w:r>
        <w:t xml:space="preserve"> gerichtlich festgestellte) unzulässige Behandlungen einer Arztpraxis hingewiesen, so </w:t>
      </w:r>
      <w:r w:rsidR="00640CEA">
        <w:t>stellt</w:t>
      </w:r>
      <w:r>
        <w:t xml:space="preserve"> die Nicht-Nennung der Arztpraxis ein Interesse der Arztpraxis</w:t>
      </w:r>
      <w:r w:rsidR="00640CEA">
        <w:t xml:space="preserve"> dar</w:t>
      </w:r>
      <w:r>
        <w:t xml:space="preserve">, welche im Rahmen einer </w:t>
      </w:r>
      <w:r w:rsidR="00303763">
        <w:t xml:space="preserve">Interessenabwägung </w:t>
      </w:r>
      <w:r>
        <w:t>berücksichtigt werden muss.</w:t>
      </w:r>
    </w:p>
    <w:p w14:paraId="67625AEB" w14:textId="3C449DF7" w:rsidR="003147ED" w:rsidRPr="003147ED" w:rsidRDefault="003147ED" w:rsidP="00687085">
      <w:pPr>
        <w:rPr>
          <w:sz w:val="24"/>
          <w:szCs w:val="24"/>
        </w:rPr>
      </w:pPr>
      <w:r>
        <w:t xml:space="preserve">Zu beachten ist weiterhin, dass eine Bewertung der </w:t>
      </w:r>
      <w:r w:rsidR="00624CC8">
        <w:t xml:space="preserve">berechtigten </w:t>
      </w:r>
      <w:r>
        <w:t xml:space="preserve">Interessen des </w:t>
      </w:r>
      <w:r w:rsidR="00640CEA">
        <w:t xml:space="preserve">für die Verarbeitung </w:t>
      </w:r>
      <w:r>
        <w:t xml:space="preserve">Verantwortlichen und der betroffenen Person von den </w:t>
      </w:r>
      <w:r w:rsidRPr="003147ED">
        <w:t>konkreten Umständen des betroffenen Einzelfalls a</w:t>
      </w:r>
      <w:r>
        <w:t>bhäng</w:t>
      </w:r>
      <w:r w:rsidR="00F93265">
        <w:t>t</w:t>
      </w:r>
      <w:r w:rsidR="00640CEA">
        <w:t xml:space="preserve"> und daher eine Einzelfallprüfung</w:t>
      </w:r>
      <w:r>
        <w:t xml:space="preserve"> erforderlich sein kann.</w:t>
      </w:r>
      <w:r>
        <w:rPr>
          <w:rStyle w:val="Funotenzeichen"/>
        </w:rPr>
        <w:footnoteReference w:id="22"/>
      </w:r>
      <w:r>
        <w:t xml:space="preserve"> Sollen Patientendaten </w:t>
      </w:r>
      <w:r w:rsidRPr="008B0D52">
        <w:t>z.</w:t>
      </w:r>
      <w:r w:rsidR="008B0D52" w:rsidRPr="008B0D52">
        <w:t> </w:t>
      </w:r>
      <w:r w:rsidRPr="008B0D52">
        <w:t>B.</w:t>
      </w:r>
      <w:r>
        <w:t xml:space="preserve"> für eine Forschung verwendet werden, muss ggf. geprüft werden, ob sich unter den für die Forschung vorgesehenen Patienten evtl. Personen befinden, die aufgrund individueller Ereignisse ein besonderes Bedürfnis haben, dass ihre Daten nicht verwendet werden. Personen, die beispielsweise aufgrund von Datenpannen </w:t>
      </w:r>
      <w:r w:rsidRPr="008B0D52">
        <w:t>diskriminiert</w:t>
      </w:r>
      <w:r>
        <w:t xml:space="preserve"> oder stigmatisiert wurden, weisen ein entsprechend hohes Schutzbedürfnis auf, welches in einer </w:t>
      </w:r>
      <w:r w:rsidR="00303763">
        <w:t xml:space="preserve">Interessenabwägung </w:t>
      </w:r>
      <w:r>
        <w:t>berücksichtigt werden muss.</w:t>
      </w:r>
    </w:p>
    <w:p w14:paraId="504BF93D" w14:textId="4C9CB633" w:rsidR="00692E01" w:rsidRDefault="00692E01" w:rsidP="00687085">
      <w:r>
        <w:t xml:space="preserve">Eine Dokumentation der Argumente der </w:t>
      </w:r>
      <w:r w:rsidR="00303763">
        <w:t xml:space="preserve">Interessenabwägung </w:t>
      </w:r>
      <w:r>
        <w:t xml:space="preserve">sowie auch des Ergebnisses ist entsprechend </w:t>
      </w:r>
      <w:r w:rsidR="005F5895">
        <w:t>Art. </w:t>
      </w:r>
      <w:r>
        <w:t xml:space="preserve">5 </w:t>
      </w:r>
      <w:r w:rsidR="005F5895">
        <w:t>Abs. </w:t>
      </w:r>
      <w:r>
        <w:t xml:space="preserve">2 DS-GVO </w:t>
      </w:r>
      <w:r w:rsidR="00D71A87" w:rsidRPr="00D71A87">
        <w:t xml:space="preserve">durch den zur Rechenschaft verpflichteten Verantwortlichen </w:t>
      </w:r>
      <w:r>
        <w:t>zwingend erforderlich.</w:t>
      </w:r>
    </w:p>
    <w:p w14:paraId="0B03605A" w14:textId="0E1361FD" w:rsidR="00687085" w:rsidRPr="000957EF" w:rsidRDefault="008F202B" w:rsidP="00687085">
      <w:r>
        <w:t>Ausführliche Betrachtungen dieser Regelung, insbesond</w:t>
      </w:r>
      <w:r w:rsidR="00A424AE">
        <w:t>e</w:t>
      </w:r>
      <w:r>
        <w:t xml:space="preserve">re auch Vorgaben, die sich aus der Rechtsprechung des EuGH ergeben, finden sich in </w:t>
      </w:r>
      <w:r w:rsidR="00993649">
        <w:t xml:space="preserve">Kapitel </w:t>
      </w:r>
      <w:r w:rsidR="00993649">
        <w:fldChar w:fldCharType="begin"/>
      </w:r>
      <w:r w:rsidR="00993649">
        <w:instrText xml:space="preserve"> REF _Ref161864689 \r \h </w:instrText>
      </w:r>
      <w:r w:rsidR="00993649">
        <w:fldChar w:fldCharType="separate"/>
      </w:r>
      <w:r w:rsidR="00F43608">
        <w:t>8</w:t>
      </w:r>
      <w:r w:rsidR="00993649">
        <w:fldChar w:fldCharType="end"/>
      </w:r>
      <w:r>
        <w:t>.</w:t>
      </w:r>
    </w:p>
    <w:p w14:paraId="06109965" w14:textId="77777777" w:rsidR="00687085" w:rsidRDefault="00687085">
      <w:pPr>
        <w:spacing w:after="0" w:line="240" w:lineRule="auto"/>
        <w:jc w:val="left"/>
        <w:rPr>
          <w:rFonts w:asciiTheme="majorHAnsi" w:eastAsiaTheme="majorEastAsia" w:hAnsiTheme="majorHAnsi" w:cstheme="majorBidi"/>
          <w:b/>
          <w:bCs/>
          <w:color w:val="365F91" w:themeColor="accent1" w:themeShade="BF"/>
          <w:sz w:val="28"/>
          <w:szCs w:val="28"/>
        </w:rPr>
      </w:pPr>
      <w:bookmarkStart w:id="91" w:name="_Toc156289858"/>
      <w:r>
        <w:br w:type="page"/>
      </w:r>
    </w:p>
    <w:p w14:paraId="2A890E64" w14:textId="291FD3C0" w:rsidR="00687085" w:rsidRDefault="00687085" w:rsidP="00687085">
      <w:pPr>
        <w:pStyle w:val="berschrift1"/>
      </w:pPr>
      <w:bookmarkStart w:id="92" w:name="_Ref161589997"/>
      <w:bookmarkStart w:id="93" w:name="_Toc169934795"/>
      <w:r>
        <w:t xml:space="preserve">Zuordnung Bedingungen </w:t>
      </w:r>
      <w:r w:rsidR="005F5895">
        <w:t>Art. </w:t>
      </w:r>
      <w:r>
        <w:t xml:space="preserve">9 </w:t>
      </w:r>
      <w:r w:rsidR="005F5895">
        <w:t>Abs. </w:t>
      </w:r>
      <w:r>
        <w:t xml:space="preserve">2 DS-GVO zu </w:t>
      </w:r>
      <w:r w:rsidR="005F5895">
        <w:t>Art. </w:t>
      </w:r>
      <w:r>
        <w:t xml:space="preserve">6 </w:t>
      </w:r>
      <w:r w:rsidR="005F5895">
        <w:t>Abs. </w:t>
      </w:r>
      <w:r>
        <w:t>1 DS-GVO</w:t>
      </w:r>
      <w:bookmarkEnd w:id="91"/>
      <w:bookmarkEnd w:id="92"/>
      <w:bookmarkEnd w:id="93"/>
    </w:p>
    <w:p w14:paraId="66F9CAD2" w14:textId="0C8A5173" w:rsidR="00687085" w:rsidRDefault="005F5895" w:rsidP="00687085">
      <w:pPr>
        <w:pStyle w:val="berschrift2"/>
      </w:pPr>
      <w:bookmarkStart w:id="94" w:name="_Toc156289859"/>
      <w:bookmarkStart w:id="95" w:name="_Toc169934796"/>
      <w:r>
        <w:t>Art. </w:t>
      </w:r>
      <w:r w:rsidR="00687085">
        <w:t xml:space="preserve">9 </w:t>
      </w:r>
      <w:r>
        <w:t>Abs. </w:t>
      </w:r>
      <w:r w:rsidR="00687085">
        <w:t xml:space="preserve">2 </w:t>
      </w:r>
      <w:r>
        <w:t>lit. </w:t>
      </w:r>
      <w:r w:rsidR="00687085">
        <w:t>a DS-GVO</w:t>
      </w:r>
      <w:bookmarkEnd w:id="94"/>
      <w:bookmarkEnd w:id="95"/>
    </w:p>
    <w:p w14:paraId="17E6D8D9" w14:textId="57041878" w:rsidR="00687085" w:rsidRDefault="005F5895" w:rsidP="00687085">
      <w:r>
        <w:t>Art. </w:t>
      </w:r>
      <w:r w:rsidR="00687085">
        <w:t xml:space="preserve">9 </w:t>
      </w:r>
      <w:r>
        <w:t>Abs. </w:t>
      </w:r>
      <w:r w:rsidR="00687085">
        <w:t xml:space="preserve">2 </w:t>
      </w:r>
      <w:r>
        <w:t>lit. </w:t>
      </w:r>
      <w:r w:rsidR="00687085">
        <w:t xml:space="preserve">a DS-GVO beinhaltet die ausdrückliche Einwilligung, hier wird direkt </w:t>
      </w:r>
      <w:r>
        <w:t>Art. </w:t>
      </w:r>
      <w:r w:rsidR="00687085">
        <w:t xml:space="preserve">6 </w:t>
      </w:r>
      <w:r>
        <w:t>Abs. </w:t>
      </w:r>
      <w:r w:rsidR="00687085">
        <w:t xml:space="preserve">1 </w:t>
      </w:r>
      <w:r>
        <w:t>lit. </w:t>
      </w:r>
      <w:r w:rsidR="00687085">
        <w:t xml:space="preserve">a ebenfalls erfüllt. </w:t>
      </w:r>
    </w:p>
    <w:p w14:paraId="0E19A84B" w14:textId="6C5B23A9" w:rsidR="00687085" w:rsidRDefault="00687085" w:rsidP="00687085">
      <w:r>
        <w:t xml:space="preserve">Zu beachten: Es können auch mehrere Tatbestände aus </w:t>
      </w:r>
      <w:r w:rsidR="005F5895">
        <w:t>Art. </w:t>
      </w:r>
      <w:r>
        <w:t xml:space="preserve">6 </w:t>
      </w:r>
      <w:r w:rsidR="005F5895">
        <w:t>Abs. </w:t>
      </w:r>
      <w:r>
        <w:t xml:space="preserve">1 DS-GVO zutreffen. Wenn beispielsweise ein App-Hersteller sensible personenbezogene Daten - wie z. B. Gesundheitsdaten (Puls, Schrittzahl usw.) durch Fitness-Apps – verarbeitet, so kann nur eine Einwilligung nach </w:t>
      </w:r>
      <w:r w:rsidR="005F5895">
        <w:t>Art. </w:t>
      </w:r>
      <w:r>
        <w:t xml:space="preserve">9 </w:t>
      </w:r>
      <w:r w:rsidR="005F5895">
        <w:t>Abs. </w:t>
      </w:r>
      <w:r>
        <w:t xml:space="preserve">2 </w:t>
      </w:r>
      <w:r w:rsidR="005F5895">
        <w:t>lit. </w:t>
      </w:r>
      <w:r>
        <w:t xml:space="preserve">a DS-GVO diese Verarbeitung legitimieren (siehe auch Kapitel </w:t>
      </w:r>
      <w:r>
        <w:fldChar w:fldCharType="begin"/>
      </w:r>
      <w:r>
        <w:instrText xml:space="preserve"> REF _Ref156195371 \r \h </w:instrText>
      </w:r>
      <w:r>
        <w:fldChar w:fldCharType="separate"/>
      </w:r>
      <w:r w:rsidR="00F43608">
        <w:t>5.8</w:t>
      </w:r>
      <w:r>
        <w:fldChar w:fldCharType="end"/>
      </w:r>
      <w:r>
        <w:t xml:space="preserve"> die Hinweise zu einem Vertrag mit </w:t>
      </w:r>
      <w:r w:rsidRPr="00E138EE">
        <w:t>einem Angehörigen eines Gesundheitsberufs</w:t>
      </w:r>
      <w:r>
        <w:t xml:space="preserve">). Als Rechtfertigungsgrund aus </w:t>
      </w:r>
      <w:r w:rsidR="005F5895">
        <w:t>Art. </w:t>
      </w:r>
      <w:r>
        <w:t xml:space="preserve">6 </w:t>
      </w:r>
      <w:r w:rsidR="005F5895">
        <w:t>Abs. </w:t>
      </w:r>
      <w:r>
        <w:t xml:space="preserve">1 DS-GVO können in diesen Fällen sowohl </w:t>
      </w:r>
      <w:r w:rsidR="005F5895">
        <w:t>Art. </w:t>
      </w:r>
      <w:r>
        <w:t xml:space="preserve">6 </w:t>
      </w:r>
      <w:r w:rsidR="005F5895">
        <w:t>Abs. </w:t>
      </w:r>
      <w:r>
        <w:t xml:space="preserve">1 </w:t>
      </w:r>
      <w:r w:rsidR="005F5895">
        <w:t>lit. </w:t>
      </w:r>
      <w:r>
        <w:t xml:space="preserve">a DS-GVO (Einwilligung) aber ggf. auch </w:t>
      </w:r>
      <w:r w:rsidR="005F5895">
        <w:t>Art. </w:t>
      </w:r>
      <w:r>
        <w:t xml:space="preserve">6 </w:t>
      </w:r>
      <w:r w:rsidR="005F5895">
        <w:t>Abs. </w:t>
      </w:r>
      <w:r>
        <w:t xml:space="preserve">1 </w:t>
      </w:r>
      <w:r w:rsidR="005F5895">
        <w:t>lit. </w:t>
      </w:r>
      <w:r>
        <w:t xml:space="preserve">b DS-GVO (Vertragserfüllung) zutreffen. Im Kontext „Einwilligung und Vertragserfüllung“ muss allerdings die in </w:t>
      </w:r>
      <w:r w:rsidR="005F5895">
        <w:t>Art. </w:t>
      </w:r>
      <w:r>
        <w:t xml:space="preserve">7 </w:t>
      </w:r>
      <w:r w:rsidR="005F5895">
        <w:t>Abs. </w:t>
      </w:r>
      <w:r>
        <w:t xml:space="preserve">4 DS-GVO als „Koppelungsverbot“ enthaltene Vorgabe beachtet werden (siehe auch Hinweis EuGH-Urteil zu Freiwilligkeit im Kapitel </w:t>
      </w:r>
      <w:r>
        <w:fldChar w:fldCharType="begin"/>
      </w:r>
      <w:r>
        <w:instrText xml:space="preserve"> REF _Ref156213575 \r \h </w:instrText>
      </w:r>
      <w:r>
        <w:fldChar w:fldCharType="separate"/>
      </w:r>
      <w:r w:rsidR="00F43608">
        <w:t>4.1</w:t>
      </w:r>
      <w:r>
        <w:fldChar w:fldCharType="end"/>
      </w:r>
      <w:r>
        <w:t>).</w:t>
      </w:r>
    </w:p>
    <w:p w14:paraId="095A0636" w14:textId="1FA539E7" w:rsidR="00687085" w:rsidRDefault="00687085" w:rsidP="00687085">
      <w:r>
        <w:t xml:space="preserve">Wie es im Urteil des </w:t>
      </w:r>
      <w:r w:rsidRPr="005F5895">
        <w:t>EuGH</w:t>
      </w:r>
      <w:r w:rsidRPr="005F5895">
        <w:rPr>
          <w:vertAlign w:val="superscript"/>
        </w:rPr>
        <w:fldChar w:fldCharType="begin"/>
      </w:r>
      <w:r w:rsidRPr="005F5895">
        <w:rPr>
          <w:vertAlign w:val="superscript"/>
        </w:rPr>
        <w:instrText xml:space="preserve"> NOTEREF _Ref154897773 \h  \* MERGEFORMAT </w:instrText>
      </w:r>
      <w:r w:rsidRPr="005F5895">
        <w:rPr>
          <w:vertAlign w:val="superscript"/>
        </w:rPr>
      </w:r>
      <w:r w:rsidRPr="005F5895">
        <w:rPr>
          <w:vertAlign w:val="superscript"/>
        </w:rPr>
        <w:fldChar w:fldCharType="separate"/>
      </w:r>
      <w:r w:rsidR="00F43608">
        <w:rPr>
          <w:vertAlign w:val="superscript"/>
        </w:rPr>
        <w:t>2</w:t>
      </w:r>
      <w:r w:rsidRPr="005F5895">
        <w:rPr>
          <w:vertAlign w:val="superscript"/>
        </w:rPr>
        <w:fldChar w:fldCharType="end"/>
      </w:r>
      <w:r>
        <w:t xml:space="preserve"> in Leitsatz 3 </w:t>
      </w:r>
      <w:r w:rsidR="00624CC8">
        <w:t>ausgeführt</w:t>
      </w:r>
      <w:r>
        <w:t>, muss „</w:t>
      </w:r>
      <w:r w:rsidRPr="00E138EE">
        <w:t xml:space="preserve">mindestens eine der in </w:t>
      </w:r>
      <w:r w:rsidR="005F5895">
        <w:t>Art. </w:t>
      </w:r>
      <w:r w:rsidRPr="00E138EE">
        <w:t xml:space="preserve">6 </w:t>
      </w:r>
      <w:r w:rsidR="005F5895">
        <w:t>Abs. </w:t>
      </w:r>
      <w:r w:rsidRPr="00E138EE">
        <w:t>1 genannten Rechtmäßigkeitsvoraussetzungen erfüllt</w:t>
      </w:r>
      <w:r>
        <w:t xml:space="preserve"> </w:t>
      </w:r>
      <w:r w:rsidR="00624CC8">
        <w:t>sein</w:t>
      </w:r>
      <w:r>
        <w:t xml:space="preserve">; es können aber auch mehrere erfüllt </w:t>
      </w:r>
      <w:r w:rsidR="00624CC8">
        <w:t>sein</w:t>
      </w:r>
      <w:r>
        <w:t>.</w:t>
      </w:r>
    </w:p>
    <w:p w14:paraId="5DAD0B99" w14:textId="759E0AFA" w:rsidR="00687085" w:rsidRDefault="005F5895" w:rsidP="00687085">
      <w:pPr>
        <w:pStyle w:val="berschrift2"/>
      </w:pPr>
      <w:bookmarkStart w:id="96" w:name="_Toc156289860"/>
      <w:bookmarkStart w:id="97" w:name="_Ref169680538"/>
      <w:bookmarkStart w:id="98" w:name="_Toc169934797"/>
      <w:r>
        <w:t>Art. </w:t>
      </w:r>
      <w:r w:rsidR="00687085">
        <w:t xml:space="preserve">9 </w:t>
      </w:r>
      <w:r>
        <w:t>Abs. </w:t>
      </w:r>
      <w:r w:rsidR="00687085">
        <w:t xml:space="preserve">2 </w:t>
      </w:r>
      <w:r>
        <w:t>lit. </w:t>
      </w:r>
      <w:r w:rsidR="00687085">
        <w:t>b DS-GVO</w:t>
      </w:r>
      <w:bookmarkEnd w:id="96"/>
      <w:bookmarkEnd w:id="97"/>
      <w:bookmarkEnd w:id="98"/>
    </w:p>
    <w:p w14:paraId="52A2DF72" w14:textId="195376CC" w:rsidR="00687085" w:rsidRDefault="005F5895" w:rsidP="00687085">
      <w:r>
        <w:t>Art. </w:t>
      </w:r>
      <w:r w:rsidR="00687085">
        <w:t xml:space="preserve">9 </w:t>
      </w:r>
      <w:r>
        <w:t>Abs. </w:t>
      </w:r>
      <w:r w:rsidR="00687085">
        <w:t xml:space="preserve">2 </w:t>
      </w:r>
      <w:r>
        <w:t>lit. </w:t>
      </w:r>
      <w:r w:rsidR="00687085">
        <w:t xml:space="preserve">b DS-GVO erlaubt die </w:t>
      </w:r>
      <w:r w:rsidR="00687085" w:rsidRPr="00D52A0B">
        <w:t>Verarbeitung</w:t>
      </w:r>
      <w:r w:rsidR="00687085">
        <w:t xml:space="preserve">, sofern diese </w:t>
      </w:r>
      <w:r w:rsidR="00687085" w:rsidRPr="00D52A0B">
        <w:t>erforderlich</w:t>
      </w:r>
      <w:r w:rsidR="00687085">
        <w:t xml:space="preserve"> ist</w:t>
      </w:r>
      <w:r w:rsidR="00687085" w:rsidRPr="00D52A0B">
        <w:t xml:space="preserve">, damit der </w:t>
      </w:r>
      <w:r w:rsidR="00687085">
        <w:t>„</w:t>
      </w:r>
      <w:r w:rsidR="00687085" w:rsidRPr="00D52A0B">
        <w:t>Verantwortliche oder die betroffene Person die ihm bzw. ihr aus dem Arbeitsrecht und dem Recht der sozialen Sicherheit und des Sozialschutzes erwachsenden Rechte ausüben und seinen bzw. ihren diesbezüglichen Pflichten nachkommen</w:t>
      </w:r>
      <w:r w:rsidR="00687085">
        <w:t>“</w:t>
      </w:r>
      <w:r w:rsidR="00687085" w:rsidRPr="00D52A0B">
        <w:t xml:space="preserve"> </w:t>
      </w:r>
      <w:r w:rsidR="00687085">
        <w:t xml:space="preserve">können. Pflichten aus dem Arbeitsrecht können einerseits aus nationalen Gesetzen resultieren, aber auch aus einem Arbeitsvertrag, korrespondierende Tatbestände wären dementsprechend </w:t>
      </w:r>
      <w:r>
        <w:t>Art. </w:t>
      </w:r>
      <w:r w:rsidR="00687085">
        <w:t xml:space="preserve">6 </w:t>
      </w:r>
      <w:r>
        <w:t>Abs. </w:t>
      </w:r>
      <w:r w:rsidR="00687085">
        <w:t xml:space="preserve">1 </w:t>
      </w:r>
      <w:r>
        <w:t>lit. </w:t>
      </w:r>
      <w:r w:rsidR="00687085">
        <w:t xml:space="preserve">b DS-GVO (Erfüllung vertraglicher Pflichten) oder </w:t>
      </w:r>
      <w:r>
        <w:t>Art. </w:t>
      </w:r>
      <w:r w:rsidR="00687085">
        <w:t xml:space="preserve">6 </w:t>
      </w:r>
      <w:r>
        <w:t>Abs. </w:t>
      </w:r>
      <w:r w:rsidR="00687085">
        <w:t xml:space="preserve">1 </w:t>
      </w:r>
      <w:r>
        <w:t>lit. </w:t>
      </w:r>
      <w:r w:rsidR="00687085">
        <w:t>c DS-GVO (</w:t>
      </w:r>
      <w:r w:rsidR="00687085" w:rsidRPr="00D52A0B">
        <w:t>Erfüllung einer rechtlichen Verpflichtung erforderlich, der der Verantwortliche unterliegt</w:t>
      </w:r>
      <w:r w:rsidR="00687085">
        <w:t>).</w:t>
      </w:r>
    </w:p>
    <w:p w14:paraId="4D6303B6" w14:textId="6939C1BF" w:rsidR="00687085" w:rsidRDefault="00687085" w:rsidP="00687085">
      <w:r w:rsidRPr="005F5895">
        <w:t>Bzgl. de</w:t>
      </w:r>
      <w:r w:rsidR="00F93265">
        <w:t>s</w:t>
      </w:r>
      <w:r w:rsidRPr="005F5895">
        <w:t xml:space="preserve"> zweiten Teil</w:t>
      </w:r>
      <w:r w:rsidR="00F93265">
        <w:t>s</w:t>
      </w:r>
      <w:r>
        <w:t xml:space="preserve"> von </w:t>
      </w:r>
      <w:r w:rsidR="005F5895">
        <w:t>Art. </w:t>
      </w:r>
      <w:r>
        <w:t xml:space="preserve">9 </w:t>
      </w:r>
      <w:r w:rsidR="005F5895">
        <w:t>Abs. </w:t>
      </w:r>
      <w:r>
        <w:t xml:space="preserve">2 </w:t>
      </w:r>
      <w:r w:rsidR="005F5895">
        <w:t>lit. </w:t>
      </w:r>
      <w:r>
        <w:t>b DS-GVO (</w:t>
      </w:r>
      <w:r w:rsidRPr="00D52A0B">
        <w:t>Recht der sozialen Sicherheit und des Sozialschutzes</w:t>
      </w:r>
      <w:r>
        <w:t xml:space="preserve">) finden sich die gesetzlichen Regelungen in den deutschen Sozialgesetzbüchern, somit wird hier ebenfalls </w:t>
      </w:r>
      <w:r w:rsidR="005F5895">
        <w:t>Art. </w:t>
      </w:r>
      <w:r>
        <w:t xml:space="preserve">6 </w:t>
      </w:r>
      <w:r w:rsidR="005F5895">
        <w:t>Abs. </w:t>
      </w:r>
      <w:r>
        <w:t xml:space="preserve">1 </w:t>
      </w:r>
      <w:r w:rsidR="005F5895">
        <w:t>lit. </w:t>
      </w:r>
      <w:r>
        <w:t>c DS-GVO (</w:t>
      </w:r>
      <w:r w:rsidRPr="00D52A0B">
        <w:t>Erfüllung einer rechtlichen Verpflichtung erforderlich, der der Verantwortliche unterliegt</w:t>
      </w:r>
      <w:r>
        <w:t>) entsprochen.</w:t>
      </w:r>
    </w:p>
    <w:p w14:paraId="6A923B26" w14:textId="39E689DA" w:rsidR="00687085" w:rsidRDefault="005F5895" w:rsidP="00687085">
      <w:pPr>
        <w:pStyle w:val="berschrift2"/>
      </w:pPr>
      <w:bookmarkStart w:id="99" w:name="_Toc156289861"/>
      <w:bookmarkStart w:id="100" w:name="_Toc169934798"/>
      <w:r>
        <w:t>Art. </w:t>
      </w:r>
      <w:r w:rsidR="00687085">
        <w:t xml:space="preserve">9 </w:t>
      </w:r>
      <w:r>
        <w:t>Abs. </w:t>
      </w:r>
      <w:r w:rsidR="00687085">
        <w:t xml:space="preserve">2 </w:t>
      </w:r>
      <w:r>
        <w:t>lit. </w:t>
      </w:r>
      <w:r w:rsidR="00687085">
        <w:t>c DS-GVO</w:t>
      </w:r>
      <w:bookmarkEnd w:id="99"/>
      <w:bookmarkEnd w:id="100"/>
    </w:p>
    <w:p w14:paraId="06F41F70" w14:textId="1BD60851" w:rsidR="00687085" w:rsidRDefault="005F5895" w:rsidP="00687085">
      <w:r>
        <w:t>Art. </w:t>
      </w:r>
      <w:r w:rsidR="00687085">
        <w:t xml:space="preserve">9 </w:t>
      </w:r>
      <w:r>
        <w:t>Abs. </w:t>
      </w:r>
      <w:r w:rsidR="00687085">
        <w:t xml:space="preserve">2 </w:t>
      </w:r>
      <w:r>
        <w:t>lit. </w:t>
      </w:r>
      <w:r w:rsidR="00687085">
        <w:t xml:space="preserve">c DS-GVO gestattet die Verarbeitung im erforderlichen Umfang </w:t>
      </w:r>
      <w:r w:rsidR="00687085" w:rsidRPr="00D52A0B">
        <w:t>zum Schutz lebenswichtiger Interessen der betroffenen Person oder einer anderen natürlichen Person</w:t>
      </w:r>
      <w:r w:rsidR="00687085">
        <w:t xml:space="preserve">, sofern </w:t>
      </w:r>
      <w:r w:rsidR="00687085" w:rsidRPr="00D52A0B">
        <w:t>die betroffene Person aus körperlichen oder rechtlichen Gründen außerstande ist, ihre Einwilligung zu geben</w:t>
      </w:r>
      <w:r w:rsidR="00687085">
        <w:t xml:space="preserve">. Diese Regelung findet ihre Entsprechung in </w:t>
      </w:r>
      <w:r>
        <w:t>Art. </w:t>
      </w:r>
      <w:r w:rsidR="00687085">
        <w:t xml:space="preserve">6 </w:t>
      </w:r>
      <w:r>
        <w:t>Abs. lit. </w:t>
      </w:r>
      <w:r w:rsidR="00687085">
        <w:t xml:space="preserve">d DS-GVO, sodass mit </w:t>
      </w:r>
      <w:r>
        <w:t>Art. </w:t>
      </w:r>
      <w:r w:rsidR="00687085">
        <w:t xml:space="preserve">9 </w:t>
      </w:r>
      <w:r>
        <w:t>Abs. </w:t>
      </w:r>
      <w:r w:rsidR="00687085">
        <w:t xml:space="preserve">2 </w:t>
      </w:r>
      <w:r>
        <w:t>lit. </w:t>
      </w:r>
      <w:r w:rsidR="00687085">
        <w:t xml:space="preserve">c DS-GVO zugleich auch </w:t>
      </w:r>
      <w:r>
        <w:t>Art. </w:t>
      </w:r>
      <w:r w:rsidR="00687085">
        <w:t xml:space="preserve">6 </w:t>
      </w:r>
      <w:r>
        <w:t>Abs. </w:t>
      </w:r>
      <w:r w:rsidR="00687085">
        <w:t xml:space="preserve">1 </w:t>
      </w:r>
      <w:r>
        <w:t>lit. </w:t>
      </w:r>
      <w:r w:rsidR="00687085">
        <w:t>d DS-GVO eingehalten wird.</w:t>
      </w:r>
    </w:p>
    <w:p w14:paraId="5E66BE1D" w14:textId="7AA56D4F" w:rsidR="00687085" w:rsidRDefault="005F5895" w:rsidP="00687085">
      <w:pPr>
        <w:pStyle w:val="berschrift2"/>
      </w:pPr>
      <w:bookmarkStart w:id="101" w:name="_Toc156289862"/>
      <w:bookmarkStart w:id="102" w:name="_Toc169934799"/>
      <w:r>
        <w:t>Art. </w:t>
      </w:r>
      <w:r w:rsidR="00687085">
        <w:t xml:space="preserve">9 </w:t>
      </w:r>
      <w:r>
        <w:t>Abs. </w:t>
      </w:r>
      <w:r w:rsidR="00687085">
        <w:t xml:space="preserve">2 </w:t>
      </w:r>
      <w:r>
        <w:t>lit. </w:t>
      </w:r>
      <w:r w:rsidR="00687085">
        <w:t>d DS-GVO</w:t>
      </w:r>
      <w:bookmarkEnd w:id="101"/>
      <w:bookmarkEnd w:id="102"/>
    </w:p>
    <w:p w14:paraId="269841BE" w14:textId="64A365A1" w:rsidR="00687085" w:rsidRDefault="005F5895" w:rsidP="00687085">
      <w:pPr>
        <w:spacing w:after="0"/>
      </w:pPr>
      <w:r>
        <w:t>Art. </w:t>
      </w:r>
      <w:r w:rsidR="00687085">
        <w:t xml:space="preserve">9 </w:t>
      </w:r>
      <w:r>
        <w:t>Abs. </w:t>
      </w:r>
      <w:r w:rsidR="00687085">
        <w:t xml:space="preserve">2 </w:t>
      </w:r>
      <w:r>
        <w:t>lit. </w:t>
      </w:r>
      <w:r w:rsidR="00687085">
        <w:t xml:space="preserve">d DS-GVO erlaubt eine </w:t>
      </w:r>
      <w:r w:rsidR="00687085" w:rsidRPr="00D52A0B">
        <w:t>Verarbeitung auf der Grundlage geeigneter Garantien durch eine politisch, weltanschaulich, religiös oder gewerkschaftlich ausgerichtete Stiftung, Vereinigung oder sonstige Organisation ohne Gewinnerzielungsabsicht im Rahmen ihrer rechtmäßigen Tätigkeiten</w:t>
      </w:r>
      <w:r w:rsidR="00687085">
        <w:t xml:space="preserve">, jedoch nur, wenn </w:t>
      </w:r>
      <w:r w:rsidR="00687085" w:rsidRPr="00D52A0B">
        <w:t xml:space="preserve">sich die </w:t>
      </w:r>
      <w:r w:rsidR="00687085" w:rsidRPr="005F5895">
        <w:t>Verarbeitung</w:t>
      </w:r>
      <w:r w:rsidR="00687085" w:rsidRPr="00D52A0B">
        <w:t xml:space="preserve"> </w:t>
      </w:r>
    </w:p>
    <w:p w14:paraId="3A1EDC62" w14:textId="77777777" w:rsidR="00687085" w:rsidRDefault="00687085" w:rsidP="00687085">
      <w:pPr>
        <w:pStyle w:val="Listenabsatz"/>
        <w:numPr>
          <w:ilvl w:val="0"/>
          <w:numId w:val="4"/>
        </w:numPr>
        <w:suppressAutoHyphens w:val="0"/>
        <w:spacing w:after="160" w:line="259" w:lineRule="auto"/>
      </w:pPr>
      <w:r w:rsidRPr="005F5895">
        <w:t>ausschließlich</w:t>
      </w:r>
      <w:r w:rsidRPr="00D52A0B">
        <w:t xml:space="preserve"> auf die Mitglieder oder</w:t>
      </w:r>
    </w:p>
    <w:p w14:paraId="4CF96495" w14:textId="77777777" w:rsidR="00687085" w:rsidRDefault="00687085" w:rsidP="00687085">
      <w:pPr>
        <w:pStyle w:val="Listenabsatz"/>
        <w:numPr>
          <w:ilvl w:val="0"/>
          <w:numId w:val="4"/>
        </w:numPr>
        <w:suppressAutoHyphens w:val="0"/>
        <w:spacing w:after="160" w:line="259" w:lineRule="auto"/>
      </w:pPr>
      <w:r w:rsidRPr="005F5895">
        <w:t>ehemalige</w:t>
      </w:r>
      <w:r w:rsidRPr="00D52A0B">
        <w:t xml:space="preserve"> Mitglieder der Organisation oder</w:t>
      </w:r>
    </w:p>
    <w:p w14:paraId="16947ED3" w14:textId="77777777" w:rsidR="00687085" w:rsidRDefault="00687085" w:rsidP="00687085">
      <w:pPr>
        <w:pStyle w:val="Listenabsatz"/>
        <w:numPr>
          <w:ilvl w:val="0"/>
          <w:numId w:val="4"/>
        </w:numPr>
        <w:suppressAutoHyphens w:val="0"/>
        <w:spacing w:after="160" w:line="259" w:lineRule="auto"/>
      </w:pPr>
      <w:r w:rsidRPr="005F5895">
        <w:t>auf</w:t>
      </w:r>
      <w:r w:rsidRPr="00D52A0B">
        <w:t xml:space="preserve"> Personen, die im Zusammenhang mit deren Tätigkeitszweck regelmäßige Kontakte mit ihr unterhalten,</w:t>
      </w:r>
    </w:p>
    <w:p w14:paraId="59D21E32" w14:textId="77777777" w:rsidR="00687085" w:rsidRDefault="00687085" w:rsidP="00687085">
      <w:pPr>
        <w:pStyle w:val="Listenabsatz"/>
        <w:ind w:left="0"/>
      </w:pPr>
      <w:r w:rsidRPr="005F5895">
        <w:t>bezieht</w:t>
      </w:r>
      <w:r w:rsidRPr="00D52A0B">
        <w:t xml:space="preserve"> und die personenbezogenen Daten nicht ohne Einwilligung der betroffenen Personen nach außen offengelegt werden</w:t>
      </w:r>
      <w:r>
        <w:t>.</w:t>
      </w:r>
    </w:p>
    <w:p w14:paraId="6CDD512F" w14:textId="2784BC97" w:rsidR="00687085" w:rsidRDefault="00687085" w:rsidP="00687085">
      <w:r>
        <w:t xml:space="preserve">Hierzu findet sich keine direkte Entsprechung in </w:t>
      </w:r>
      <w:r w:rsidR="005F5895">
        <w:t>Art. </w:t>
      </w:r>
      <w:r>
        <w:t xml:space="preserve">6 </w:t>
      </w:r>
      <w:r w:rsidR="005F5895">
        <w:t>Abs. </w:t>
      </w:r>
      <w:r>
        <w:t xml:space="preserve">1 DS-GVO. Bzgl. Mitgliedern oder ehemaligen Mitgliedern kann – sofern </w:t>
      </w:r>
      <w:r w:rsidRPr="00CD1BC8">
        <w:t>ein Vertrag</w:t>
      </w:r>
      <w:r>
        <w:t xml:space="preserve"> bzgl. Mitgliedschaft in der jeweiligen Organisation oder auch eine Satzung entsprechendes berücksichtigt – </w:t>
      </w:r>
      <w:r w:rsidR="005F5895">
        <w:t>Art. </w:t>
      </w:r>
      <w:r>
        <w:t xml:space="preserve">6 </w:t>
      </w:r>
      <w:r w:rsidR="005F5895">
        <w:t>Abs. </w:t>
      </w:r>
      <w:r>
        <w:t xml:space="preserve">1 </w:t>
      </w:r>
      <w:r w:rsidR="005F5895">
        <w:t>lit. </w:t>
      </w:r>
      <w:r>
        <w:t xml:space="preserve">b </w:t>
      </w:r>
      <w:r w:rsidRPr="00CD1BC8">
        <w:t>DS-GVO</w:t>
      </w:r>
      <w:r>
        <w:t xml:space="preserve"> (Erfüllung vertraglicher Pflichten) herangezogen werden. Dies gilt jedoch nicht für Personen, die lediglich Kontakte mit der jeweiligen Organisation unterhalten bzw. unterhielten. Hier </w:t>
      </w:r>
      <w:r w:rsidR="00562420">
        <w:t>muss</w:t>
      </w:r>
      <w:r>
        <w:t xml:space="preserve"> </w:t>
      </w:r>
      <w:r w:rsidRPr="00CD1BC8">
        <w:t>i</w:t>
      </w:r>
      <w:r>
        <w:t xml:space="preserve">. d. R. </w:t>
      </w:r>
      <w:r w:rsidR="005F5895">
        <w:t>Art. </w:t>
      </w:r>
      <w:r>
        <w:t xml:space="preserve">6 </w:t>
      </w:r>
      <w:r w:rsidR="005F5895">
        <w:t>Abs. </w:t>
      </w:r>
      <w:r>
        <w:t xml:space="preserve">1 </w:t>
      </w:r>
      <w:r w:rsidR="005F5895">
        <w:t>lit. </w:t>
      </w:r>
      <w:r>
        <w:t xml:space="preserve">f DS-GVO </w:t>
      </w:r>
      <w:r w:rsidR="00562420">
        <w:t xml:space="preserve">als Rechtfertigungstatbestand </w:t>
      </w:r>
      <w:r>
        <w:t xml:space="preserve">herangezogen und im Rahmen einer </w:t>
      </w:r>
      <w:r w:rsidR="00303763">
        <w:t xml:space="preserve">Interessenabwägung </w:t>
      </w:r>
      <w:r>
        <w:t xml:space="preserve">geprüft werden, ob eine Verarbeitung statthaft ist. Bei einer Verarbeitung von durch </w:t>
      </w:r>
      <w:r w:rsidR="005F5895">
        <w:t>Art. </w:t>
      </w:r>
      <w:r>
        <w:t xml:space="preserve">9 </w:t>
      </w:r>
      <w:r w:rsidR="005F5895">
        <w:t>Abs. </w:t>
      </w:r>
      <w:r>
        <w:t xml:space="preserve">2 </w:t>
      </w:r>
      <w:r w:rsidR="005F5895">
        <w:t>lit. </w:t>
      </w:r>
      <w:r>
        <w:t>d DS-GVO adressierten Daten handelt es sich naturgemäß um Daten der besonders schützenswerten Kategorien, entsprechend hoch sind die Interessen betroffener Personen zu bewerten und zu berücksichtigen.</w:t>
      </w:r>
    </w:p>
    <w:p w14:paraId="01805CEF" w14:textId="0DAB4BDF" w:rsidR="00687085" w:rsidRDefault="005F5895" w:rsidP="00687085">
      <w:pPr>
        <w:pStyle w:val="berschrift2"/>
      </w:pPr>
      <w:bookmarkStart w:id="103" w:name="_Toc156289863"/>
      <w:bookmarkStart w:id="104" w:name="_Toc169934800"/>
      <w:r>
        <w:t>Art. </w:t>
      </w:r>
      <w:r w:rsidR="00687085">
        <w:t xml:space="preserve">9 </w:t>
      </w:r>
      <w:r>
        <w:t>Abs. </w:t>
      </w:r>
      <w:r w:rsidR="00687085">
        <w:t xml:space="preserve">2 </w:t>
      </w:r>
      <w:r>
        <w:t>lit. </w:t>
      </w:r>
      <w:r w:rsidR="00687085">
        <w:t>e DS-GVO</w:t>
      </w:r>
      <w:bookmarkEnd w:id="103"/>
      <w:bookmarkEnd w:id="104"/>
    </w:p>
    <w:p w14:paraId="3479DCD2" w14:textId="6BB9682E" w:rsidR="00687085" w:rsidRDefault="00687085" w:rsidP="00687085">
      <w:r>
        <w:t xml:space="preserve">Der Tatbestand in </w:t>
      </w:r>
      <w:r w:rsidR="005F5895">
        <w:t>Art. </w:t>
      </w:r>
      <w:r>
        <w:t xml:space="preserve">9 </w:t>
      </w:r>
      <w:r w:rsidR="005F5895">
        <w:t>Abs. </w:t>
      </w:r>
      <w:r>
        <w:t xml:space="preserve">2 </w:t>
      </w:r>
      <w:r w:rsidR="005F5895">
        <w:t>lit. </w:t>
      </w:r>
      <w:r>
        <w:t xml:space="preserve">e DS-GVO betrifft </w:t>
      </w:r>
      <w:r w:rsidRPr="00D52A0B">
        <w:t>Verarbeitung</w:t>
      </w:r>
      <w:r>
        <w:t xml:space="preserve"> von </w:t>
      </w:r>
      <w:r w:rsidRPr="00D52A0B">
        <w:t>personenbezogene</w:t>
      </w:r>
      <w:r>
        <w:t>n</w:t>
      </w:r>
      <w:r w:rsidRPr="00D52A0B">
        <w:t xml:space="preserve"> Daten, </w:t>
      </w:r>
      <w:r>
        <w:t xml:space="preserve">welche </w:t>
      </w:r>
      <w:r w:rsidRPr="00D52A0B">
        <w:t>die betroffene Person offensichtlich öffentlich gemacht hat</w:t>
      </w:r>
      <w:r>
        <w:t xml:space="preserve">. Auch hier findet sich keine entsprechende Regelung in </w:t>
      </w:r>
      <w:r w:rsidR="005F5895">
        <w:t>Art. </w:t>
      </w:r>
      <w:r>
        <w:t xml:space="preserve">6 </w:t>
      </w:r>
      <w:r w:rsidR="005F5895">
        <w:t>Abs. </w:t>
      </w:r>
      <w:r>
        <w:t xml:space="preserve">1 DS-GVO, sodass auch in diesen Fällen i. d. R. eine </w:t>
      </w:r>
      <w:r w:rsidR="00303763">
        <w:t xml:space="preserve">Interessenabwägung </w:t>
      </w:r>
      <w:r>
        <w:t xml:space="preserve">gemäß </w:t>
      </w:r>
      <w:r w:rsidR="005F5895">
        <w:t>Art. </w:t>
      </w:r>
      <w:r>
        <w:t xml:space="preserve">6 </w:t>
      </w:r>
      <w:r w:rsidR="005F5895">
        <w:t>Abs. </w:t>
      </w:r>
      <w:r>
        <w:t xml:space="preserve">1 </w:t>
      </w:r>
      <w:r w:rsidR="005F5895">
        <w:t>lit. </w:t>
      </w:r>
      <w:r>
        <w:t>f DS-GVO erforderlich sein wird.</w:t>
      </w:r>
    </w:p>
    <w:p w14:paraId="42192D45" w14:textId="733DB879" w:rsidR="00687085" w:rsidRDefault="005F5895" w:rsidP="00687085">
      <w:pPr>
        <w:pStyle w:val="berschrift2"/>
      </w:pPr>
      <w:bookmarkStart w:id="105" w:name="_Toc156289864"/>
      <w:bookmarkStart w:id="106" w:name="_Ref166138657"/>
      <w:bookmarkStart w:id="107" w:name="_Ref166138702"/>
      <w:bookmarkStart w:id="108" w:name="_Ref169680524"/>
      <w:bookmarkStart w:id="109" w:name="_Toc169934801"/>
      <w:r>
        <w:t>Art. </w:t>
      </w:r>
      <w:r w:rsidR="00687085">
        <w:t xml:space="preserve">9 </w:t>
      </w:r>
      <w:r>
        <w:t>Abs. </w:t>
      </w:r>
      <w:r w:rsidR="00687085">
        <w:t xml:space="preserve">2 </w:t>
      </w:r>
      <w:r>
        <w:t>lit. </w:t>
      </w:r>
      <w:r w:rsidR="00687085">
        <w:t>f DS-GVO</w:t>
      </w:r>
      <w:bookmarkEnd w:id="105"/>
      <w:bookmarkEnd w:id="106"/>
      <w:bookmarkEnd w:id="107"/>
      <w:bookmarkEnd w:id="108"/>
      <w:bookmarkEnd w:id="109"/>
    </w:p>
    <w:p w14:paraId="5AEA9242" w14:textId="65DB7B8E" w:rsidR="00687085" w:rsidRDefault="005F5895" w:rsidP="00687085">
      <w:r>
        <w:t>Art. </w:t>
      </w:r>
      <w:r w:rsidR="00687085">
        <w:t xml:space="preserve">9 </w:t>
      </w:r>
      <w:r>
        <w:t>Abs. </w:t>
      </w:r>
      <w:r w:rsidR="00687085">
        <w:t xml:space="preserve">2 </w:t>
      </w:r>
      <w:r>
        <w:t>lit. </w:t>
      </w:r>
      <w:r w:rsidR="00687085">
        <w:t xml:space="preserve">f DS-GVO gestattet die </w:t>
      </w:r>
      <w:r w:rsidR="00687085" w:rsidRPr="00175F60">
        <w:t xml:space="preserve">Verarbeitung </w:t>
      </w:r>
      <w:r w:rsidR="00687085">
        <w:t xml:space="preserve">im erforderlichen Umfang </w:t>
      </w:r>
      <w:r w:rsidR="00687085" w:rsidRPr="00175F60">
        <w:t xml:space="preserve">zur Geltendmachung, Ausübung oder Verteidigung von Rechtsansprüchen </w:t>
      </w:r>
      <w:r w:rsidR="00562420">
        <w:t xml:space="preserve">sowie </w:t>
      </w:r>
      <w:r w:rsidR="00562420" w:rsidRPr="00562420">
        <w:t>die Verarbeitung</w:t>
      </w:r>
      <w:r w:rsidR="00687085" w:rsidRPr="00175F60">
        <w:t xml:space="preserve"> bei Handlungen der Gerichte</w:t>
      </w:r>
      <w:r w:rsidR="00562420">
        <w:t>, sofern diese</w:t>
      </w:r>
      <w:r w:rsidR="00687085" w:rsidRPr="00175F60">
        <w:t xml:space="preserve"> im Rahmen ihrer justiziellen Tätigkeit erforderlich</w:t>
      </w:r>
      <w:r w:rsidR="00562420">
        <w:t xml:space="preserve"> ist</w:t>
      </w:r>
      <w:r w:rsidR="00687085">
        <w:t>. In den meisten Fällen,</w:t>
      </w:r>
      <w:r w:rsidR="00E616DE" w:rsidRPr="00E616DE">
        <w:t xml:space="preserve"> in denen</w:t>
      </w:r>
      <w:r w:rsidR="00687085">
        <w:t xml:space="preserve"> diese Regelung angewandt wird, wird auch </w:t>
      </w:r>
      <w:r>
        <w:t>Art. </w:t>
      </w:r>
      <w:r w:rsidR="00687085">
        <w:t xml:space="preserve">6 </w:t>
      </w:r>
      <w:r>
        <w:t>Abs. </w:t>
      </w:r>
      <w:r w:rsidR="00687085">
        <w:t xml:space="preserve">1 </w:t>
      </w:r>
      <w:r>
        <w:t>lit. </w:t>
      </w:r>
      <w:r w:rsidR="00687085">
        <w:t>c DS-GVO (</w:t>
      </w:r>
      <w:r w:rsidR="00687085" w:rsidRPr="00D52A0B">
        <w:t>Erfüllung einer rechtlichen Verpflichtung erforderlich, der der Verantwortliche unterliegt</w:t>
      </w:r>
      <w:r w:rsidR="00687085">
        <w:t>) zutreffen.</w:t>
      </w:r>
    </w:p>
    <w:p w14:paraId="73F9DC91" w14:textId="0943AAEE" w:rsidR="00687085" w:rsidRDefault="00687085" w:rsidP="00687085">
      <w:r>
        <w:t xml:space="preserve">Erfolgt die Verarbeitung hingegen eher vorsorglich, z. B., um Daten für </w:t>
      </w:r>
      <w:r w:rsidRPr="00CD1BC8">
        <w:t>ein mögliche</w:t>
      </w:r>
      <w:r w:rsidR="00624CC8">
        <w:t>s</w:t>
      </w:r>
      <w:r w:rsidRPr="00CD1BC8">
        <w:t xml:space="preserve"> </w:t>
      </w:r>
      <w:r w:rsidR="00624CC8" w:rsidRPr="00CD1BC8">
        <w:t>Gerichtsverfahren</w:t>
      </w:r>
      <w:r w:rsidR="00624CC8">
        <w:t xml:space="preserve"> </w:t>
      </w:r>
      <w:r w:rsidRPr="00CD1BC8">
        <w:t>in unbestimmte</w:t>
      </w:r>
      <w:r w:rsidR="00624CC8">
        <w:t>r</w:t>
      </w:r>
      <w:r w:rsidRPr="00CD1BC8">
        <w:t xml:space="preserve"> Zukunft </w:t>
      </w:r>
      <w:r>
        <w:t>zu speichern, so wird sich keine gesetzliche Regelung finden</w:t>
      </w:r>
      <w:r w:rsidR="00624CC8">
        <w:t xml:space="preserve"> lassen</w:t>
      </w:r>
      <w:r>
        <w:t>, die dies vom Verantwortlichen verlangt, so</w:t>
      </w:r>
      <w:r w:rsidR="00624CC8">
        <w:t>dass</w:t>
      </w:r>
      <w:r>
        <w:t xml:space="preserve"> ein rechtliches Erfordernis nicht gegeben ist. Auch in diesen Fällen wird eine </w:t>
      </w:r>
      <w:r w:rsidR="00303763">
        <w:t xml:space="preserve">Interessenabwägung </w:t>
      </w:r>
      <w:r>
        <w:t xml:space="preserve">nach </w:t>
      </w:r>
      <w:r w:rsidR="005F5895">
        <w:t>Art. </w:t>
      </w:r>
      <w:r>
        <w:t xml:space="preserve">6 </w:t>
      </w:r>
      <w:r w:rsidR="005F5895">
        <w:t>Abs. </w:t>
      </w:r>
      <w:r>
        <w:t xml:space="preserve">1 </w:t>
      </w:r>
      <w:r w:rsidR="005F5895">
        <w:t>lit. </w:t>
      </w:r>
      <w:r>
        <w:t xml:space="preserve">f DS-GVO erforderlich sein und eine Verarbeitung </w:t>
      </w:r>
      <w:r w:rsidR="00624CC8">
        <w:t xml:space="preserve">nur </w:t>
      </w:r>
      <w:r>
        <w:t>dann möglich</w:t>
      </w:r>
      <w:r w:rsidR="00624CC8">
        <w:t xml:space="preserve"> sein</w:t>
      </w:r>
      <w:r>
        <w:t xml:space="preserve">, wenn die </w:t>
      </w:r>
      <w:r w:rsidRPr="00175F60">
        <w:t>Interessen oder Grundrechte und Grundfreiheiten der betroffenen Person</w:t>
      </w:r>
      <w:r>
        <w:t xml:space="preserve"> nicht überwiegen.</w:t>
      </w:r>
    </w:p>
    <w:p w14:paraId="538FAAC6" w14:textId="76067B39" w:rsidR="00687085" w:rsidRDefault="005F5895" w:rsidP="00687085">
      <w:pPr>
        <w:pStyle w:val="berschrift2"/>
      </w:pPr>
      <w:bookmarkStart w:id="110" w:name="_Toc156289865"/>
      <w:bookmarkStart w:id="111" w:name="_Toc169934802"/>
      <w:r>
        <w:t>Art. </w:t>
      </w:r>
      <w:r w:rsidR="00687085">
        <w:t xml:space="preserve">9 </w:t>
      </w:r>
      <w:r>
        <w:t>Abs. </w:t>
      </w:r>
      <w:r w:rsidR="00687085">
        <w:t xml:space="preserve">2 </w:t>
      </w:r>
      <w:r>
        <w:t>lit. </w:t>
      </w:r>
      <w:r w:rsidR="00687085">
        <w:t>g DS-GVO</w:t>
      </w:r>
      <w:bookmarkEnd w:id="110"/>
      <w:bookmarkEnd w:id="111"/>
    </w:p>
    <w:p w14:paraId="499750C3" w14:textId="09427CF1" w:rsidR="00687085" w:rsidRDefault="005F5895" w:rsidP="00687085">
      <w:pPr>
        <w:spacing w:after="0"/>
      </w:pPr>
      <w:r>
        <w:t>Art. </w:t>
      </w:r>
      <w:r w:rsidR="00687085">
        <w:t xml:space="preserve">9 </w:t>
      </w:r>
      <w:r>
        <w:t>Abs. </w:t>
      </w:r>
      <w:r w:rsidR="00687085">
        <w:t xml:space="preserve">2 </w:t>
      </w:r>
      <w:r>
        <w:t>lit. </w:t>
      </w:r>
      <w:r w:rsidR="00687085">
        <w:t xml:space="preserve">g DS-GVO erlaubt eine </w:t>
      </w:r>
      <w:r w:rsidR="00687085" w:rsidRPr="00175F60">
        <w:t>Verarbeitung</w:t>
      </w:r>
      <w:r w:rsidR="00687085">
        <w:t xml:space="preserve">, wenn </w:t>
      </w:r>
      <w:r w:rsidR="00687085" w:rsidRPr="005F5895">
        <w:t>diese</w:t>
      </w:r>
    </w:p>
    <w:p w14:paraId="4D0212B8" w14:textId="77777777" w:rsidR="00687085" w:rsidRDefault="00687085" w:rsidP="00687085">
      <w:pPr>
        <w:pStyle w:val="Listenabsatz"/>
        <w:numPr>
          <w:ilvl w:val="0"/>
          <w:numId w:val="15"/>
        </w:numPr>
        <w:suppressAutoHyphens w:val="0"/>
        <w:spacing w:after="160" w:line="259" w:lineRule="auto"/>
      </w:pPr>
      <w:r w:rsidRPr="005F5895">
        <w:t>aus</w:t>
      </w:r>
      <w:r w:rsidRPr="00175F60">
        <w:t xml:space="preserve"> Gründen eines erheblichen öffentlichen Interesses</w:t>
      </w:r>
      <w:r>
        <w:t xml:space="preserve"> erforderlich ist </w:t>
      </w:r>
      <w:r w:rsidRPr="005F5895">
        <w:t>und</w:t>
      </w:r>
    </w:p>
    <w:p w14:paraId="6394FA6D" w14:textId="77777777" w:rsidR="00687085" w:rsidRDefault="00687085" w:rsidP="00687085">
      <w:pPr>
        <w:pStyle w:val="Listenabsatz"/>
        <w:numPr>
          <w:ilvl w:val="0"/>
          <w:numId w:val="15"/>
        </w:numPr>
        <w:suppressAutoHyphens w:val="0"/>
        <w:spacing w:after="160" w:line="259" w:lineRule="auto"/>
      </w:pPr>
      <w:r>
        <w:t xml:space="preserve">Unionsrecht oder deutsches Recht dies erlaubt, wobei diese gesetzliche </w:t>
      </w:r>
      <w:r w:rsidRPr="005F5895">
        <w:t>Regelung</w:t>
      </w:r>
    </w:p>
    <w:p w14:paraId="655822C7" w14:textId="77777777" w:rsidR="00687085" w:rsidRDefault="00687085" w:rsidP="00687085">
      <w:pPr>
        <w:pStyle w:val="Listenabsatz"/>
        <w:numPr>
          <w:ilvl w:val="1"/>
          <w:numId w:val="16"/>
        </w:numPr>
        <w:suppressAutoHyphens w:val="0"/>
        <w:spacing w:after="160" w:line="259" w:lineRule="auto"/>
      </w:pPr>
      <w:r w:rsidRPr="005F5895">
        <w:t>in</w:t>
      </w:r>
      <w:r w:rsidRPr="00175F60">
        <w:t xml:space="preserve"> angemessenem Verhältnis zu dem verfolgten Ziel steh</w:t>
      </w:r>
      <w:r>
        <w:t>en</w:t>
      </w:r>
      <w:r w:rsidRPr="00175F60">
        <w:t>,</w:t>
      </w:r>
    </w:p>
    <w:p w14:paraId="013B1DD0" w14:textId="77777777" w:rsidR="00687085" w:rsidRDefault="00687085" w:rsidP="00687085">
      <w:pPr>
        <w:pStyle w:val="Listenabsatz"/>
        <w:numPr>
          <w:ilvl w:val="1"/>
          <w:numId w:val="16"/>
        </w:numPr>
        <w:suppressAutoHyphens w:val="0"/>
        <w:spacing w:after="160" w:line="259" w:lineRule="auto"/>
      </w:pPr>
      <w:r w:rsidRPr="005F5895">
        <w:t>den</w:t>
      </w:r>
      <w:r w:rsidRPr="00175F60">
        <w:t xml:space="preserve"> Wesensgehalt des Rechts auf Datenschutz wahr</w:t>
      </w:r>
      <w:r>
        <w:t>en</w:t>
      </w:r>
      <w:r w:rsidRPr="00175F60">
        <w:t xml:space="preserve"> </w:t>
      </w:r>
      <w:r w:rsidRPr="005F5895">
        <w:t>und</w:t>
      </w:r>
    </w:p>
    <w:p w14:paraId="53F36F28" w14:textId="77777777" w:rsidR="00687085" w:rsidRDefault="00687085" w:rsidP="00687085">
      <w:pPr>
        <w:pStyle w:val="Listenabsatz"/>
        <w:numPr>
          <w:ilvl w:val="1"/>
          <w:numId w:val="16"/>
        </w:numPr>
        <w:suppressAutoHyphens w:val="0"/>
        <w:spacing w:after="160" w:line="259" w:lineRule="auto"/>
      </w:pPr>
      <w:r w:rsidRPr="005F5895">
        <w:t>angemessene</w:t>
      </w:r>
      <w:r w:rsidRPr="00175F60">
        <w:t xml:space="preserve"> und spezifische Maßnahmen zur Wahrung der Grundrechte und Interessen der betroffenen Person vors</w:t>
      </w:r>
      <w:r>
        <w:t>ehen muss.</w:t>
      </w:r>
    </w:p>
    <w:p w14:paraId="3CFC2D05" w14:textId="1E1AAF03" w:rsidR="00687085" w:rsidRDefault="00687085" w:rsidP="00687085">
      <w:r>
        <w:t>Der Verantwortliche muss also diese Vorgaben prüfen, bevor</w:t>
      </w:r>
      <w:r w:rsidRPr="00175F60">
        <w:t xml:space="preserve"> </w:t>
      </w:r>
      <w:r w:rsidR="005F5895">
        <w:t>Art. </w:t>
      </w:r>
      <w:r>
        <w:t xml:space="preserve">9 </w:t>
      </w:r>
      <w:r w:rsidR="005F5895">
        <w:t>Abs. </w:t>
      </w:r>
      <w:r>
        <w:t xml:space="preserve">2 </w:t>
      </w:r>
      <w:r w:rsidR="005F5895">
        <w:t>lit. </w:t>
      </w:r>
      <w:r>
        <w:t xml:space="preserve">g DS-GVO überhaupt angewendet werden kann. </w:t>
      </w:r>
      <w:r w:rsidR="005F5895">
        <w:t>Art. </w:t>
      </w:r>
      <w:r>
        <w:t xml:space="preserve">6 </w:t>
      </w:r>
      <w:r w:rsidR="005F5895">
        <w:t>Abs. </w:t>
      </w:r>
      <w:r>
        <w:t xml:space="preserve">1 </w:t>
      </w:r>
      <w:r w:rsidR="005F5895">
        <w:t>lit. </w:t>
      </w:r>
      <w:r>
        <w:t>e DS-GVO (</w:t>
      </w:r>
      <w:r w:rsidRPr="00175F60">
        <w:t>Wahrnehmung einer im öffentlichen Interesse lieg</w:t>
      </w:r>
      <w:r>
        <w:t>enden</w:t>
      </w:r>
      <w:r w:rsidRPr="00175F60">
        <w:t xml:space="preserve"> Aufgabe</w:t>
      </w:r>
      <w:r>
        <w:t xml:space="preserve">) wird durch </w:t>
      </w:r>
      <w:r w:rsidR="005F5895">
        <w:t>Art. </w:t>
      </w:r>
      <w:r>
        <w:t xml:space="preserve">9 </w:t>
      </w:r>
      <w:r w:rsidR="005F5895">
        <w:t>Abs. </w:t>
      </w:r>
      <w:r>
        <w:t xml:space="preserve">2 </w:t>
      </w:r>
      <w:r w:rsidR="005F5895">
        <w:t>lit. </w:t>
      </w:r>
      <w:r>
        <w:t>g DS-GVO i. d R ebenfalls entsprochen.</w:t>
      </w:r>
    </w:p>
    <w:p w14:paraId="3157F5CE" w14:textId="49B6A138" w:rsidR="00687085" w:rsidRDefault="005F5895" w:rsidP="00687085">
      <w:pPr>
        <w:pStyle w:val="berschrift2"/>
      </w:pPr>
      <w:bookmarkStart w:id="112" w:name="_Ref156195371"/>
      <w:bookmarkStart w:id="113" w:name="_Toc156289866"/>
      <w:bookmarkStart w:id="114" w:name="_Toc169934803"/>
      <w:r>
        <w:t>Art. </w:t>
      </w:r>
      <w:r w:rsidR="00687085">
        <w:t xml:space="preserve">9 </w:t>
      </w:r>
      <w:r>
        <w:t>Abs. </w:t>
      </w:r>
      <w:r w:rsidR="00687085">
        <w:t xml:space="preserve">2 </w:t>
      </w:r>
      <w:r>
        <w:t>lit. </w:t>
      </w:r>
      <w:r w:rsidR="00687085">
        <w:t>h DS-GVO</w:t>
      </w:r>
      <w:bookmarkEnd w:id="112"/>
      <w:bookmarkEnd w:id="113"/>
      <w:bookmarkEnd w:id="114"/>
    </w:p>
    <w:p w14:paraId="167DA346" w14:textId="19385A3D" w:rsidR="00687085" w:rsidRDefault="005F5895" w:rsidP="00687085">
      <w:pPr>
        <w:spacing w:after="0"/>
      </w:pPr>
      <w:r>
        <w:t>Art. </w:t>
      </w:r>
      <w:r w:rsidR="00687085">
        <w:t xml:space="preserve">9 </w:t>
      </w:r>
      <w:r>
        <w:t>Abs. </w:t>
      </w:r>
      <w:r w:rsidR="00687085">
        <w:t xml:space="preserve">2 </w:t>
      </w:r>
      <w:r>
        <w:t>lit. </w:t>
      </w:r>
      <w:r w:rsidR="00687085">
        <w:t xml:space="preserve">h DS-GVO beinhaltet diverse Zwecke und erlaubt eine Verarbeitung im erforderlichen Umfang für </w:t>
      </w:r>
      <w:r w:rsidR="00687085" w:rsidRPr="005F5895">
        <w:t>Zwecke</w:t>
      </w:r>
    </w:p>
    <w:p w14:paraId="6CED7A2F" w14:textId="03A07F77" w:rsidR="00687085" w:rsidRDefault="00687085" w:rsidP="00687085">
      <w:pPr>
        <w:pStyle w:val="Listenabsatz"/>
        <w:numPr>
          <w:ilvl w:val="0"/>
          <w:numId w:val="17"/>
        </w:numPr>
        <w:suppressAutoHyphens w:val="0"/>
        <w:spacing w:after="160" w:line="259" w:lineRule="auto"/>
      </w:pPr>
      <w:r w:rsidRPr="005F5895">
        <w:t>der</w:t>
      </w:r>
      <w:r w:rsidRPr="00175F60">
        <w:t xml:space="preserve"> Gesundheitsvorsorge</w:t>
      </w:r>
      <w:r w:rsidR="00624CC8">
        <w:t>,</w:t>
      </w:r>
    </w:p>
    <w:p w14:paraId="6D756165" w14:textId="77777777" w:rsidR="00687085" w:rsidRDefault="00687085" w:rsidP="00687085">
      <w:pPr>
        <w:pStyle w:val="Listenabsatz"/>
        <w:numPr>
          <w:ilvl w:val="0"/>
          <w:numId w:val="17"/>
        </w:numPr>
        <w:suppressAutoHyphens w:val="0"/>
        <w:spacing w:after="160" w:line="259" w:lineRule="auto"/>
      </w:pPr>
      <w:r w:rsidRPr="005F5895">
        <w:t>der</w:t>
      </w:r>
      <w:r w:rsidRPr="00175F60">
        <w:t xml:space="preserve"> Arbeitsmedizin,</w:t>
      </w:r>
    </w:p>
    <w:p w14:paraId="4B265780" w14:textId="77777777" w:rsidR="00687085" w:rsidRDefault="00687085" w:rsidP="00687085">
      <w:pPr>
        <w:pStyle w:val="Listenabsatz"/>
        <w:numPr>
          <w:ilvl w:val="0"/>
          <w:numId w:val="17"/>
        </w:numPr>
        <w:suppressAutoHyphens w:val="0"/>
        <w:spacing w:after="160" w:line="259" w:lineRule="auto"/>
      </w:pPr>
      <w:r w:rsidRPr="005F5895">
        <w:t>der</w:t>
      </w:r>
      <w:r>
        <w:t xml:space="preserve"> </w:t>
      </w:r>
      <w:r w:rsidRPr="00175F60">
        <w:t xml:space="preserve">Beurteilung der Arbeitsfähigkeit des Beschäftigten, </w:t>
      </w:r>
    </w:p>
    <w:p w14:paraId="18F7B46D" w14:textId="77777777" w:rsidR="00687085" w:rsidRDefault="00687085" w:rsidP="00687085">
      <w:pPr>
        <w:pStyle w:val="Listenabsatz"/>
        <w:numPr>
          <w:ilvl w:val="0"/>
          <w:numId w:val="17"/>
        </w:numPr>
        <w:suppressAutoHyphens w:val="0"/>
        <w:spacing w:after="160" w:line="259" w:lineRule="auto"/>
      </w:pPr>
      <w:r w:rsidRPr="005F5895">
        <w:t>der</w:t>
      </w:r>
      <w:r>
        <w:t xml:space="preserve"> </w:t>
      </w:r>
      <w:r w:rsidRPr="00175F60">
        <w:t>medizinische</w:t>
      </w:r>
      <w:r>
        <w:t>n</w:t>
      </w:r>
      <w:r w:rsidRPr="00175F60">
        <w:t xml:space="preserve"> Diagnostik,</w:t>
      </w:r>
    </w:p>
    <w:p w14:paraId="71D174CA" w14:textId="77777777" w:rsidR="00687085" w:rsidRDefault="00687085" w:rsidP="00687085">
      <w:pPr>
        <w:pStyle w:val="Listenabsatz"/>
        <w:numPr>
          <w:ilvl w:val="0"/>
          <w:numId w:val="17"/>
        </w:numPr>
        <w:suppressAutoHyphens w:val="0"/>
        <w:spacing w:after="160" w:line="259" w:lineRule="auto"/>
      </w:pPr>
      <w:r w:rsidRPr="005F5895">
        <w:t>der</w:t>
      </w:r>
      <w:r w:rsidRPr="00175F60">
        <w:t xml:space="preserve"> Versorgung oder Behandlung im Gesundheits- oder Sozialbereich oder</w:t>
      </w:r>
    </w:p>
    <w:p w14:paraId="0B7A5642" w14:textId="55FC1BF9" w:rsidR="00687085" w:rsidRDefault="00687085" w:rsidP="00687085">
      <w:pPr>
        <w:pStyle w:val="Listenabsatz"/>
        <w:numPr>
          <w:ilvl w:val="0"/>
          <w:numId w:val="17"/>
        </w:numPr>
        <w:suppressAutoHyphens w:val="0"/>
        <w:spacing w:after="160" w:line="259" w:lineRule="auto"/>
      </w:pPr>
      <w:r w:rsidRPr="005F5895">
        <w:t>der</w:t>
      </w:r>
      <w:r>
        <w:t xml:space="preserve"> </w:t>
      </w:r>
      <w:r w:rsidRPr="00175F60">
        <w:t>Verwaltung von Systemen und Diensten im Gesundheits- oder Sozialbereich</w:t>
      </w:r>
      <w:r w:rsidR="00624CC8">
        <w:t>,</w:t>
      </w:r>
    </w:p>
    <w:p w14:paraId="6F4BD29A" w14:textId="03384EB9" w:rsidR="00687085" w:rsidRDefault="00687085" w:rsidP="00687085">
      <w:pPr>
        <w:pStyle w:val="Listenabsatz"/>
        <w:ind w:left="360"/>
      </w:pPr>
      <w:r w:rsidRPr="005F5895">
        <w:t>wob</w:t>
      </w:r>
      <w:r>
        <w:t>ei entweder Unionsrecht oder deutsches Recht oder e</w:t>
      </w:r>
      <w:r w:rsidRPr="00175F60">
        <w:t xml:space="preserve">in Vertrag mit einem Angehörigen </w:t>
      </w:r>
      <w:r w:rsidRPr="008B0D52">
        <w:t>eines Gesundheitsberuf</w:t>
      </w:r>
      <w:r w:rsidR="00562420">
        <w:t>s</w:t>
      </w:r>
      <w:r>
        <w:t xml:space="preserve"> dies erlaubt.</w:t>
      </w:r>
    </w:p>
    <w:p w14:paraId="4ADB59BA" w14:textId="2AE862D5" w:rsidR="00687085" w:rsidRDefault="00687085" w:rsidP="00687085">
      <w:r>
        <w:t xml:space="preserve">Im deutschen Recht finden sich hier diverse Regelungen, welche dies adressieren: im Bundesrecht </w:t>
      </w:r>
      <w:r w:rsidRPr="00CD1BC8">
        <w:t>z. B.</w:t>
      </w:r>
      <w:r>
        <w:t xml:space="preserve"> die Sozialgesetzbücher, im Landesrecht</w:t>
      </w:r>
      <w:r w:rsidR="00624CC8">
        <w:t>,</w:t>
      </w:r>
      <w:r>
        <w:t xml:space="preserve"> beispielsweise die Rettungsdienstgesetze der Länder oder </w:t>
      </w:r>
      <w:r w:rsidR="00624CC8">
        <w:t xml:space="preserve">die </w:t>
      </w:r>
      <w:r>
        <w:t>Landeskrankenhausgesetze.</w:t>
      </w:r>
    </w:p>
    <w:p w14:paraId="5C0E111B" w14:textId="2B43DADE" w:rsidR="00687085" w:rsidRDefault="00687085" w:rsidP="00687085">
      <w:r>
        <w:t xml:space="preserve">Hinsichtlich vertraglicher Regelung ist in Deutschland insbesondere auf den in </w:t>
      </w:r>
      <w:r w:rsidR="00D71A87">
        <w:t>§§</w:t>
      </w:r>
      <w:r w:rsidR="005F5895">
        <w:t> </w:t>
      </w:r>
      <w:r>
        <w:t>630a ff BGB geregelten Behandlungsvertrag hinzuweisen.</w:t>
      </w:r>
    </w:p>
    <w:p w14:paraId="22B31F2A" w14:textId="3A7C9F97" w:rsidR="00687085" w:rsidRDefault="00624CC8" w:rsidP="00687085">
      <w:pPr>
        <w:spacing w:after="0"/>
      </w:pPr>
      <w:r>
        <w:t xml:space="preserve">Hinsichtlich </w:t>
      </w:r>
      <w:r w:rsidR="00687085">
        <w:t xml:space="preserve">der in </w:t>
      </w:r>
      <w:r w:rsidR="005F5895">
        <w:t>Art. </w:t>
      </w:r>
      <w:r w:rsidR="00687085">
        <w:t xml:space="preserve">9 </w:t>
      </w:r>
      <w:r w:rsidR="005F5895">
        <w:t>Abs. </w:t>
      </w:r>
      <w:r w:rsidR="00687085">
        <w:t xml:space="preserve">2 </w:t>
      </w:r>
      <w:r w:rsidR="005F5895">
        <w:t>lit. </w:t>
      </w:r>
      <w:r w:rsidR="00687085">
        <w:t>h DS-GVO enthaltenen vertraglichen Rechtsgrundlage ist d</w:t>
      </w:r>
      <w:r>
        <w:t>as</w:t>
      </w:r>
      <w:r w:rsidR="00687085">
        <w:t xml:space="preserve"> </w:t>
      </w:r>
      <w:r>
        <w:t>Erf</w:t>
      </w:r>
      <w:r w:rsidR="00687085">
        <w:t>order</w:t>
      </w:r>
      <w:r>
        <w:t>nis zu beachten</w:t>
      </w:r>
      <w:r w:rsidR="00687085">
        <w:t>, dass der Vertrag mit „</w:t>
      </w:r>
      <w:r w:rsidR="00687085" w:rsidRPr="00175F60">
        <w:t xml:space="preserve">Angehörigen </w:t>
      </w:r>
      <w:r w:rsidR="00687085" w:rsidRPr="00CD1BC8">
        <w:t>eines Gesundheitsberufs</w:t>
      </w:r>
      <w:r w:rsidR="00687085">
        <w:t xml:space="preserve">“ abgeschlossen </w:t>
      </w:r>
      <w:r>
        <w:t>werden</w:t>
      </w:r>
      <w:r w:rsidR="00687085">
        <w:t xml:space="preserve"> muss. Der </w:t>
      </w:r>
      <w:r>
        <w:t>Begriff</w:t>
      </w:r>
      <w:r w:rsidR="00687085">
        <w:t xml:space="preserve"> „</w:t>
      </w:r>
      <w:r w:rsidR="00687085" w:rsidRPr="00175F60">
        <w:t xml:space="preserve">Angehörige </w:t>
      </w:r>
      <w:r w:rsidR="00687085" w:rsidRPr="00CD1BC8">
        <w:t>eines Gesundheitsberufs</w:t>
      </w:r>
      <w:r w:rsidR="00687085">
        <w:t xml:space="preserve">“ ist europarechtlich in </w:t>
      </w:r>
      <w:r w:rsidR="005F5895">
        <w:t>Art. </w:t>
      </w:r>
      <w:r w:rsidR="00687085" w:rsidRPr="00175F60">
        <w:t xml:space="preserve">3 </w:t>
      </w:r>
      <w:r w:rsidR="005F5895">
        <w:t>lit. </w:t>
      </w:r>
      <w:r w:rsidR="00687085" w:rsidRPr="00175F60">
        <w:t>f Richtlinie 2011/24/EU</w:t>
      </w:r>
      <w:r w:rsidR="00687085">
        <w:rPr>
          <w:rStyle w:val="Funotenzeichen"/>
        </w:rPr>
        <w:footnoteReference w:id="23"/>
      </w:r>
      <w:r w:rsidR="00687085">
        <w:t xml:space="preserve"> geregelt:</w:t>
      </w:r>
    </w:p>
    <w:p w14:paraId="4CBF4661" w14:textId="77777777" w:rsidR="00687085" w:rsidRDefault="00687085" w:rsidP="00687085">
      <w:pPr>
        <w:spacing w:after="0"/>
        <w:ind w:left="709"/>
      </w:pPr>
      <w:r>
        <w:t>„</w:t>
      </w:r>
      <w:r w:rsidRPr="00175F60">
        <w:t>Einen Arzt, eine Krankenschwester oder einen Krankenpfleger für allgemeine Pflege, einen Zahnarzt, eine Hebamme oder einen Apotheker im Sinne der Richtlinie 2005/36/EG oder eine andere Fachkraft, die im Gesundheitsbereich Tätigkeiten ausübt, die einem reglementierten Beruf im Sinne von Artikel 3 Absatz 1 Buchstabe a der Richtlinie 2005/36/EG</w:t>
      </w:r>
      <w:r>
        <w:rPr>
          <w:rStyle w:val="Funotenzeichen"/>
        </w:rPr>
        <w:footnoteReference w:id="24"/>
      </w:r>
      <w:r w:rsidRPr="00175F60">
        <w:t xml:space="preserve"> vorbehalten sind, oder eine Person, die nach den Rechtsvorschriften des Behandlungsmitgliedstaats als Angehöriger der Gesundheitsberufe gilt</w:t>
      </w:r>
      <w:r>
        <w:t>.“</w:t>
      </w:r>
    </w:p>
    <w:p w14:paraId="60FBD2F3" w14:textId="5A033719" w:rsidR="00687085" w:rsidRDefault="00687085" w:rsidP="00687085">
      <w:r>
        <w:t>In Deutschland dürften „</w:t>
      </w:r>
      <w:r w:rsidRPr="00175F60">
        <w:t xml:space="preserve">Angehörige </w:t>
      </w:r>
      <w:r w:rsidRPr="00CD1BC8">
        <w:t>eines Gesundheitsberufs</w:t>
      </w:r>
      <w:r>
        <w:t xml:space="preserve">“ weitestgehend mit jenen Berufen übereinstimmen, welche von </w:t>
      </w:r>
      <w:r w:rsidR="005F5895">
        <w:t>§ </w:t>
      </w:r>
      <w:r>
        <w:t xml:space="preserve">203 </w:t>
      </w:r>
      <w:r w:rsidR="005F5895">
        <w:t>Abs. </w:t>
      </w:r>
      <w:r>
        <w:t xml:space="preserve">1 </w:t>
      </w:r>
      <w:r w:rsidR="005F5895" w:rsidRPr="005F5895">
        <w:t>Ziff. </w:t>
      </w:r>
      <w:r>
        <w:t>1 StGB adressiert werden: „</w:t>
      </w:r>
      <w:r w:rsidRPr="00CE74CF">
        <w:t>Arzt, Zahnarzt, Tierarzt, Apotheker oder Angehörigen eines anderen Heilberufs, der für die Berufsausübung oder die Führung der Berufsbezeichnung eine staatlich geregelte Ausbildung erfordert</w:t>
      </w:r>
      <w:r>
        <w:t>“.</w:t>
      </w:r>
      <w:r>
        <w:rPr>
          <w:rStyle w:val="Funotenzeichen"/>
        </w:rPr>
        <w:footnoteReference w:id="25"/>
      </w:r>
    </w:p>
    <w:p w14:paraId="37D89AB5" w14:textId="6E979FFF" w:rsidR="00687085" w:rsidRDefault="00687085" w:rsidP="00687085">
      <w:r>
        <w:t xml:space="preserve">Somit werden Verträge mit Ärzten, Krankenpflegepersonal usw. wohl mit der Regelung in </w:t>
      </w:r>
      <w:r w:rsidR="005F5895">
        <w:t>Art. </w:t>
      </w:r>
      <w:r>
        <w:t xml:space="preserve">9 </w:t>
      </w:r>
      <w:r w:rsidR="005F5895">
        <w:t>Abs. </w:t>
      </w:r>
      <w:r>
        <w:t xml:space="preserve">2 </w:t>
      </w:r>
      <w:r w:rsidR="005F5895">
        <w:t>lit. </w:t>
      </w:r>
      <w:r>
        <w:t>h DS-GVO adressiert, Verträge mit anderen Dienstleistern (</w:t>
      </w:r>
      <w:r w:rsidRPr="00CD1BC8">
        <w:t>z. B.</w:t>
      </w:r>
      <w:r>
        <w:t xml:space="preserve"> zur Terminvermittlung zwischen einem Patienten und einem niedergelassenen Arzt, was entsprechend der weiten </w:t>
      </w:r>
      <w:r w:rsidRPr="005F5895">
        <w:t>Auslegung</w:t>
      </w:r>
      <w:r w:rsidRPr="005F5895">
        <w:rPr>
          <w:vertAlign w:val="superscript"/>
        </w:rPr>
        <w:fldChar w:fldCharType="begin"/>
      </w:r>
      <w:r w:rsidRPr="005F5895">
        <w:rPr>
          <w:vertAlign w:val="superscript"/>
        </w:rPr>
        <w:instrText xml:space="preserve"> NOTEREF _Ref154898654 \h  \* MERGEFORMAT </w:instrText>
      </w:r>
      <w:r w:rsidRPr="005F5895">
        <w:rPr>
          <w:vertAlign w:val="superscript"/>
        </w:rPr>
      </w:r>
      <w:r w:rsidRPr="005F5895">
        <w:rPr>
          <w:vertAlign w:val="superscript"/>
        </w:rPr>
        <w:fldChar w:fldCharType="separate"/>
      </w:r>
      <w:r w:rsidR="00F43608">
        <w:rPr>
          <w:vertAlign w:val="superscript"/>
        </w:rPr>
        <w:t>3</w:t>
      </w:r>
      <w:r w:rsidRPr="005F5895">
        <w:rPr>
          <w:vertAlign w:val="superscript"/>
        </w:rPr>
        <w:fldChar w:fldCharType="end"/>
      </w:r>
      <w:r w:rsidRPr="00E138EE">
        <w:rPr>
          <w:vertAlign w:val="superscript"/>
        </w:rPr>
        <w:t>, </w:t>
      </w:r>
      <w:r w:rsidRPr="00E138EE">
        <w:rPr>
          <w:vertAlign w:val="superscript"/>
        </w:rPr>
        <w:fldChar w:fldCharType="begin"/>
      </w:r>
      <w:r w:rsidRPr="00E138EE">
        <w:rPr>
          <w:vertAlign w:val="superscript"/>
        </w:rPr>
        <w:instrText xml:space="preserve"> NOTEREF _Ref154898658 \h </w:instrText>
      </w:r>
      <w:r>
        <w:rPr>
          <w:vertAlign w:val="superscript"/>
        </w:rPr>
        <w:instrText xml:space="preserve"> \* MERGEFORMAT </w:instrText>
      </w:r>
      <w:r w:rsidRPr="00E138EE">
        <w:rPr>
          <w:vertAlign w:val="superscript"/>
        </w:rPr>
      </w:r>
      <w:r w:rsidRPr="00E138EE">
        <w:rPr>
          <w:vertAlign w:val="superscript"/>
        </w:rPr>
        <w:fldChar w:fldCharType="separate"/>
      </w:r>
      <w:r w:rsidR="00F43608">
        <w:rPr>
          <w:vertAlign w:val="superscript"/>
        </w:rPr>
        <w:t>4</w:t>
      </w:r>
      <w:r w:rsidRPr="00E138EE">
        <w:rPr>
          <w:vertAlign w:val="superscript"/>
        </w:rPr>
        <w:fldChar w:fldCharType="end"/>
      </w:r>
      <w:r>
        <w:t xml:space="preserve"> des </w:t>
      </w:r>
      <w:r w:rsidR="005F5895">
        <w:t>Art. </w:t>
      </w:r>
      <w:r>
        <w:t xml:space="preserve">9 </w:t>
      </w:r>
      <w:r w:rsidR="005F5895">
        <w:t>Abs. </w:t>
      </w:r>
      <w:r>
        <w:t xml:space="preserve">1 DS-GVO ebenfalls eine Verarbeitung sensibler Daten darstellt) werden hierdurch wohl eher nicht legalisiert werden können; ein Vertrag zwischen Verantwortlichen, der kein Angehöriger eines Gesundheitsberufes ist, und betroffenen Personen kann </w:t>
      </w:r>
      <w:r w:rsidR="005F5895">
        <w:t>Art. </w:t>
      </w:r>
      <w:r>
        <w:t xml:space="preserve">6 </w:t>
      </w:r>
      <w:r w:rsidR="005F5895">
        <w:t>Abs. </w:t>
      </w:r>
      <w:r>
        <w:t xml:space="preserve">1 </w:t>
      </w:r>
      <w:r w:rsidR="005F5895">
        <w:t>lit. </w:t>
      </w:r>
      <w:r>
        <w:t xml:space="preserve">b DS-GVO genügen, jedoch nicht die Verarbeitung von Daten legitimieren, welche zu den in </w:t>
      </w:r>
      <w:r w:rsidR="005F5895">
        <w:t>Art. </w:t>
      </w:r>
      <w:r>
        <w:t xml:space="preserve">9 </w:t>
      </w:r>
      <w:r w:rsidR="005F5895">
        <w:t>Abs. </w:t>
      </w:r>
      <w:r>
        <w:t xml:space="preserve">1 DS-GVO genannten Kategorien zählen. I. d. R. wird hier nur eine Einwilligung nach </w:t>
      </w:r>
      <w:r w:rsidR="005F5895">
        <w:t>Art. </w:t>
      </w:r>
      <w:r>
        <w:t xml:space="preserve">9 </w:t>
      </w:r>
      <w:r w:rsidR="005F5895">
        <w:t>Abs. </w:t>
      </w:r>
      <w:r>
        <w:t xml:space="preserve">2 </w:t>
      </w:r>
      <w:r w:rsidR="005F5895">
        <w:t>lit. </w:t>
      </w:r>
      <w:r>
        <w:t>a DS-GVO die Verarbeitung legalisieren können.</w:t>
      </w:r>
      <w:r>
        <w:rPr>
          <w:rStyle w:val="Funotenzeichen"/>
        </w:rPr>
        <w:footnoteReference w:id="26"/>
      </w:r>
      <w:r>
        <w:t xml:space="preserve"> Richtigerweise wird daher auch für d</w:t>
      </w:r>
      <w:r w:rsidRPr="00E138EE">
        <w:t>igitale Pflegeanwendungen</w:t>
      </w:r>
      <w:r>
        <w:t xml:space="preserve"> nach </w:t>
      </w:r>
      <w:r w:rsidR="005F5895">
        <w:t>§ </w:t>
      </w:r>
      <w:r>
        <w:t>40a SGB XI (</w:t>
      </w:r>
      <w:r w:rsidRPr="00B21FDE">
        <w:t>DiPA</w:t>
      </w:r>
      <w:r>
        <w:t xml:space="preserve">) und </w:t>
      </w:r>
      <w:r w:rsidRPr="00E138EE">
        <w:t>digitale Gesundheitsanwendung</w:t>
      </w:r>
      <w:r>
        <w:t xml:space="preserve">en gemäß </w:t>
      </w:r>
      <w:r w:rsidR="005F5895">
        <w:t>§ </w:t>
      </w:r>
      <w:r>
        <w:t>33a SGB V (DiGA) in den jeweiligen Verordnungen nur eine Einwilligung als Rechtsgrundlage akzeptiert.</w:t>
      </w:r>
      <w:r>
        <w:rPr>
          <w:rStyle w:val="Funotenzeichen"/>
        </w:rPr>
        <w:footnoteReference w:id="27"/>
      </w:r>
    </w:p>
    <w:p w14:paraId="0BB3D0D9" w14:textId="128616E0" w:rsidR="00687085" w:rsidRDefault="00687085" w:rsidP="00687085">
      <w:r>
        <w:t xml:space="preserve">Je nach Anwendung des </w:t>
      </w:r>
      <w:r w:rsidR="005F5895">
        <w:t>Art. </w:t>
      </w:r>
      <w:r>
        <w:t xml:space="preserve">9 </w:t>
      </w:r>
      <w:r w:rsidR="005F5895">
        <w:t>Abs. </w:t>
      </w:r>
      <w:r>
        <w:t xml:space="preserve">2 </w:t>
      </w:r>
      <w:r w:rsidR="005F5895">
        <w:t>lit. </w:t>
      </w:r>
      <w:r>
        <w:t xml:space="preserve">h DS-GVO finden sich verschiedene Regelungen in </w:t>
      </w:r>
      <w:r w:rsidR="005F5895">
        <w:t>Art. </w:t>
      </w:r>
      <w:r>
        <w:t xml:space="preserve">6 </w:t>
      </w:r>
      <w:r w:rsidR="005F5895">
        <w:t>Abs. </w:t>
      </w:r>
      <w:r>
        <w:t xml:space="preserve">1 DS-GVO. Basiert die Verarbeitung auf der Grundlage eines Vertrages mit einem </w:t>
      </w:r>
      <w:r w:rsidRPr="00175F60">
        <w:t>Angehörigen eines Gesundheitsberuf</w:t>
      </w:r>
      <w:r>
        <w:t xml:space="preserve">s, so wird </w:t>
      </w:r>
      <w:r w:rsidR="005F5895">
        <w:t>Art. </w:t>
      </w:r>
      <w:r>
        <w:t xml:space="preserve">6 </w:t>
      </w:r>
      <w:r w:rsidR="005F5895">
        <w:t>Abs. </w:t>
      </w:r>
      <w:r>
        <w:t xml:space="preserve">1 </w:t>
      </w:r>
      <w:r w:rsidR="005F5895">
        <w:t>lit. </w:t>
      </w:r>
      <w:r>
        <w:t>b DS-GVO (Erfüllung vertraglicher Pflichten) ebenfalls erfüllt sein.</w:t>
      </w:r>
    </w:p>
    <w:p w14:paraId="0C5FC610" w14:textId="4EA1BF75" w:rsidR="00687085" w:rsidRDefault="00687085" w:rsidP="00687085">
      <w:r>
        <w:t xml:space="preserve">Erfolgt die Verarbeitung hingegen aufgrund einer der diversen gesetzlichen Regelungen in Deutschland, so wird wohl eher </w:t>
      </w:r>
      <w:r w:rsidR="005F5895">
        <w:t>Art. </w:t>
      </w:r>
      <w:r>
        <w:t xml:space="preserve">6 </w:t>
      </w:r>
      <w:r w:rsidR="005F5895">
        <w:t>Abs. </w:t>
      </w:r>
      <w:r>
        <w:t xml:space="preserve">1 </w:t>
      </w:r>
      <w:r w:rsidR="005F5895">
        <w:t>lit. </w:t>
      </w:r>
      <w:r>
        <w:t>c DS-GVO (</w:t>
      </w:r>
      <w:r w:rsidRPr="00D52A0B">
        <w:t>Erfüllung einer rechtlichen Verpflichtung erforderlich, der der Verantwortliche unterliegt</w:t>
      </w:r>
      <w:r>
        <w:t>) zutreffen.</w:t>
      </w:r>
    </w:p>
    <w:p w14:paraId="513E1440" w14:textId="22D38E90" w:rsidR="00687085" w:rsidRDefault="005F5895" w:rsidP="00687085">
      <w:pPr>
        <w:pStyle w:val="berschrift2"/>
      </w:pPr>
      <w:bookmarkStart w:id="115" w:name="_Ref156196154"/>
      <w:bookmarkStart w:id="116" w:name="_Toc156289867"/>
      <w:bookmarkStart w:id="117" w:name="_Toc169934804"/>
      <w:r>
        <w:t>Art. </w:t>
      </w:r>
      <w:r w:rsidR="00687085">
        <w:t xml:space="preserve">9 </w:t>
      </w:r>
      <w:r>
        <w:t>Abs. </w:t>
      </w:r>
      <w:r w:rsidR="00687085">
        <w:t xml:space="preserve">2 </w:t>
      </w:r>
      <w:r>
        <w:t>lit. </w:t>
      </w:r>
      <w:r w:rsidR="00687085">
        <w:t>i DS-GVO</w:t>
      </w:r>
      <w:bookmarkEnd w:id="115"/>
      <w:bookmarkEnd w:id="116"/>
      <w:bookmarkEnd w:id="117"/>
    </w:p>
    <w:p w14:paraId="559BBD2E" w14:textId="283004FE" w:rsidR="00687085" w:rsidRDefault="005F5895" w:rsidP="00687085">
      <w:pPr>
        <w:spacing w:after="0"/>
      </w:pPr>
      <w:r>
        <w:t>Art. </w:t>
      </w:r>
      <w:r w:rsidR="00687085">
        <w:t xml:space="preserve">9 </w:t>
      </w:r>
      <w:r>
        <w:t>Abs. </w:t>
      </w:r>
      <w:r w:rsidR="00687085">
        <w:t xml:space="preserve">2 </w:t>
      </w:r>
      <w:r>
        <w:t>lit. </w:t>
      </w:r>
      <w:r w:rsidR="00687085">
        <w:t>i DS-GVO erlaubt die Verarbeitung, wenn diese</w:t>
      </w:r>
      <w:r w:rsidR="00687085" w:rsidRPr="00CE74CF">
        <w:t xml:space="preserve"> aus Gründen des öffentlichen Interesses im Bereich der öffentlichen Gesundheit</w:t>
      </w:r>
      <w:r w:rsidR="00687085">
        <w:t xml:space="preserve"> erforderlich ist. Beispielhaft wird angegeben:</w:t>
      </w:r>
    </w:p>
    <w:p w14:paraId="52B5770F" w14:textId="77777777" w:rsidR="00687085" w:rsidRDefault="00687085" w:rsidP="00687085">
      <w:pPr>
        <w:pStyle w:val="Listenabsatz"/>
        <w:numPr>
          <w:ilvl w:val="0"/>
          <w:numId w:val="18"/>
        </w:numPr>
        <w:suppressAutoHyphens w:val="0"/>
        <w:spacing w:after="160" w:line="259" w:lineRule="auto"/>
      </w:pPr>
      <w:r w:rsidRPr="00CE74CF">
        <w:t>Schutz vor schwerwiegenden grenzüberschreitenden Gesundheitsgefahren oder</w:t>
      </w:r>
    </w:p>
    <w:p w14:paraId="16A56320" w14:textId="77777777" w:rsidR="00687085" w:rsidRDefault="00687085" w:rsidP="00687085">
      <w:pPr>
        <w:pStyle w:val="Listenabsatz"/>
        <w:numPr>
          <w:ilvl w:val="0"/>
          <w:numId w:val="18"/>
        </w:numPr>
        <w:suppressAutoHyphens w:val="0"/>
        <w:spacing w:after="160" w:line="259" w:lineRule="auto"/>
      </w:pPr>
      <w:r w:rsidRPr="00CE74CF">
        <w:t>Gewährleistung hoher Qualitäts- und Sicherheitsstandards bei der Gesundheitsversorgung und bei Arzneimitteln und Medizinprodukten</w:t>
      </w:r>
      <w:r>
        <w:t>.</w:t>
      </w:r>
    </w:p>
    <w:p w14:paraId="61D892F2" w14:textId="036444B8" w:rsidR="00687085" w:rsidRDefault="00687085" w:rsidP="00687085">
      <w:r>
        <w:t xml:space="preserve">Weiterhin muss entweder das Unionsrecht oder das deutsche Recht die Verarbeitung erlauben. Dieses Recht muss </w:t>
      </w:r>
      <w:r w:rsidRPr="00CE74CF">
        <w:t xml:space="preserve">angemessene und spezifische Maßnahmen zur Wahrung der Rechte und Freiheiten der betroffenen Person, insbesondere des Berufsgeheimnisses, </w:t>
      </w:r>
      <w:r>
        <w:t xml:space="preserve">vorsehen, ansonsten genügt das Recht nicht den Anforderungen von </w:t>
      </w:r>
      <w:r w:rsidR="005F5895">
        <w:t>Art. </w:t>
      </w:r>
      <w:r>
        <w:t xml:space="preserve">9 </w:t>
      </w:r>
      <w:r w:rsidR="005F5895">
        <w:t>Abs. </w:t>
      </w:r>
      <w:r>
        <w:t xml:space="preserve">2 </w:t>
      </w:r>
      <w:r w:rsidR="005F5895">
        <w:t>lit. </w:t>
      </w:r>
      <w:r>
        <w:t>i DS-GVO.</w:t>
      </w:r>
    </w:p>
    <w:p w14:paraId="4C8A4354" w14:textId="1DE445D7" w:rsidR="00687085" w:rsidRDefault="00687085" w:rsidP="00687085">
      <w:r>
        <w:t xml:space="preserve">In diesen Fällen wird bei Vorliegen eines Erlaubnistatbestandes nach </w:t>
      </w:r>
      <w:r w:rsidR="005F5895">
        <w:t>Art. </w:t>
      </w:r>
      <w:r>
        <w:t xml:space="preserve">9 </w:t>
      </w:r>
      <w:r w:rsidR="005F5895">
        <w:t>Abs. </w:t>
      </w:r>
      <w:r>
        <w:t xml:space="preserve">2 </w:t>
      </w:r>
      <w:r w:rsidR="005F5895">
        <w:t>lit. </w:t>
      </w:r>
      <w:r>
        <w:t xml:space="preserve">i DS-GVO häufig auch den Anforderungen von </w:t>
      </w:r>
      <w:r w:rsidR="005F5895">
        <w:t>Art. </w:t>
      </w:r>
      <w:r>
        <w:t xml:space="preserve">6 </w:t>
      </w:r>
      <w:r w:rsidR="005F5895">
        <w:t>Abs. </w:t>
      </w:r>
      <w:r>
        <w:t xml:space="preserve">1 </w:t>
      </w:r>
      <w:r w:rsidR="005F5895">
        <w:t>lit. </w:t>
      </w:r>
      <w:r>
        <w:t>e DS-GVO (</w:t>
      </w:r>
      <w:r w:rsidRPr="00175F60">
        <w:t>Wahrnehmung einer im öffentlichen Interesse lieg</w:t>
      </w:r>
      <w:r>
        <w:t>enden</w:t>
      </w:r>
      <w:r w:rsidRPr="00175F60">
        <w:t xml:space="preserve"> Aufgabe</w:t>
      </w:r>
      <w:r>
        <w:t>) genügt werden.</w:t>
      </w:r>
    </w:p>
    <w:p w14:paraId="6F45B931" w14:textId="7912EEB3" w:rsidR="00687085" w:rsidRDefault="00687085" w:rsidP="00687085">
      <w:r>
        <w:t xml:space="preserve">Hierbei ist jedoch zu beachten, dass </w:t>
      </w:r>
      <w:r w:rsidR="005F5895">
        <w:t>Art. </w:t>
      </w:r>
      <w:r>
        <w:t xml:space="preserve">6 </w:t>
      </w:r>
      <w:r w:rsidR="005F5895">
        <w:t>Abs. </w:t>
      </w:r>
      <w:r>
        <w:t xml:space="preserve">3 </w:t>
      </w:r>
      <w:r w:rsidR="00D71A87">
        <w:t xml:space="preserve">DS-GVO </w:t>
      </w:r>
      <w:r>
        <w:t xml:space="preserve">neben der Grundlage einer nationalen oder unionsrechtlichen </w:t>
      </w:r>
      <w:r w:rsidR="00E616DE">
        <w:t xml:space="preserve">Rechtsgrundlage (siehe auch Kap. </w:t>
      </w:r>
      <w:r w:rsidR="00E616DE">
        <w:fldChar w:fldCharType="begin"/>
      </w:r>
      <w:r w:rsidR="00E616DE">
        <w:instrText xml:space="preserve"> REF _Ref166308542 \r \h </w:instrText>
      </w:r>
      <w:r w:rsidR="00E616DE">
        <w:fldChar w:fldCharType="separate"/>
      </w:r>
      <w:r w:rsidR="00F43608">
        <w:t>6</w:t>
      </w:r>
      <w:r w:rsidR="00E616DE">
        <w:fldChar w:fldCharType="end"/>
      </w:r>
      <w:r w:rsidR="00E616DE">
        <w:t xml:space="preserve"> sowie die dortigen Unterkapitel) </w:t>
      </w:r>
      <w:r>
        <w:t>verlangt, dass die Verarbeitung der personenbezogenen Daten erforderlich zur Erfüllung ist. D. h., ohne diese Verarbeitung kann die im öffentlichen Interesse liegende oder in Ausübung öffentlicher Gewalt erfolgende Aufgabe nicht erfüllt werden.</w:t>
      </w:r>
    </w:p>
    <w:p w14:paraId="60DE782C" w14:textId="21929A02" w:rsidR="00687085" w:rsidRDefault="005F5895" w:rsidP="00687085">
      <w:pPr>
        <w:pStyle w:val="berschrift2"/>
      </w:pPr>
      <w:bookmarkStart w:id="118" w:name="_Toc156289868"/>
      <w:bookmarkStart w:id="119" w:name="_Ref163892018"/>
      <w:bookmarkStart w:id="120" w:name="_Toc169934805"/>
      <w:r>
        <w:t>Art. </w:t>
      </w:r>
      <w:r w:rsidR="00687085">
        <w:t xml:space="preserve">9 </w:t>
      </w:r>
      <w:r>
        <w:t>Abs. </w:t>
      </w:r>
      <w:r w:rsidR="00687085">
        <w:t xml:space="preserve">2 </w:t>
      </w:r>
      <w:r>
        <w:t>lit. </w:t>
      </w:r>
      <w:r w:rsidR="00687085">
        <w:t>j DS-GVO</w:t>
      </w:r>
      <w:bookmarkEnd w:id="118"/>
      <w:bookmarkEnd w:id="119"/>
      <w:bookmarkEnd w:id="120"/>
    </w:p>
    <w:p w14:paraId="51B51510" w14:textId="2D9E5C15" w:rsidR="00687085" w:rsidRDefault="005F5895" w:rsidP="00687085">
      <w:pPr>
        <w:spacing w:after="0"/>
      </w:pPr>
      <w:r>
        <w:t>Art. </w:t>
      </w:r>
      <w:r w:rsidR="00687085">
        <w:t xml:space="preserve">9 </w:t>
      </w:r>
      <w:r>
        <w:t>Abs. </w:t>
      </w:r>
      <w:r w:rsidR="00687085">
        <w:t xml:space="preserve">2 </w:t>
      </w:r>
      <w:r>
        <w:t>lit. </w:t>
      </w:r>
      <w:r w:rsidR="00687085">
        <w:t xml:space="preserve">j DS-GVO erlaubt die Verarbeitung personenbezogener Daten </w:t>
      </w:r>
      <w:r w:rsidR="00687085" w:rsidRPr="005F5895">
        <w:t>für</w:t>
      </w:r>
    </w:p>
    <w:p w14:paraId="2AF5E1ED" w14:textId="77777777" w:rsidR="00687085" w:rsidRDefault="00687085" w:rsidP="00687085">
      <w:pPr>
        <w:pStyle w:val="Listenabsatz"/>
        <w:numPr>
          <w:ilvl w:val="0"/>
          <w:numId w:val="18"/>
        </w:numPr>
        <w:suppressAutoHyphens w:val="0"/>
        <w:spacing w:after="160" w:line="259" w:lineRule="auto"/>
      </w:pPr>
      <w:r w:rsidRPr="005F5895">
        <w:t>im</w:t>
      </w:r>
      <w:r w:rsidRPr="00CE74CF">
        <w:t xml:space="preserve"> öffentlichen Interesse liegende Archivzwecke,</w:t>
      </w:r>
    </w:p>
    <w:p w14:paraId="35E91624" w14:textId="77777777" w:rsidR="00687085" w:rsidRDefault="00687085" w:rsidP="00687085">
      <w:pPr>
        <w:pStyle w:val="Listenabsatz"/>
        <w:numPr>
          <w:ilvl w:val="0"/>
          <w:numId w:val="18"/>
        </w:numPr>
        <w:suppressAutoHyphens w:val="0"/>
        <w:spacing w:after="160" w:line="259" w:lineRule="auto"/>
      </w:pPr>
      <w:r w:rsidRPr="005F5895">
        <w:t>für</w:t>
      </w:r>
      <w:r w:rsidRPr="00CE74CF">
        <w:t xml:space="preserve"> wissenschaftliche oder historische Forschungszwecke oder</w:t>
      </w:r>
    </w:p>
    <w:p w14:paraId="4A034323" w14:textId="4FB60D84" w:rsidR="00687085" w:rsidRDefault="00687085" w:rsidP="00687085">
      <w:pPr>
        <w:pStyle w:val="Listenabsatz"/>
        <w:numPr>
          <w:ilvl w:val="0"/>
          <w:numId w:val="18"/>
        </w:numPr>
        <w:suppressAutoHyphens w:val="0"/>
        <w:spacing w:after="160" w:line="259" w:lineRule="auto"/>
      </w:pPr>
      <w:r w:rsidRPr="005F5895">
        <w:t>für</w:t>
      </w:r>
      <w:r w:rsidRPr="00CE74CF">
        <w:t xml:space="preserve"> statistische Zwecke gemäß </w:t>
      </w:r>
      <w:r w:rsidR="005F5895">
        <w:t>Art. </w:t>
      </w:r>
      <w:r w:rsidRPr="00CE74CF">
        <w:t xml:space="preserve">89 </w:t>
      </w:r>
      <w:r w:rsidR="005F5895">
        <w:t>Abs. </w:t>
      </w:r>
      <w:r w:rsidRPr="00CE74CF">
        <w:t>1</w:t>
      </w:r>
      <w:r>
        <w:t xml:space="preserve"> DS-GVO.</w:t>
      </w:r>
    </w:p>
    <w:p w14:paraId="7A336A4E" w14:textId="77777777" w:rsidR="00687085" w:rsidRDefault="00687085" w:rsidP="00687085">
      <w:pPr>
        <w:spacing w:after="0"/>
      </w:pPr>
      <w:r>
        <w:t xml:space="preserve">Damit dieser Erlaubnistatbestand angewendet werden kann, muss entweder das Unionsrecht oder das deutsche Recht die jeweilige Verarbeitung erlauben, wobei dieses </w:t>
      </w:r>
      <w:r w:rsidRPr="005F5895">
        <w:t>Recht</w:t>
      </w:r>
    </w:p>
    <w:p w14:paraId="21823550" w14:textId="77777777" w:rsidR="00687085" w:rsidRDefault="00687085" w:rsidP="00687085">
      <w:pPr>
        <w:pStyle w:val="Listenabsatz"/>
        <w:numPr>
          <w:ilvl w:val="0"/>
          <w:numId w:val="19"/>
        </w:numPr>
        <w:suppressAutoHyphens w:val="0"/>
        <w:spacing w:after="160" w:line="259" w:lineRule="auto"/>
      </w:pPr>
      <w:r w:rsidRPr="005F5895">
        <w:t>in</w:t>
      </w:r>
      <w:r w:rsidRPr="00CE74CF">
        <w:t xml:space="preserve"> angemessenem Verhältnis zu dem verfolgten Ziel steh</w:t>
      </w:r>
      <w:r>
        <w:t>en</w:t>
      </w:r>
      <w:r w:rsidRPr="00CE74CF">
        <w:t>,</w:t>
      </w:r>
    </w:p>
    <w:p w14:paraId="1B440506" w14:textId="77777777" w:rsidR="00687085" w:rsidRDefault="00687085" w:rsidP="00687085">
      <w:pPr>
        <w:pStyle w:val="Listenabsatz"/>
        <w:numPr>
          <w:ilvl w:val="0"/>
          <w:numId w:val="19"/>
        </w:numPr>
        <w:suppressAutoHyphens w:val="0"/>
        <w:spacing w:after="160" w:line="259" w:lineRule="auto"/>
      </w:pPr>
      <w:r w:rsidRPr="005F5895">
        <w:t>den</w:t>
      </w:r>
      <w:r w:rsidRPr="00CE74CF">
        <w:t xml:space="preserve"> Wesensgehalt des Rechts auf Datenschutz wahr</w:t>
      </w:r>
      <w:r>
        <w:t>en</w:t>
      </w:r>
      <w:r w:rsidRPr="00CE74CF">
        <w:t xml:space="preserve"> </w:t>
      </w:r>
      <w:r w:rsidRPr="005F5895">
        <w:t>und</w:t>
      </w:r>
    </w:p>
    <w:p w14:paraId="1B816B2F" w14:textId="77777777" w:rsidR="00687085" w:rsidRDefault="00687085" w:rsidP="00687085">
      <w:pPr>
        <w:pStyle w:val="Listenabsatz"/>
        <w:numPr>
          <w:ilvl w:val="0"/>
          <w:numId w:val="19"/>
        </w:numPr>
        <w:suppressAutoHyphens w:val="0"/>
        <w:spacing w:after="160" w:line="259" w:lineRule="auto"/>
      </w:pPr>
      <w:r w:rsidRPr="005F5895">
        <w:t>angemessene</w:t>
      </w:r>
      <w:r w:rsidRPr="00CE74CF">
        <w:t xml:space="preserve"> und spezifische Maßnahmen zur Wahrung der Grundrechte und Interessen der betroffenen Person</w:t>
      </w:r>
    </w:p>
    <w:p w14:paraId="4EF99FCC" w14:textId="77777777" w:rsidR="00687085" w:rsidRDefault="00687085" w:rsidP="00687085">
      <w:pPr>
        <w:pStyle w:val="Listenabsatz"/>
        <w:ind w:left="360"/>
      </w:pPr>
      <w:r w:rsidRPr="005F5895">
        <w:t>vorsehen</w:t>
      </w:r>
      <w:r>
        <w:t xml:space="preserve"> muss.</w:t>
      </w:r>
    </w:p>
    <w:p w14:paraId="59743803" w14:textId="7CF693AA" w:rsidR="00687085" w:rsidRDefault="00687085" w:rsidP="00687085">
      <w:r>
        <w:t xml:space="preserve">Die Verarbeitung </w:t>
      </w:r>
      <w:r w:rsidRPr="00CD1BC8">
        <w:t>für im öffentlichen Interesse</w:t>
      </w:r>
      <w:r w:rsidRPr="00CE74CF">
        <w:t xml:space="preserve"> liegende Archivzwecke</w:t>
      </w:r>
      <w:r>
        <w:t xml:space="preserve"> findet in </w:t>
      </w:r>
      <w:r w:rsidR="005F5895">
        <w:t>Art. </w:t>
      </w:r>
      <w:r>
        <w:t xml:space="preserve">6 </w:t>
      </w:r>
      <w:r w:rsidR="005F5895">
        <w:t>Abs. </w:t>
      </w:r>
      <w:r>
        <w:t xml:space="preserve">1 </w:t>
      </w:r>
      <w:r w:rsidR="005F5895">
        <w:t>lit. </w:t>
      </w:r>
      <w:r>
        <w:t>e DS-GVO (</w:t>
      </w:r>
      <w:r w:rsidRPr="00175F60">
        <w:t>Wahrnehmung einer im öffentlichen Interesse lieg</w:t>
      </w:r>
      <w:r>
        <w:t>enden</w:t>
      </w:r>
      <w:r w:rsidRPr="00175F60">
        <w:t xml:space="preserve"> Aufgabe</w:t>
      </w:r>
      <w:r>
        <w:t>)</w:t>
      </w:r>
      <w:r w:rsidR="00624CC8">
        <w:t xml:space="preserve"> einen entsprechenden Erlaubnistatbestand</w:t>
      </w:r>
      <w:r>
        <w:t xml:space="preserve">; siehe hierzu auch die </w:t>
      </w:r>
      <w:r w:rsidR="00624CC8">
        <w:t>Hinweise</w:t>
      </w:r>
      <w:r>
        <w:t xml:space="preserve"> im Kapitel </w:t>
      </w:r>
      <w:r>
        <w:fldChar w:fldCharType="begin"/>
      </w:r>
      <w:r>
        <w:instrText xml:space="preserve"> REF _Ref156196154 \r \h </w:instrText>
      </w:r>
      <w:r>
        <w:fldChar w:fldCharType="separate"/>
      </w:r>
      <w:r w:rsidR="00F43608">
        <w:t>5.9</w:t>
      </w:r>
      <w:r>
        <w:fldChar w:fldCharType="end"/>
      </w:r>
      <w:r>
        <w:t>.</w:t>
      </w:r>
    </w:p>
    <w:p w14:paraId="5A95C24D" w14:textId="0E5EB690" w:rsidR="00687085" w:rsidRDefault="00687085" w:rsidP="00687085">
      <w:r>
        <w:t xml:space="preserve">Dies kann, muss aber nicht, auch für </w:t>
      </w:r>
      <w:r w:rsidRPr="00CE74CF">
        <w:t>wissenschaftliche oder historische Forschungszwecke</w:t>
      </w:r>
      <w:r>
        <w:t xml:space="preserve"> sowie </w:t>
      </w:r>
      <w:r w:rsidRPr="00CE74CF">
        <w:t xml:space="preserve">statistische Zwecke </w:t>
      </w:r>
      <w:r>
        <w:t xml:space="preserve">gelten, je nachdem, ob die Forschung/Statistik im öffentlichen Interesse liegt oder nicht; der Verantwortliche muss nachweisen (können), dass </w:t>
      </w:r>
      <w:r w:rsidR="00562420">
        <w:t xml:space="preserve">ein </w:t>
      </w:r>
      <w:r>
        <w:t>öffentliche</w:t>
      </w:r>
      <w:r w:rsidR="00562420">
        <w:t>s</w:t>
      </w:r>
      <w:r>
        <w:t xml:space="preserve"> Interesse an der Forschung/Statistik </w:t>
      </w:r>
      <w:r w:rsidR="00624CC8">
        <w:t>besteht</w:t>
      </w:r>
      <w:r>
        <w:t>. Was regelhaft nicht allein durch das Vorhandensein von öffentlichen (Förder-)Gelder erreicht werden kann; diese können wohl einen Hinweis auf öffentliches Interesse geben, aber nicht allein als Nachweis dienen.</w:t>
      </w:r>
    </w:p>
    <w:p w14:paraId="3E4BDD70" w14:textId="35D2E749" w:rsidR="00687085" w:rsidRDefault="00687085" w:rsidP="00687085">
      <w:r>
        <w:t xml:space="preserve">Liegen die </w:t>
      </w:r>
      <w:r w:rsidRPr="00CE74CF">
        <w:t>wissenschaftliche</w:t>
      </w:r>
      <w:r>
        <w:t>n</w:t>
      </w:r>
      <w:r w:rsidRPr="00CE74CF">
        <w:t xml:space="preserve"> oder historische</w:t>
      </w:r>
      <w:r>
        <w:t>n</w:t>
      </w:r>
      <w:r w:rsidRPr="00CE74CF">
        <w:t xml:space="preserve"> Forschungszwecke</w:t>
      </w:r>
      <w:r>
        <w:t xml:space="preserve"> bzw. die </w:t>
      </w:r>
      <w:r w:rsidRPr="00CE74CF">
        <w:t>statistische</w:t>
      </w:r>
      <w:r>
        <w:t>n</w:t>
      </w:r>
      <w:r w:rsidRPr="00CE74CF">
        <w:t xml:space="preserve"> Zwecke </w:t>
      </w:r>
      <w:r>
        <w:t xml:space="preserve">nicht im (nachweisbaren) öffentlichen Interesse, wird in diesen Fällen i. d. R. eine </w:t>
      </w:r>
      <w:r w:rsidR="00303763">
        <w:t xml:space="preserve">Interessenabwägung </w:t>
      </w:r>
      <w:r>
        <w:t xml:space="preserve">entsprechend </w:t>
      </w:r>
      <w:r w:rsidR="005F5895">
        <w:t>Art. </w:t>
      </w:r>
      <w:r>
        <w:t xml:space="preserve">6 </w:t>
      </w:r>
      <w:r w:rsidR="005F5895">
        <w:t>Abs. </w:t>
      </w:r>
      <w:r>
        <w:t xml:space="preserve">1 </w:t>
      </w:r>
      <w:r w:rsidR="005F5895">
        <w:t>lit. </w:t>
      </w:r>
      <w:r>
        <w:t>f DS-GVO erforderlich sein.</w:t>
      </w:r>
    </w:p>
    <w:p w14:paraId="5DA31201" w14:textId="77777777" w:rsidR="00687085" w:rsidRPr="00687085" w:rsidRDefault="00687085" w:rsidP="00687085"/>
    <w:p w14:paraId="2D1A0751" w14:textId="30C4B49C" w:rsidR="00687085" w:rsidRDefault="00687085">
      <w:pPr>
        <w:spacing w:after="0" w:line="240" w:lineRule="auto"/>
        <w:jc w:val="left"/>
      </w:pPr>
      <w:r>
        <w:br w:type="page"/>
      </w:r>
    </w:p>
    <w:p w14:paraId="7129405E" w14:textId="560838AD" w:rsidR="00687085" w:rsidRDefault="000835B4" w:rsidP="00687085">
      <w:pPr>
        <w:pStyle w:val="berschrift1"/>
      </w:pPr>
      <w:bookmarkStart w:id="121" w:name="_Toc156289869"/>
      <w:bookmarkStart w:id="122" w:name="_Ref166308542"/>
      <w:bookmarkStart w:id="123" w:name="_Toc169934806"/>
      <w:r>
        <w:t>N</w:t>
      </w:r>
      <w:r w:rsidR="00687085">
        <w:t>ationale Erlaubnistatbestände</w:t>
      </w:r>
      <w:bookmarkEnd w:id="121"/>
      <w:r>
        <w:t>: Rahmenbedingungen</w:t>
      </w:r>
      <w:bookmarkEnd w:id="122"/>
      <w:bookmarkEnd w:id="123"/>
    </w:p>
    <w:p w14:paraId="2D74E03C" w14:textId="61CD67DF" w:rsidR="000835B4" w:rsidRDefault="000835B4" w:rsidP="000835B4">
      <w:pPr>
        <w:pStyle w:val="berschrift2"/>
      </w:pPr>
      <w:bookmarkStart w:id="124" w:name="_Toc169934807"/>
      <w:r>
        <w:t>Nationale Gesetzgebung muss EU Grundrechtecharta beachten</w:t>
      </w:r>
      <w:bookmarkEnd w:id="124"/>
    </w:p>
    <w:p w14:paraId="57C9B072" w14:textId="01004930" w:rsidR="00687085" w:rsidRDefault="00687085" w:rsidP="00687085">
      <w:pPr>
        <w:spacing w:after="0"/>
      </w:pPr>
      <w:r>
        <w:t xml:space="preserve">Weiterhin ist zu beachten, dass </w:t>
      </w:r>
      <w:r w:rsidR="005F5895">
        <w:t>Art. </w:t>
      </w:r>
      <w:r w:rsidRPr="00B03E10">
        <w:t>7 und 8 der Charta der Grundrechte der Europäischen Union</w:t>
      </w:r>
      <w:r>
        <w:t xml:space="preserve"> nur eingeschränkt werden können, wenn entsprechende Einschränkungen</w:t>
      </w:r>
      <w:r w:rsidRPr="00B03E10">
        <w:t xml:space="preserve"> gemäß </w:t>
      </w:r>
      <w:r w:rsidR="005F5895">
        <w:t>Art. </w:t>
      </w:r>
      <w:r w:rsidRPr="00B03E10">
        <w:t xml:space="preserve">52 </w:t>
      </w:r>
      <w:r w:rsidR="005F5895">
        <w:t>Abs. </w:t>
      </w:r>
      <w:r w:rsidRPr="00B03E10">
        <w:t>1 der Charta gesetzlich vorgesehen sind und den Wesensgehalt der Grundrechte sowie den Grundsatz der Verhältnismäßigkeit wahren</w:t>
      </w:r>
      <w:bookmarkStart w:id="125" w:name="_Ref154375198"/>
      <w:r w:rsidR="00640CEA">
        <w:t>.</w:t>
      </w:r>
      <w:r>
        <w:rPr>
          <w:rStyle w:val="Funotenzeichen"/>
        </w:rPr>
        <w:footnoteReference w:id="28"/>
      </w:r>
      <w:bookmarkEnd w:id="125"/>
      <w:r>
        <w:t xml:space="preserve"> Nach Rechtsprechung des </w:t>
      </w:r>
      <w:r w:rsidRPr="005F5895">
        <w:t>EuGH</w:t>
      </w:r>
      <w:r w:rsidRPr="005F5895">
        <w:rPr>
          <w:vertAlign w:val="superscript"/>
        </w:rPr>
        <w:fldChar w:fldCharType="begin"/>
      </w:r>
      <w:r w:rsidRPr="005F5895">
        <w:rPr>
          <w:vertAlign w:val="superscript"/>
        </w:rPr>
        <w:instrText xml:space="preserve"> NOTEREF _Ref154375198 \h  \* MERGEFORMAT </w:instrText>
      </w:r>
      <w:r w:rsidRPr="005F5895">
        <w:rPr>
          <w:vertAlign w:val="superscript"/>
        </w:rPr>
      </w:r>
      <w:r w:rsidRPr="005F5895">
        <w:rPr>
          <w:vertAlign w:val="superscript"/>
        </w:rPr>
        <w:fldChar w:fldCharType="separate"/>
      </w:r>
      <w:r w:rsidR="00F43608">
        <w:rPr>
          <w:vertAlign w:val="superscript"/>
        </w:rPr>
        <w:t>28</w:t>
      </w:r>
      <w:r w:rsidRPr="005F5895">
        <w:rPr>
          <w:vertAlign w:val="superscript"/>
        </w:rPr>
        <w:fldChar w:fldCharType="end"/>
      </w:r>
      <w:r>
        <w:t xml:space="preserve"> </w:t>
      </w:r>
      <w:r w:rsidRPr="00B03E10">
        <w:t xml:space="preserve">dürfen Einschränkungen nur vorgenommen werden, </w:t>
      </w:r>
      <w:r w:rsidRPr="005F5895">
        <w:t>wenn</w:t>
      </w:r>
    </w:p>
    <w:p w14:paraId="6F82E77E" w14:textId="77777777" w:rsidR="00687085" w:rsidRDefault="00687085" w:rsidP="00687085">
      <w:pPr>
        <w:pStyle w:val="Listenabsatz"/>
        <w:numPr>
          <w:ilvl w:val="0"/>
          <w:numId w:val="21"/>
        </w:numPr>
        <w:suppressAutoHyphens w:val="0"/>
        <w:spacing w:after="160" w:line="259" w:lineRule="auto"/>
      </w:pPr>
      <w:r w:rsidRPr="005F5895">
        <w:t>sie</w:t>
      </w:r>
      <w:r w:rsidRPr="00B03E10">
        <w:t xml:space="preserve"> erforderlich sind </w:t>
      </w:r>
      <w:r w:rsidRPr="005F5895">
        <w:t>und</w:t>
      </w:r>
    </w:p>
    <w:p w14:paraId="0BF7C410" w14:textId="77777777" w:rsidR="00687085" w:rsidRDefault="00687085" w:rsidP="00687085">
      <w:pPr>
        <w:pStyle w:val="Listenabsatz"/>
        <w:numPr>
          <w:ilvl w:val="0"/>
          <w:numId w:val="21"/>
        </w:numPr>
        <w:suppressAutoHyphens w:val="0"/>
        <w:spacing w:after="0" w:line="259" w:lineRule="auto"/>
        <w:ind w:left="714" w:hanging="357"/>
      </w:pPr>
      <w:r w:rsidRPr="005F5895">
        <w:t>den</w:t>
      </w:r>
      <w:r w:rsidRPr="00B03E10">
        <w:t xml:space="preserve"> von der Union anerkannten dem Gemeinwohl dienenden Zielsetzungen oder den Erfordernissen des Schutzes der Rechte und Freiheiten anderer tatsächlich entsprechen.</w:t>
      </w:r>
    </w:p>
    <w:p w14:paraId="3B2953E2" w14:textId="27E5309F" w:rsidR="00687085" w:rsidRDefault="00687085" w:rsidP="00687085">
      <w:r>
        <w:t xml:space="preserve">Basierend auf diesen Vorgaben erlassene Einschränkungen </w:t>
      </w:r>
      <w:r w:rsidRPr="00B03E10">
        <w:t>müssen sich auf das absolut Notwendige beschränken</w:t>
      </w:r>
      <w:r w:rsidR="00EB2DFF">
        <w:t>.</w:t>
      </w:r>
      <w:r w:rsidRPr="00B03E10">
        <w:t xml:space="preserve"> </w:t>
      </w:r>
      <w:r w:rsidR="00EB2DFF">
        <w:t>D</w:t>
      </w:r>
      <w:r w:rsidRPr="00B03E10">
        <w:t xml:space="preserve">ie den Eingriff enthaltende Regelung muss klare und präzise </w:t>
      </w:r>
      <w:r w:rsidR="00EB2DFF">
        <w:t>Bestimmungen</w:t>
      </w:r>
      <w:r w:rsidRPr="00B03E10">
        <w:t xml:space="preserve"> für die Tragweite und die Anwendung der betreffenden Maßnahme vorsehen</w:t>
      </w:r>
      <w:r>
        <w:t xml:space="preserve"> und</w:t>
      </w:r>
      <w:r w:rsidR="00EB2DFF">
        <w:t xml:space="preserve"> zudem</w:t>
      </w:r>
      <w:r>
        <w:t xml:space="preserve"> </w:t>
      </w:r>
      <w:r w:rsidRPr="00B03E10">
        <w:t xml:space="preserve">über ausreichende Garantien verfügen, die einen wirksamen Schutz </w:t>
      </w:r>
      <w:r w:rsidR="00EB2DFF">
        <w:t>der</w:t>
      </w:r>
      <w:r w:rsidRPr="00B03E10">
        <w:t xml:space="preserve"> personenbezogenen Daten vor Missbrauchsrisiken ermöglichen</w:t>
      </w:r>
      <w:r>
        <w:t>.</w:t>
      </w:r>
      <w:r>
        <w:rPr>
          <w:rStyle w:val="Funotenzeichen"/>
        </w:rPr>
        <w:footnoteReference w:id="29"/>
      </w:r>
    </w:p>
    <w:p w14:paraId="1F4E8255" w14:textId="77777777" w:rsidR="000835B4" w:rsidRDefault="000835B4" w:rsidP="000835B4">
      <w:pPr>
        <w:pStyle w:val="berschrift2"/>
      </w:pPr>
      <w:bookmarkStart w:id="126" w:name="_Toc169934808"/>
      <w:r>
        <w:t>Rahmenbedingungen für nationale Gesetzgebung</w:t>
      </w:r>
      <w:bookmarkEnd w:id="126"/>
    </w:p>
    <w:p w14:paraId="21EACA6D" w14:textId="5B0CAB6E" w:rsidR="000835B4" w:rsidRDefault="000835B4" w:rsidP="000835B4">
      <w:r>
        <w:t xml:space="preserve">Nationale Regelungen müssen entsprechend </w:t>
      </w:r>
      <w:r w:rsidR="005F5895">
        <w:t>Art. </w:t>
      </w:r>
      <w:r>
        <w:t xml:space="preserve">6 </w:t>
      </w:r>
      <w:r w:rsidR="005F5895">
        <w:t>Abs. </w:t>
      </w:r>
      <w:r>
        <w:t>2 DS-GVO „</w:t>
      </w:r>
      <w:r w:rsidRPr="00D62E40">
        <w:t xml:space="preserve">spezifische Anforderungen für die Verarbeitung sowie sonstige Maßnahmen präziser bestimmen, um eine rechtmäßig und nach </w:t>
      </w:r>
      <w:r w:rsidRPr="005F5895">
        <w:t>Treu</w:t>
      </w:r>
      <w:r w:rsidRPr="00D62E40">
        <w:t xml:space="preserve"> und Glauben erfolgende Verarbeitung zu gewährleisten</w:t>
      </w:r>
      <w:r>
        <w:t>“ - eine reine Wiederholung von Texten der DS-GVO entspricht nicht diesen Anforderungen.</w:t>
      </w:r>
      <w:bookmarkStart w:id="127" w:name="_Ref154378361"/>
      <w:r>
        <w:rPr>
          <w:rStyle w:val="Funotenzeichen"/>
        </w:rPr>
        <w:footnoteReference w:id="30"/>
      </w:r>
      <w:bookmarkEnd w:id="127"/>
      <w:r>
        <w:t xml:space="preserve"> Spezifischere Regelungen „</w:t>
      </w:r>
      <w:r w:rsidRPr="00D62E40">
        <w:t xml:space="preserve">müssen auf den Schutz der Rechte und Freiheiten </w:t>
      </w:r>
      <w:r>
        <w:t>[…]</w:t>
      </w:r>
      <w:r w:rsidRPr="00D62E40">
        <w:t xml:space="preserve"> hinsichtlich der Verarbeitung ihrer personenbezogenen Daten </w:t>
      </w:r>
      <w:r>
        <w:t>[…]</w:t>
      </w:r>
      <w:r w:rsidRPr="00D62E40">
        <w:t xml:space="preserve"> abzielen und geeignete und besondere Maßnahmen zur Wahrung der menschlichen Würde, der berechtigten Interessen und der Grundrechte der betroffenen Person umfassen</w:t>
      </w:r>
      <w:r>
        <w:t>“</w:t>
      </w:r>
      <w:r w:rsidRPr="00D62E40">
        <w:rPr>
          <w:vertAlign w:val="superscript"/>
        </w:rPr>
        <w:fldChar w:fldCharType="begin"/>
      </w:r>
      <w:r w:rsidRPr="00D62E40">
        <w:rPr>
          <w:vertAlign w:val="superscript"/>
        </w:rPr>
        <w:instrText xml:space="preserve"> NOTEREF _Ref154378361 \h </w:instrText>
      </w:r>
      <w:r>
        <w:rPr>
          <w:vertAlign w:val="superscript"/>
        </w:rPr>
        <w:instrText xml:space="preserve"> \* MERGEFORMAT </w:instrText>
      </w:r>
      <w:r w:rsidRPr="00D62E40">
        <w:rPr>
          <w:vertAlign w:val="superscript"/>
        </w:rPr>
      </w:r>
      <w:r w:rsidRPr="00D62E40">
        <w:rPr>
          <w:vertAlign w:val="superscript"/>
        </w:rPr>
        <w:fldChar w:fldCharType="separate"/>
      </w:r>
      <w:r w:rsidR="00F43608">
        <w:rPr>
          <w:vertAlign w:val="superscript"/>
        </w:rPr>
        <w:t>30</w:t>
      </w:r>
      <w:r w:rsidRPr="00D62E40">
        <w:rPr>
          <w:vertAlign w:val="superscript"/>
        </w:rPr>
        <w:fldChar w:fldCharType="end"/>
      </w:r>
      <w:r>
        <w:t>.</w:t>
      </w:r>
    </w:p>
    <w:p w14:paraId="2E721EDA" w14:textId="09D92805" w:rsidR="00B74DE5" w:rsidRDefault="00B74DE5" w:rsidP="00B74DE5">
      <w:r>
        <w:t xml:space="preserve">Um dem Erfordernis der Verhältnismäßigkeit zu </w:t>
      </w:r>
      <w:r w:rsidRPr="003F73B8">
        <w:t>genügen</w:t>
      </w:r>
      <w:r w:rsidR="003F73B8" w:rsidRPr="003F73B8">
        <w:t>,</w:t>
      </w:r>
      <w:r>
        <w:t xml:space="preserve"> muss die der Verarbeitung zugrunde liegende nationale Regelung klare und präzise Regeln für die Tragweite und die Anwendung der betreffenden Maßnahme vorsehen sowie Mindesterfordernisse beinhalten, sodass die Personen, deren personenbezogene Daten betroffen sind, über ausreichende Garantien verfügen, die einen wirksamen Schutz ihrer Daten vor Missbrauchsrisiken ermöglichen.</w:t>
      </w:r>
      <w:bookmarkStart w:id="128" w:name="_Ref163807371"/>
      <w:r w:rsidR="00ED6DE3">
        <w:rPr>
          <w:rStyle w:val="Funotenzeichen"/>
        </w:rPr>
        <w:footnoteReference w:id="31"/>
      </w:r>
      <w:bookmarkEnd w:id="128"/>
    </w:p>
    <w:p w14:paraId="6B166364" w14:textId="3DF42C79" w:rsidR="00B74DE5" w:rsidRDefault="00ED6DE3" w:rsidP="00B74DE5">
      <w:r>
        <w:t xml:space="preserve">Eine nationale </w:t>
      </w:r>
      <w:r w:rsidR="00B74DE5">
        <w:t xml:space="preserve">Regelung muss nach nationalem Recht </w:t>
      </w:r>
      <w:r>
        <w:t xml:space="preserve">zudem </w:t>
      </w:r>
      <w:r w:rsidR="00B74DE5">
        <w:t xml:space="preserve">bindend sein und insbesondere Angaben dazu enthalten, unter welchen Umständen und unter welchen Voraussetzungen eine Maßnahme, die die Verarbeitung </w:t>
      </w:r>
      <w:r>
        <w:t>personenbezogener</w:t>
      </w:r>
      <w:r w:rsidR="00B74DE5">
        <w:t xml:space="preserve"> Daten vorsieht, getroffen werden darf, damit gewährleistet ist, dass sich der Eingriff auf das absolut </w:t>
      </w:r>
      <w:r w:rsidR="00B74DE5" w:rsidRPr="005F5895">
        <w:t>Notwendige</w:t>
      </w:r>
      <w:r w:rsidR="00B74DE5">
        <w:t xml:space="preserve"> </w:t>
      </w:r>
      <w:r w:rsidR="00B74DE5" w:rsidRPr="005F5895">
        <w:t>beschränkt</w:t>
      </w:r>
      <w:r w:rsidRPr="005F5895">
        <w:t>.</w:t>
      </w:r>
      <w:r w:rsidRPr="005F5895">
        <w:rPr>
          <w:vertAlign w:val="superscript"/>
        </w:rPr>
        <w:fldChar w:fldCharType="begin"/>
      </w:r>
      <w:r w:rsidRPr="005F5895">
        <w:rPr>
          <w:vertAlign w:val="superscript"/>
        </w:rPr>
        <w:instrText xml:space="preserve"> NOTEREF _Ref163807371 \h  \* MERGEFORMAT </w:instrText>
      </w:r>
      <w:r w:rsidRPr="005F5895">
        <w:rPr>
          <w:vertAlign w:val="superscript"/>
        </w:rPr>
      </w:r>
      <w:r w:rsidRPr="005F5895">
        <w:rPr>
          <w:vertAlign w:val="superscript"/>
        </w:rPr>
        <w:fldChar w:fldCharType="separate"/>
      </w:r>
      <w:r w:rsidR="00F43608">
        <w:rPr>
          <w:vertAlign w:val="superscript"/>
        </w:rPr>
        <w:t>31</w:t>
      </w:r>
      <w:r w:rsidRPr="005F5895">
        <w:rPr>
          <w:vertAlign w:val="superscript"/>
        </w:rPr>
        <w:fldChar w:fldCharType="end"/>
      </w:r>
    </w:p>
    <w:p w14:paraId="4CB51AAC" w14:textId="4CA495FD" w:rsidR="00B74DE5" w:rsidRDefault="00B74DE5" w:rsidP="00B74DE5">
      <w:r>
        <w:t>Eine nationale Regelung, die ein</w:t>
      </w:r>
      <w:r w:rsidR="00ED6DE3">
        <w:t>e Offenbarungsbefugnis gegenüber Behörden</w:t>
      </w:r>
      <w:r>
        <w:t xml:space="preserve"> </w:t>
      </w:r>
      <w:r w:rsidR="00ED6DE3">
        <w:t>beinhaltet</w:t>
      </w:r>
      <w:r>
        <w:t xml:space="preserve">, muss </w:t>
      </w:r>
      <w:r w:rsidR="00D71A87">
        <w:t xml:space="preserve">sich </w:t>
      </w:r>
      <w:r>
        <w:t xml:space="preserve">bei der Festlegung der Umstände und Voraussetzungen, unter denen ein </w:t>
      </w:r>
      <w:r w:rsidR="00ED6DE3">
        <w:t xml:space="preserve">Verantwortlicher </w:t>
      </w:r>
      <w:r>
        <w:t xml:space="preserve">verpflichtet ist, personenbezogene Daten über seine </w:t>
      </w:r>
      <w:r w:rsidR="00ED6DE3">
        <w:t>Kunden/</w:t>
      </w:r>
      <w:r>
        <w:t>Nutzer</w:t>
      </w:r>
      <w:r w:rsidR="00ED6DE3">
        <w:t>/Patienten</w:t>
      </w:r>
      <w:r>
        <w:t xml:space="preserve"> zu übermitteln, auf objektive Kriterien </w:t>
      </w:r>
      <w:r w:rsidRPr="005F5895">
        <w:t>stützen.</w:t>
      </w:r>
      <w:r w:rsidR="00ED6DE3" w:rsidRPr="005F5895">
        <w:rPr>
          <w:vertAlign w:val="superscript"/>
        </w:rPr>
        <w:fldChar w:fldCharType="begin"/>
      </w:r>
      <w:r w:rsidR="00ED6DE3" w:rsidRPr="005F5895">
        <w:rPr>
          <w:vertAlign w:val="superscript"/>
        </w:rPr>
        <w:instrText xml:space="preserve"> NOTEREF _Ref163807371 \h  \* MERGEFORMAT </w:instrText>
      </w:r>
      <w:r w:rsidR="00ED6DE3" w:rsidRPr="005F5895">
        <w:rPr>
          <w:vertAlign w:val="superscript"/>
        </w:rPr>
      </w:r>
      <w:r w:rsidR="00ED6DE3" w:rsidRPr="005F5895">
        <w:rPr>
          <w:vertAlign w:val="superscript"/>
        </w:rPr>
        <w:fldChar w:fldCharType="separate"/>
      </w:r>
      <w:r w:rsidR="00F43608">
        <w:rPr>
          <w:vertAlign w:val="superscript"/>
        </w:rPr>
        <w:t>31</w:t>
      </w:r>
      <w:r w:rsidR="00ED6DE3" w:rsidRPr="005F5895">
        <w:rPr>
          <w:vertAlign w:val="superscript"/>
        </w:rPr>
        <w:fldChar w:fldCharType="end"/>
      </w:r>
    </w:p>
    <w:p w14:paraId="39820984" w14:textId="008A5538" w:rsidR="000835B4" w:rsidRDefault="000835B4" w:rsidP="000835B4">
      <w:pPr>
        <w:pStyle w:val="berschrift2"/>
      </w:pPr>
      <w:bookmarkStart w:id="129" w:name="_Toc169934809"/>
      <w:r>
        <w:t xml:space="preserve">Reichweite </w:t>
      </w:r>
      <w:r w:rsidR="00624CC8">
        <w:t xml:space="preserve">der </w:t>
      </w:r>
      <w:r>
        <w:t xml:space="preserve">Öffnungsklausel in </w:t>
      </w:r>
      <w:r w:rsidR="005F5895">
        <w:t>Art. </w:t>
      </w:r>
      <w:r>
        <w:t xml:space="preserve">9 </w:t>
      </w:r>
      <w:r w:rsidR="005F5895">
        <w:t>Abs. </w:t>
      </w:r>
      <w:r>
        <w:t>4 DS-GVO für nationale Erlaubnisnormen</w:t>
      </w:r>
      <w:bookmarkEnd w:id="129"/>
    </w:p>
    <w:p w14:paraId="4CB3D4BC" w14:textId="029B6366" w:rsidR="000835B4" w:rsidRDefault="005F5895" w:rsidP="000835B4">
      <w:r>
        <w:t>Art. </w:t>
      </w:r>
      <w:r w:rsidR="000835B4" w:rsidRPr="005717BF">
        <w:t xml:space="preserve">9 </w:t>
      </w:r>
      <w:r>
        <w:t>Abs. </w:t>
      </w:r>
      <w:r w:rsidR="000835B4" w:rsidRPr="005717BF">
        <w:t>4 DS-GVO</w:t>
      </w:r>
      <w:r w:rsidR="000835B4">
        <w:t xml:space="preserve"> gestattet M</w:t>
      </w:r>
      <w:r w:rsidR="000835B4" w:rsidRPr="005717BF">
        <w:t>itgliedstaaten zusätzliche Bedingungen, einschließlich Beschränkungen, ein</w:t>
      </w:r>
      <w:r w:rsidR="000835B4">
        <w:t>zu</w:t>
      </w:r>
      <w:r w:rsidR="000835B4" w:rsidRPr="005717BF">
        <w:t>führen oder aufrecht</w:t>
      </w:r>
      <w:r w:rsidR="000835B4">
        <w:t>zu</w:t>
      </w:r>
      <w:r w:rsidR="000835B4" w:rsidRPr="005717BF">
        <w:t>erhalten, soweit die Verarbeitung von genetischen, biometrischen oder Gesundheitsdaten betroffen ist.</w:t>
      </w:r>
      <w:r w:rsidR="000835B4">
        <w:t xml:space="preserve"> </w:t>
      </w:r>
      <w:r w:rsidR="000835B4" w:rsidRPr="008B0D52">
        <w:t>D.</w:t>
      </w:r>
      <w:r w:rsidR="008B0D52" w:rsidRPr="008B0D52">
        <w:t> </w:t>
      </w:r>
      <w:r w:rsidR="000835B4" w:rsidRPr="008B0D52">
        <w:t>h.</w:t>
      </w:r>
      <w:r w:rsidR="000835B4">
        <w:t xml:space="preserve">, Mitgliedstaaten können nicht beliebig Regelungen für alle in </w:t>
      </w:r>
      <w:r>
        <w:t>Art. </w:t>
      </w:r>
      <w:r w:rsidR="000835B4">
        <w:t xml:space="preserve">9 </w:t>
      </w:r>
      <w:r>
        <w:t>Abs. </w:t>
      </w:r>
      <w:r w:rsidR="000835B4">
        <w:t xml:space="preserve">1 DS-GVO genannten Daten erlassen, sondern sind beschränkt auf die in </w:t>
      </w:r>
      <w:r>
        <w:t>Art. </w:t>
      </w:r>
      <w:r w:rsidR="000835B4">
        <w:t xml:space="preserve">9 </w:t>
      </w:r>
      <w:r>
        <w:t>Abs. </w:t>
      </w:r>
      <w:r w:rsidR="000835B4">
        <w:t>4 DS-GVO genannten Datenkategorien.</w:t>
      </w:r>
    </w:p>
    <w:p w14:paraId="29F50A96" w14:textId="2015E850" w:rsidR="000835B4" w:rsidRDefault="000835B4" w:rsidP="000835B4">
      <w:r w:rsidRPr="002F7765">
        <w:t>Aufgrund der offenen Formulierung des Tatbestands</w:t>
      </w:r>
      <w:r w:rsidR="00640CEA" w:rsidRPr="00640CEA">
        <w:t>merkmals</w:t>
      </w:r>
      <w:r w:rsidRPr="002F7765">
        <w:t xml:space="preserve"> sind </w:t>
      </w:r>
      <w:r>
        <w:t>nach herrschender Meinung</w:t>
      </w:r>
      <w:r w:rsidRPr="002F7765">
        <w:t xml:space="preserve"> nationale </w:t>
      </w:r>
      <w:r w:rsidR="00640CEA">
        <w:t>Regelungen</w:t>
      </w:r>
      <w:r w:rsidRPr="002F7765">
        <w:t xml:space="preserve"> zulässig, </w:t>
      </w:r>
      <w:r>
        <w:t>welche</w:t>
      </w:r>
      <w:r w:rsidRPr="002F7765">
        <w:t xml:space="preserve"> die Rechtmäßigkeitsanforderungen </w:t>
      </w:r>
      <w:r w:rsidR="00640CEA">
        <w:t>verschärfen</w:t>
      </w:r>
      <w:r w:rsidRPr="002F7765">
        <w:t xml:space="preserve">, </w:t>
      </w:r>
      <w:r w:rsidR="00640CEA">
        <w:t xml:space="preserve">also </w:t>
      </w:r>
      <w:r w:rsidRPr="002F7765">
        <w:t>die Verarbeitung</w:t>
      </w:r>
      <w:r>
        <w:t xml:space="preserve"> entsprechender Datenkategorien </w:t>
      </w:r>
      <w:r w:rsidRPr="002F7765">
        <w:t>an zusätzliche Voraussetzungen knüpfen</w:t>
      </w:r>
      <w:r>
        <w:t>.</w:t>
      </w:r>
    </w:p>
    <w:p w14:paraId="38A3F19D" w14:textId="3BD72513" w:rsidR="000835B4" w:rsidRDefault="000835B4" w:rsidP="000835B4">
      <w:r w:rsidRPr="002F7765">
        <w:t xml:space="preserve">Ob </w:t>
      </w:r>
      <w:r w:rsidR="005F5895">
        <w:t>Art. </w:t>
      </w:r>
      <w:r w:rsidRPr="005717BF">
        <w:t xml:space="preserve">9 </w:t>
      </w:r>
      <w:r w:rsidR="005F5895">
        <w:t>Abs. </w:t>
      </w:r>
      <w:r w:rsidRPr="005717BF">
        <w:t>4 DS-GVO</w:t>
      </w:r>
      <w:r>
        <w:t xml:space="preserve"> jedoch </w:t>
      </w:r>
      <w:r w:rsidRPr="002F7765">
        <w:t xml:space="preserve">auch nationale Bestimmungen gestattet, </w:t>
      </w:r>
      <w:r>
        <w:t>welche</w:t>
      </w:r>
      <w:r w:rsidRPr="002F7765">
        <w:t xml:space="preserve"> die Verarbeitungsmöglichkeiten erweitern oder deren Anforderungen absenken, </w:t>
      </w:r>
      <w:r w:rsidRPr="008B0D52">
        <w:t xml:space="preserve">wird in der </w:t>
      </w:r>
      <w:r w:rsidR="008B0D52" w:rsidRPr="008B0D52">
        <w:t xml:space="preserve">juristischen </w:t>
      </w:r>
      <w:r w:rsidRPr="008B0D52">
        <w:t xml:space="preserve">Literatur </w:t>
      </w:r>
      <w:r>
        <w:t>überwiegend abgelehnt.</w:t>
      </w:r>
      <w:r>
        <w:rPr>
          <w:rStyle w:val="Funotenzeichen"/>
        </w:rPr>
        <w:footnoteReference w:id="32"/>
      </w:r>
      <w:r>
        <w:t xml:space="preserve"> </w:t>
      </w:r>
    </w:p>
    <w:p w14:paraId="0478D4B4" w14:textId="2CC10545" w:rsidR="000835B4" w:rsidRDefault="000835B4" w:rsidP="000835B4">
      <w:r>
        <w:t xml:space="preserve">Gegen eine Öffnungsklausel, welche zusätzliche Erlaubnistatbestände oder die Absenkung der Anforderungen erlaubt, spricht der Wortlaut der Regelung, in der gerade nicht von weiteren „Ausnahmen“ die Rede ist, sondern nur von weiteren „Bedingungen“ für </w:t>
      </w:r>
      <w:r w:rsidRPr="008B0D52">
        <w:t xml:space="preserve">die in </w:t>
      </w:r>
      <w:r w:rsidR="005F5895">
        <w:t>Art. </w:t>
      </w:r>
      <w:r w:rsidRPr="008B0D52">
        <w:t xml:space="preserve">9 </w:t>
      </w:r>
      <w:r w:rsidR="005F5895">
        <w:t>Abs. </w:t>
      </w:r>
      <w:r>
        <w:t xml:space="preserve">2 DS-GVO genannten Ausnahmen gesprochen wird. Insbesondere unter Berücksichtigung von </w:t>
      </w:r>
      <w:r w:rsidR="008B0D52">
        <w:t>ErwGr. </w:t>
      </w:r>
      <w:r>
        <w:t xml:space="preserve">53 </w:t>
      </w:r>
      <w:r w:rsidRPr="008B0D52">
        <w:t>S.</w:t>
      </w:r>
      <w:r w:rsidR="008B0D52" w:rsidRPr="008B0D52">
        <w:t> </w:t>
      </w:r>
      <w:r w:rsidRPr="008B0D52">
        <w:t>4</w:t>
      </w:r>
      <w:r>
        <w:t xml:space="preserve"> und 5 DS-GVO wird dies offensichtlich. Auch spricht die Sichtweise des EuGH gegen eine weite Auslegung der Regelungen in </w:t>
      </w:r>
      <w:r w:rsidR="005F5895">
        <w:t>Art. </w:t>
      </w:r>
      <w:r>
        <w:t xml:space="preserve">9 DS-GVO: Der EuGH urteilte, dass die Regelungen in </w:t>
      </w:r>
      <w:r w:rsidR="005F5895">
        <w:t>Art. </w:t>
      </w:r>
      <w:r>
        <w:t>6 und 9 DS-GVO eng auszulegen sind.</w:t>
      </w:r>
      <w:r>
        <w:rPr>
          <w:rStyle w:val="Funotenzeichen"/>
        </w:rPr>
        <w:footnoteReference w:id="33"/>
      </w:r>
    </w:p>
    <w:p w14:paraId="3E1AB67D" w14:textId="05280290" w:rsidR="000835B4" w:rsidRDefault="000835B4" w:rsidP="000835B4">
      <w:r>
        <w:t>Bei der Gestaltung zusätzlicher Bedingungen ist der nationale Gesetzgeber allerdings nicht völlig frei, er muss sich an die Vorgaben der DS-GVO halten und darf das Schutzniveau nicht beliebig herabsenken.</w:t>
      </w:r>
    </w:p>
    <w:p w14:paraId="3047AF14" w14:textId="7D34E9BB" w:rsidR="00015F40" w:rsidRPr="005717BF" w:rsidRDefault="00015F40" w:rsidP="000835B4">
      <w:r>
        <w:t xml:space="preserve">Zu beachten ist, dass die Öffnungsklausel ausschließlich für die Mitgliedstaaten selbst gelten, eine Übertragbarkeit dieses Rechts des nationalen Gesetzgebers auf andere ist nicht vorgesehen und entsprechend EU-Recht auch nicht möglich. Für die in </w:t>
      </w:r>
      <w:r w:rsidR="005F5895">
        <w:t>Art. </w:t>
      </w:r>
      <w:r>
        <w:t xml:space="preserve">9 </w:t>
      </w:r>
      <w:r w:rsidR="005F5895">
        <w:t>Abs. </w:t>
      </w:r>
      <w:r>
        <w:t xml:space="preserve">2 </w:t>
      </w:r>
      <w:r w:rsidR="005F5895">
        <w:t>lit. </w:t>
      </w:r>
      <w:r>
        <w:t xml:space="preserve">b DS-GVO genannten </w:t>
      </w:r>
      <w:r w:rsidR="00E616DE" w:rsidRPr="002637D9">
        <w:t>Kollektivvereinbarungen</w:t>
      </w:r>
      <w:r w:rsidR="00E616DE">
        <w:t xml:space="preserve"> </w:t>
      </w:r>
      <w:r>
        <w:t>existieren diese Möglichkeiten daher nicht, sodass Kollektivvereinbarungen beispielsweise keine zusätzlichen Bedingungen in Bezug auf eine Einwilligung aufstellen dürfen.</w:t>
      </w:r>
    </w:p>
    <w:p w14:paraId="417EFDB5" w14:textId="21754744" w:rsidR="002B3FD2" w:rsidRDefault="008362B2" w:rsidP="002B3FD2">
      <w:pPr>
        <w:pStyle w:val="berschrift2"/>
      </w:pPr>
      <w:bookmarkStart w:id="130" w:name="_Toc169934810"/>
      <w:bookmarkStart w:id="131" w:name="_Toc166312764"/>
      <w:bookmarkStart w:id="132" w:name="_Toc167514028"/>
      <w:r w:rsidRPr="008362B2">
        <w:t>Wie lange gilt ein Gesetz</w:t>
      </w:r>
      <w:r>
        <w:t>?</w:t>
      </w:r>
      <w:bookmarkEnd w:id="130"/>
      <w:r w:rsidRPr="008362B2" w:rsidDel="002F4642">
        <w:t xml:space="preserve"> </w:t>
      </w:r>
      <w:bookmarkEnd w:id="131"/>
      <w:bookmarkEnd w:id="132"/>
    </w:p>
    <w:p w14:paraId="3B83D62D" w14:textId="50E602AD" w:rsidR="00687085" w:rsidRDefault="00687085" w:rsidP="00687085">
      <w:r>
        <w:t>Es kann zu Recht bezweifelt werden, dass diverse vom deutschen Gesetzgeber erlassene Regelungen diesen Vorgaben entsprechen, insbesondere auch Regelungen aus jüngerer Zeit wie beispielsweise das „</w:t>
      </w:r>
      <w:r w:rsidRPr="00B03E10">
        <w:t>Gesetz zur verbesserten Nutzung von Gesundheitsdaten</w:t>
      </w:r>
      <w:r>
        <w:t>“ (</w:t>
      </w:r>
      <w:r w:rsidRPr="00B03E10">
        <w:t>Gesundheitsdatennutzungsgesetz</w:t>
      </w:r>
      <w:r>
        <w:t xml:space="preserve">, </w:t>
      </w:r>
      <w:r w:rsidRPr="008B0D52">
        <w:t>GDNG</w:t>
      </w:r>
      <w:r>
        <w:t xml:space="preserve">). Im </w:t>
      </w:r>
      <w:r w:rsidRPr="00CD1BC8">
        <w:t xml:space="preserve">letztgenannten Gesetz </w:t>
      </w:r>
      <w:r>
        <w:t>fehlen beispielsweise „</w:t>
      </w:r>
      <w:r w:rsidRPr="00B03E10">
        <w:t>klare und präzise Regeln für die Tragweite und die Anwendung</w:t>
      </w:r>
      <w:r>
        <w:t xml:space="preserve">“, welche betroffenen Personen einerseits aufklären, wer wann zu welchen genauen Zwecken (medizinische „Forschung“ ist keine präzise Angabe und auch nicht jede Forschung liegt im oder dient dem öffentlichen Interesse) ihre Daten verarbeiten darf, andererseits verfügen betroffene Personen über keine ausreichenden Garantien hinsichtlich </w:t>
      </w:r>
      <w:r w:rsidRPr="00B21FDE">
        <w:t>Missbrauchsschutz</w:t>
      </w:r>
      <w:r>
        <w:t>, ja erfahren i. d. R. nicht einmal, welche (natürliche oder juristische) Person die persönlichen Daten zu welchen Zwecken verarbeitet. Entsprechende Kritik wurde von Fachleuten bereits geäußert.</w:t>
      </w:r>
      <w:r>
        <w:rPr>
          <w:rStyle w:val="Funotenzeichen"/>
        </w:rPr>
        <w:footnoteReference w:id="34"/>
      </w:r>
    </w:p>
    <w:p w14:paraId="4BBC445A" w14:textId="0D46C99A" w:rsidR="00687085" w:rsidRDefault="00687085" w:rsidP="00687085">
      <w:r>
        <w:t xml:space="preserve">Ein Gesetz ist allerdings so lange rechtskräftig anwendbar, bis entweder der Gesetzgeber das jeweilige Gesetz änderte oder ein Gericht dieses Gesetz für rechtswidrig und nicht anwendbar erklärte. Bei aller vorhandenen Kritik sind die Gesetze bis zum Widerruf durch den Gesetzgeber selbst oder </w:t>
      </w:r>
      <w:r w:rsidR="00562420">
        <w:t xml:space="preserve">bis zu </w:t>
      </w:r>
      <w:r>
        <w:t xml:space="preserve">einem entsprechenden Gerichtsurteil also anwendbar. Im Falle der Erlaubnistatbestände zur Verarbeitung personenbezogener Daten entsteht für Verantwortliche ggf. jedoch ein Risiko: Erkennt ein Gericht die Unrechtmäßigkeit eines Gesetzes an, so konnte das Gesetz die Verarbeitung der Daten niemals legitimieren. Entsprechend </w:t>
      </w:r>
      <w:r w:rsidRPr="005F5895">
        <w:t>Treu</w:t>
      </w:r>
      <w:r>
        <w:t xml:space="preserve"> und Glauben kann der Verantwortliche für die unrechtmäßige Verarbeitung in der Vergangenheit zwar nicht belangt werden, aber aufgrund der Unrechtmäßigkeit müssen alle Daten gelöscht werden, ggf. sogar Verarbeitungsergebnisse, die ja nie hätten angefertigt werden dürfen. Im Bereich von Medizinprodukten kann dies beispielsweise dazu führen, dass diese aufgrund fehlender Datengrundlage und damit fehlendem Wirknachweis wieder vom Markt genommen werden müssen. Somit muss ein Verantwortlicher jeweils selbst abschätzen, ob für die eigen</w:t>
      </w:r>
      <w:r w:rsidR="00D71A87">
        <w:t>e</w:t>
      </w:r>
      <w:r>
        <w:t xml:space="preserve"> Verarbeitung die ggf. rechtswidrige gesetzliche Grundlage genutzt werden soll oder ob aus Sicherheitsgründen ein anderer, rechtssicherer Erlaubnistatbestand vielleicht besser geeignet ist.</w:t>
      </w:r>
    </w:p>
    <w:p w14:paraId="69564EE7" w14:textId="52D8F160" w:rsidR="000835B4" w:rsidRDefault="000835B4" w:rsidP="000835B4">
      <w:pPr>
        <w:pStyle w:val="berschrift2"/>
      </w:pPr>
      <w:bookmarkStart w:id="133" w:name="_Toc169934811"/>
      <w:r>
        <w:t xml:space="preserve">Nationale Regelungen müssen Anforderungen aus </w:t>
      </w:r>
      <w:r w:rsidR="005F5895">
        <w:t>Art. </w:t>
      </w:r>
      <w:r>
        <w:t xml:space="preserve">6 </w:t>
      </w:r>
      <w:r w:rsidR="005F5895">
        <w:t>Abs. </w:t>
      </w:r>
      <w:r>
        <w:t>1 DS-GVO genügen</w:t>
      </w:r>
      <w:bookmarkEnd w:id="133"/>
    </w:p>
    <w:p w14:paraId="131D484C" w14:textId="6C496C56" w:rsidR="000835B4" w:rsidRDefault="00687085" w:rsidP="00687085">
      <w:r>
        <w:t xml:space="preserve">Alle nationalen Erlaubnistatbestände zur Verarbeitung von personenbezogenen </w:t>
      </w:r>
      <w:r w:rsidRPr="00CD1BC8">
        <w:t>Daten</w:t>
      </w:r>
      <w:r>
        <w:t xml:space="preserve"> sind nur in Verbindung mit den Vorgaben aus </w:t>
      </w:r>
      <w:r w:rsidR="005F5895">
        <w:t>Art. </w:t>
      </w:r>
      <w:r>
        <w:t xml:space="preserve">6 </w:t>
      </w:r>
      <w:r w:rsidR="005F5895">
        <w:t>Abs. </w:t>
      </w:r>
      <w:r>
        <w:t xml:space="preserve">2 DS-GVO sowie bei Verarbeitung von personenbezogenen Daten der besonderen Kategorie ergänzend denen aus Art 9 </w:t>
      </w:r>
      <w:r w:rsidR="005F5895">
        <w:t>Abs. </w:t>
      </w:r>
      <w:r>
        <w:t>4 DS-GVO anwendbar.</w:t>
      </w:r>
    </w:p>
    <w:p w14:paraId="2CCDDA48" w14:textId="26BBEDC2" w:rsidR="00687085" w:rsidRDefault="000835B4" w:rsidP="00687085">
      <w:r>
        <w:t xml:space="preserve">Nationale </w:t>
      </w:r>
      <w:r w:rsidR="001D2C72" w:rsidRPr="001D2C72">
        <w:t>Gesetze, Rechtsverordnungen usw.</w:t>
      </w:r>
      <w:r w:rsidR="001D2C72">
        <w:t xml:space="preserve"> </w:t>
      </w:r>
      <w:r>
        <w:t>können/müssen</w:t>
      </w:r>
      <w:r w:rsidR="00687085">
        <w:t xml:space="preserve"> für die Zeitdauer ihrer Gültigkeit angewendet werden. </w:t>
      </w:r>
      <w:r>
        <w:t>A</w:t>
      </w:r>
      <w:r w:rsidR="00687085">
        <w:t xml:space="preserve">ufgrund des in </w:t>
      </w:r>
      <w:r w:rsidR="005F5895">
        <w:t>Art. </w:t>
      </w:r>
      <w:r w:rsidR="00687085">
        <w:t xml:space="preserve">9 </w:t>
      </w:r>
      <w:r w:rsidR="005F5895">
        <w:t>Abs. </w:t>
      </w:r>
      <w:r w:rsidR="00687085">
        <w:t xml:space="preserve">1 DS-GVO enthaltenen Verbots der Verarbeitung von </w:t>
      </w:r>
      <w:r w:rsidR="00687085" w:rsidRPr="00D62E40">
        <w:t>besondere</w:t>
      </w:r>
      <w:r w:rsidR="00687085">
        <w:t>n</w:t>
      </w:r>
      <w:r w:rsidR="00687085" w:rsidRPr="00D62E40">
        <w:t xml:space="preserve"> Kategorien personenbezogener Daten</w:t>
      </w:r>
      <w:r w:rsidR="00687085">
        <w:t xml:space="preserve"> muss</w:t>
      </w:r>
      <w:r>
        <w:t xml:space="preserve"> jedoch </w:t>
      </w:r>
      <w:r w:rsidR="00687085">
        <w:t xml:space="preserve">immer auch ein Erlaubnistatbestand aus </w:t>
      </w:r>
      <w:r w:rsidR="005F5895">
        <w:t>Art. </w:t>
      </w:r>
      <w:r w:rsidR="00687085">
        <w:t>9 DS-GVO diese Verarbeitung (mit) erlauben.</w:t>
      </w:r>
      <w:r>
        <w:t xml:space="preserve"> Weiterhin muss</w:t>
      </w:r>
      <w:r w:rsidR="00687085">
        <w:t xml:space="preserve"> </w:t>
      </w:r>
      <w:r>
        <w:t xml:space="preserve">aufgrund des </w:t>
      </w:r>
      <w:r w:rsidR="00687085">
        <w:t>EuGH-Urteil</w:t>
      </w:r>
      <w:r>
        <w:t>s</w:t>
      </w:r>
      <w:r w:rsidR="00687085">
        <w:t xml:space="preserve"> auch </w:t>
      </w:r>
      <w:r>
        <w:t>bei</w:t>
      </w:r>
      <w:r w:rsidR="00687085">
        <w:t xml:space="preserve"> nationale</w:t>
      </w:r>
      <w:r>
        <w:t>n</w:t>
      </w:r>
      <w:r w:rsidR="00687085">
        <w:t xml:space="preserve"> Erlaubnistatbestände</w:t>
      </w:r>
      <w:r>
        <w:t>n</w:t>
      </w:r>
      <w:r w:rsidR="00687085">
        <w:t xml:space="preserve"> zur Verarbeitung von </w:t>
      </w:r>
      <w:r w:rsidR="00687085" w:rsidRPr="00D62E40">
        <w:t>besondere</w:t>
      </w:r>
      <w:r w:rsidR="00687085">
        <w:t>n</w:t>
      </w:r>
      <w:r w:rsidR="00687085" w:rsidRPr="00D62E40">
        <w:t xml:space="preserve"> Kategorien personenbezogener Daten</w:t>
      </w:r>
      <w:r w:rsidR="00687085">
        <w:t xml:space="preserve"> immer auch mindestens einer der in </w:t>
      </w:r>
      <w:r w:rsidR="005F5895">
        <w:t>Art. </w:t>
      </w:r>
      <w:r w:rsidR="00687085">
        <w:t xml:space="preserve">6 </w:t>
      </w:r>
      <w:r w:rsidR="005F5895">
        <w:t>Abs. </w:t>
      </w:r>
      <w:r w:rsidR="00687085">
        <w:t>1 DS-GVO angeführten Rechtfertigungsgründe erfüllt sein.</w:t>
      </w:r>
    </w:p>
    <w:p w14:paraId="4F448DC2" w14:textId="5956CD3F" w:rsidR="00687085" w:rsidRDefault="000835B4" w:rsidP="00687085">
      <w:r>
        <w:t xml:space="preserve">D. h., </w:t>
      </w:r>
      <w:r w:rsidR="00687085">
        <w:t xml:space="preserve">für </w:t>
      </w:r>
      <w:r w:rsidR="003C7352">
        <w:t>alle</w:t>
      </w:r>
      <w:r w:rsidR="00687085">
        <w:t xml:space="preserve"> nationale</w:t>
      </w:r>
      <w:r w:rsidR="003C7352">
        <w:t>n</w:t>
      </w:r>
      <w:r w:rsidR="00687085">
        <w:t xml:space="preserve"> </w:t>
      </w:r>
      <w:r w:rsidR="001D2C72" w:rsidRPr="001D2C72">
        <w:t>Gesetze, Rechtsverordnungen usw.</w:t>
      </w:r>
      <w:r w:rsidR="00687085">
        <w:t>, die von einem Verantwortlichen angewendet w</w:t>
      </w:r>
      <w:r w:rsidR="003C7352">
        <w:t>e</w:t>
      </w:r>
      <w:r w:rsidR="00687085">
        <w:t>rd</w:t>
      </w:r>
      <w:r w:rsidR="003C7352">
        <w:t>en</w:t>
      </w:r>
      <w:r w:rsidR="00687085">
        <w:t>, ist</w:t>
      </w:r>
      <w:r>
        <w:t xml:space="preserve"> neben der nationalen Regelung und dem Bezug der nationalen Regelung zu </w:t>
      </w:r>
      <w:r w:rsidR="005F5895">
        <w:t>Art. </w:t>
      </w:r>
      <w:r>
        <w:t xml:space="preserve">9 DS-GVO </w:t>
      </w:r>
      <w:r w:rsidR="00687085">
        <w:t xml:space="preserve">immer auch </w:t>
      </w:r>
      <w:r>
        <w:t xml:space="preserve">mindestens ein </w:t>
      </w:r>
      <w:r w:rsidR="00687085">
        <w:t xml:space="preserve">erfüllter Rechtfertigungsgrund aus </w:t>
      </w:r>
      <w:r w:rsidR="005F5895">
        <w:t>Art. </w:t>
      </w:r>
      <w:r w:rsidR="00687085">
        <w:t xml:space="preserve">6 </w:t>
      </w:r>
      <w:r w:rsidR="005F5895">
        <w:t>Abs. </w:t>
      </w:r>
      <w:r w:rsidR="00687085">
        <w:t xml:space="preserve">1 DS-GVO zu finden und anzugeben, wenn die Verarbeitung von in </w:t>
      </w:r>
      <w:r w:rsidR="005F5895">
        <w:t>Art. </w:t>
      </w:r>
      <w:r w:rsidR="00687085">
        <w:t xml:space="preserve">9 </w:t>
      </w:r>
      <w:r w:rsidR="005F5895">
        <w:t>Abs. </w:t>
      </w:r>
      <w:r w:rsidR="00687085">
        <w:t xml:space="preserve">1 DS-GVO genannten </w:t>
      </w:r>
      <w:r w:rsidR="00687085" w:rsidRPr="00D62E40">
        <w:t>besondere</w:t>
      </w:r>
      <w:r w:rsidR="00687085">
        <w:t>n</w:t>
      </w:r>
      <w:r w:rsidR="00687085" w:rsidRPr="00D62E40">
        <w:t xml:space="preserve"> Kategorien personenbezogener Date</w:t>
      </w:r>
      <w:r w:rsidR="00687085">
        <w:t>n legalisiert werden soll.</w:t>
      </w:r>
    </w:p>
    <w:p w14:paraId="13FF20E6" w14:textId="16853E5D" w:rsidR="00687085" w:rsidRDefault="00687085" w:rsidP="00687085">
      <w:pPr>
        <w:spacing w:after="0"/>
      </w:pPr>
      <w:r>
        <w:t xml:space="preserve">Im deutschen Recht </w:t>
      </w:r>
      <w:r w:rsidRPr="00CD1BC8">
        <w:t>existiert eine Vielzahl von entsprechenden Erlaubnistatbeständen</w:t>
      </w:r>
      <w:r>
        <w:t xml:space="preserve">, z. B. finden sich diverse Erlaubnistatbestände in </w:t>
      </w:r>
      <w:r w:rsidR="00D71A87">
        <w:t>§§</w:t>
      </w:r>
      <w:r w:rsidR="005F5895">
        <w:t> </w:t>
      </w:r>
      <w:r w:rsidRPr="00CD1BC8">
        <w:t>64</w:t>
      </w:r>
      <w:r>
        <w:t xml:space="preserve">a ff. SGB X. Findet sich keine Entsprechung in den in </w:t>
      </w:r>
      <w:r w:rsidR="005F5895">
        <w:t>Art. </w:t>
      </w:r>
      <w:r>
        <w:t xml:space="preserve">6 </w:t>
      </w:r>
      <w:r w:rsidR="005F5895">
        <w:t>Abs. </w:t>
      </w:r>
      <w:r>
        <w:t xml:space="preserve">1 </w:t>
      </w:r>
      <w:r w:rsidR="005F5895">
        <w:t>lit. </w:t>
      </w:r>
      <w:r>
        <w:t xml:space="preserve">a bis e DS-GVO genannten Rechtfertigungsgründen, ist in diesen Fällen eine </w:t>
      </w:r>
      <w:r w:rsidR="00303763">
        <w:t xml:space="preserve">Interessenabwägung </w:t>
      </w:r>
      <w:r>
        <w:t xml:space="preserve">nach </w:t>
      </w:r>
      <w:r w:rsidR="005F5895">
        <w:t>Art. </w:t>
      </w:r>
      <w:r>
        <w:t xml:space="preserve">6 </w:t>
      </w:r>
      <w:r w:rsidR="005F5895">
        <w:t>Abs. </w:t>
      </w:r>
      <w:r>
        <w:t xml:space="preserve">1 </w:t>
      </w:r>
      <w:r w:rsidR="005F5895">
        <w:t>lit. </w:t>
      </w:r>
      <w:r>
        <w:t xml:space="preserve">f DS-GVO erforderlich. Eine Verarbeitung darf bei Erfordernis einer </w:t>
      </w:r>
      <w:r w:rsidR="00303763">
        <w:t xml:space="preserve">Interessenabwägung </w:t>
      </w:r>
      <w:r>
        <w:t>trotz des Vorliegens eines nationalen Erlaubnistatbestandes in diesen Fällen nur durchgeführt werden, wenn</w:t>
      </w:r>
      <w:r w:rsidRPr="00D62E40">
        <w:t xml:space="preserve"> die Interessen oder Grundrechte und Grundfreiheiten der betroffenen Person</w:t>
      </w:r>
      <w:r>
        <w:t xml:space="preserve"> gegenüber den </w:t>
      </w:r>
      <w:r w:rsidRPr="00D62E40">
        <w:t xml:space="preserve">berechtigten Interessen des Verantwortlichen </w:t>
      </w:r>
      <w:r>
        <w:t>(</w:t>
      </w:r>
      <w:r w:rsidRPr="00D62E40">
        <w:t>oder eines Dritten</w:t>
      </w:r>
      <w:r>
        <w:t>) nicht überwiegen.</w:t>
      </w:r>
    </w:p>
    <w:p w14:paraId="3D9DCDBA" w14:textId="333DC7EA" w:rsidR="00687085" w:rsidRDefault="000835B4" w:rsidP="000835B4">
      <w:pPr>
        <w:pStyle w:val="berschrift2"/>
      </w:pPr>
      <w:bookmarkStart w:id="134" w:name="_Ref162695738"/>
      <w:bookmarkStart w:id="135" w:name="_Toc169934812"/>
      <w:r>
        <w:t>Landes- vs. Bundesrecht</w:t>
      </w:r>
      <w:bookmarkEnd w:id="134"/>
      <w:bookmarkEnd w:id="135"/>
    </w:p>
    <w:p w14:paraId="1CFC6A60" w14:textId="37922F49" w:rsidR="000835B4" w:rsidRDefault="000835B4" w:rsidP="000835B4">
      <w:r>
        <w:t xml:space="preserve">Die Gesetzgebungskompetenzen im Bereich des Krankenhausrechts wurde 2019 vom </w:t>
      </w:r>
      <w:r w:rsidRPr="005F5895">
        <w:t>Wissenschaftlichen</w:t>
      </w:r>
      <w:r>
        <w:t xml:space="preserve"> Dienst des Deutschen Bundestages betrachtet</w:t>
      </w:r>
      <w:r>
        <w:rPr>
          <w:rStyle w:val="Funotenzeichen"/>
        </w:rPr>
        <w:footnoteReference w:id="35"/>
      </w:r>
      <w:r>
        <w:t xml:space="preserve">, 2022 </w:t>
      </w:r>
      <w:r w:rsidR="008B0D52" w:rsidRPr="008B0D52">
        <w:t xml:space="preserve">wurde vom Dienst </w:t>
      </w:r>
      <w:r w:rsidRPr="003F73B8">
        <w:t>der verfassungsrechtliche Rahmen</w:t>
      </w:r>
      <w:r w:rsidRPr="000835B4">
        <w:t xml:space="preserve"> für die Regelung der stationären medizinischen Versorgung</w:t>
      </w:r>
      <w:r>
        <w:t xml:space="preserve"> im Rahmen einer Kurzinformation dargestellt.</w:t>
      </w:r>
      <w:r>
        <w:rPr>
          <w:rStyle w:val="Funotenzeichen"/>
        </w:rPr>
        <w:footnoteReference w:id="36"/>
      </w:r>
      <w:r>
        <w:t xml:space="preserve"> Krankenhausorganisation und die Krankenhausplanung fallen in die Gesetzgebungskompetenz der Länder, daher ist bei rechtlichen Widersprüchen in diesen Fällen das Landesrecht vorrangig gegenüber dem Bundesrecht anzuwenden.</w:t>
      </w:r>
    </w:p>
    <w:p w14:paraId="1A89ABD6" w14:textId="7E348A6F" w:rsidR="000835B4" w:rsidRDefault="000835B4" w:rsidP="000835B4">
      <w:r>
        <w:t xml:space="preserve">2019 antwortete der wissenschaftliche Dienst auch auf die Frage der Gesetzgebungskompetenz des Bundes für den </w:t>
      </w:r>
      <w:r w:rsidRPr="005F5895">
        <w:t>Öffentlichen</w:t>
      </w:r>
      <w:r>
        <w:t xml:space="preserve"> Gesundheitsdienst, was auch die Gesetzgebungskompetenz für Berufsrecht beinhaltet</w:t>
      </w:r>
      <w:r w:rsidR="008B0D52">
        <w:t>e</w:t>
      </w:r>
      <w:r>
        <w:t>.</w:t>
      </w:r>
      <w:r>
        <w:rPr>
          <w:rStyle w:val="Funotenzeichen"/>
        </w:rPr>
        <w:footnoteReference w:id="37"/>
      </w:r>
      <w:r>
        <w:t xml:space="preserve"> Die Regelung der ärztlichen Weiterbildung nach Erteilung der Approbation und damit die gesamte Regelung des Facharztwesens gehört </w:t>
      </w:r>
      <w:r w:rsidR="008B0D52">
        <w:t xml:space="preserve">entsprechend dem Gutachten des </w:t>
      </w:r>
      <w:r w:rsidR="008B0D52" w:rsidRPr="005F5895">
        <w:t>Wissenschaftlichen</w:t>
      </w:r>
      <w:r w:rsidR="008B0D52">
        <w:t xml:space="preserve"> Dienstes des Deutschen Bundestages</w:t>
      </w:r>
      <w:r>
        <w:t xml:space="preserve"> in die Gesetzgebungszuständigkeit der Länder, somit auch der Umgang mit Telemedizin oder </w:t>
      </w:r>
      <w:r w:rsidRPr="005F5895">
        <w:t>eHealth</w:t>
      </w:r>
      <w:r>
        <w:t>.</w:t>
      </w:r>
    </w:p>
    <w:p w14:paraId="16C870C5" w14:textId="46F464FF" w:rsidR="000835B4" w:rsidRDefault="000835B4" w:rsidP="000835B4">
      <w:r>
        <w:t xml:space="preserve">Prof. </w:t>
      </w:r>
      <w:r w:rsidRPr="005F5895">
        <w:t>Wollenschläger</w:t>
      </w:r>
      <w:r>
        <w:t xml:space="preserve"> (Universität Augsburg) fertigte im Zuge der Krankenhausreformpläne von </w:t>
      </w:r>
      <w:r w:rsidR="009C5427">
        <w:t xml:space="preserve">Prof. </w:t>
      </w:r>
      <w:r>
        <w:t>Lauterbach ein Rechtsgutachten für die Länder Bayern, Nordrhein-Westfalen und Schleswig-Holstein an und kommt zum Ergebnis, dass dem Bund in etlichen Bereichen entsprechend Grundgesetz</w:t>
      </w:r>
      <w:r w:rsidR="00823FB3">
        <w:t xml:space="preserve"> (GG)</w:t>
      </w:r>
      <w:r>
        <w:t xml:space="preserve"> nicht das Recht zur Regelung zusteht bzw. </w:t>
      </w:r>
      <w:r w:rsidR="00562420">
        <w:t xml:space="preserve">der Bundesgesetzgeber </w:t>
      </w:r>
      <w:r>
        <w:t>im Bereich der konkurrierenden Gesetzgebung (= Sozialversicherung, wirtschaftliche Sicherung der Krankenhäuser) die Grenzen beachten muss.</w:t>
      </w:r>
      <w:r>
        <w:rPr>
          <w:rStyle w:val="Funotenzeichen"/>
        </w:rPr>
        <w:footnoteReference w:id="38"/>
      </w:r>
    </w:p>
    <w:p w14:paraId="63FA4306" w14:textId="363C6933" w:rsidR="00823FB3" w:rsidRDefault="008402ED" w:rsidP="00687085">
      <w:r>
        <w:t>Entsprechend</w:t>
      </w:r>
      <w:r w:rsidR="00823FB3">
        <w:t xml:space="preserve"> </w:t>
      </w:r>
      <w:r w:rsidR="005F5895">
        <w:t>Art. </w:t>
      </w:r>
      <w:r w:rsidR="00823FB3" w:rsidRPr="00823FB3">
        <w:t xml:space="preserve">74 </w:t>
      </w:r>
      <w:r w:rsidR="005F5895">
        <w:t>Abs. </w:t>
      </w:r>
      <w:r w:rsidR="00823FB3" w:rsidRPr="00823FB3">
        <w:t xml:space="preserve">1 </w:t>
      </w:r>
      <w:r w:rsidR="005F5895">
        <w:t>Nr. </w:t>
      </w:r>
      <w:r w:rsidR="00823FB3" w:rsidRPr="00823FB3">
        <w:t xml:space="preserve">19a </w:t>
      </w:r>
      <w:r w:rsidR="00823FB3">
        <w:t xml:space="preserve">GG </w:t>
      </w:r>
      <w:r>
        <w:t xml:space="preserve">existiert </w:t>
      </w:r>
      <w:r w:rsidR="00823FB3">
        <w:t>e</w:t>
      </w:r>
      <w:r w:rsidR="00823FB3" w:rsidRPr="00823FB3">
        <w:t>ine konkurrierende Zuständigkeit</w:t>
      </w:r>
      <w:r w:rsidR="00823FB3">
        <w:t xml:space="preserve"> von Bund- und Landesgesetzgeber</w:t>
      </w:r>
      <w:r>
        <w:t xml:space="preserve">, wobei </w:t>
      </w:r>
      <w:r w:rsidR="005F5895">
        <w:t>Art. </w:t>
      </w:r>
      <w:r w:rsidRPr="008402ED">
        <w:t xml:space="preserve">74 </w:t>
      </w:r>
      <w:r w:rsidR="005F5895">
        <w:t>Abs. </w:t>
      </w:r>
      <w:r w:rsidRPr="008402ED">
        <w:t xml:space="preserve">1 </w:t>
      </w:r>
      <w:r w:rsidR="005F5895">
        <w:t>Nr. </w:t>
      </w:r>
      <w:r w:rsidRPr="008402ED">
        <w:t xml:space="preserve">19a </w:t>
      </w:r>
      <w:r w:rsidR="00EC3E32">
        <w:t xml:space="preserve">GG </w:t>
      </w:r>
      <w:r w:rsidRPr="008402ED">
        <w:t>der gesetzgeberischen Zuständigkeit des Bundes für das Gebiet der Krankenhäuser prinzipiell klare Grenzen setzt</w:t>
      </w:r>
      <w:r w:rsidR="00823FB3">
        <w:t>.</w:t>
      </w:r>
      <w:bookmarkStart w:id="136" w:name="_Ref162681152"/>
      <w:r>
        <w:rPr>
          <w:rStyle w:val="Funotenzeichen"/>
        </w:rPr>
        <w:footnoteReference w:id="39"/>
      </w:r>
      <w:bookmarkEnd w:id="136"/>
      <w:r w:rsidR="00823FB3">
        <w:t xml:space="preserve"> Aus </w:t>
      </w:r>
      <w:r w:rsidR="005F5895">
        <w:t>Art. </w:t>
      </w:r>
      <w:r w:rsidR="00823FB3" w:rsidRPr="00823FB3">
        <w:t xml:space="preserve">74 </w:t>
      </w:r>
      <w:r w:rsidR="005F5895">
        <w:t>Abs. </w:t>
      </w:r>
      <w:r w:rsidR="00823FB3" w:rsidRPr="00823FB3">
        <w:t xml:space="preserve">1 </w:t>
      </w:r>
      <w:r w:rsidR="005F5895">
        <w:t>Nr. </w:t>
      </w:r>
      <w:r w:rsidR="00823FB3" w:rsidRPr="00823FB3">
        <w:t>19a GG</w:t>
      </w:r>
      <w:r w:rsidR="00823FB3">
        <w:t xml:space="preserve"> </w:t>
      </w:r>
      <w:r w:rsidR="00901E1F">
        <w:t>in Verbindung mit Art. </w:t>
      </w:r>
      <w:r w:rsidR="00901E1F" w:rsidRPr="00823FB3">
        <w:t xml:space="preserve">70 </w:t>
      </w:r>
      <w:r w:rsidR="00901E1F">
        <w:t>Abs. </w:t>
      </w:r>
      <w:r w:rsidR="00901E1F" w:rsidRPr="00823FB3">
        <w:t xml:space="preserve">1 GG </w:t>
      </w:r>
      <w:r w:rsidR="00823FB3">
        <w:t xml:space="preserve">ergibt sich das Primat </w:t>
      </w:r>
      <w:r w:rsidR="00823FB3" w:rsidRPr="00823FB3">
        <w:t>der Länder für Fragen der Krankenhausplanung und -organisation</w:t>
      </w:r>
      <w:r w:rsidR="00901E1F">
        <w:t>.</w:t>
      </w:r>
      <w:r w:rsidR="00823FB3">
        <w:rPr>
          <w:rStyle w:val="Funotenzeichen"/>
        </w:rPr>
        <w:footnoteReference w:id="40"/>
      </w:r>
      <w:r w:rsidR="00901E1F" w:rsidRPr="00901E1F">
        <w:rPr>
          <w:vertAlign w:val="superscript"/>
        </w:rPr>
        <w:t>,</w:t>
      </w:r>
      <w:r w:rsidR="00901E1F">
        <w:t> </w:t>
      </w:r>
      <w:r w:rsidR="009B0491">
        <w:rPr>
          <w:rStyle w:val="Funotenzeichen"/>
        </w:rPr>
        <w:footnoteReference w:id="41"/>
      </w:r>
      <w:r w:rsidR="009B0491">
        <w:t xml:space="preserve"> </w:t>
      </w:r>
      <w:r w:rsidR="00901E1F">
        <w:t>Weiter ergibt sich a</w:t>
      </w:r>
      <w:r w:rsidR="009B0491">
        <w:t xml:space="preserve">us </w:t>
      </w:r>
      <w:r w:rsidR="005F5895">
        <w:t>Art. </w:t>
      </w:r>
      <w:r w:rsidR="009B0491" w:rsidRPr="009B0491">
        <w:t xml:space="preserve">2 </w:t>
      </w:r>
      <w:r w:rsidR="005F5895">
        <w:t>Abs. </w:t>
      </w:r>
      <w:r w:rsidR="009B0491" w:rsidRPr="009B0491">
        <w:t>2 S.</w:t>
      </w:r>
      <w:r w:rsidR="009B0491">
        <w:t> </w:t>
      </w:r>
      <w:r w:rsidR="009B0491" w:rsidRPr="009B0491">
        <w:t>1 GG i</w:t>
      </w:r>
      <w:r w:rsidR="009B0491">
        <w:t>. </w:t>
      </w:r>
      <w:r w:rsidR="009B0491" w:rsidRPr="009B0491">
        <w:t>V</w:t>
      </w:r>
      <w:r w:rsidR="009B0491">
        <w:t>. </w:t>
      </w:r>
      <w:r w:rsidR="009B0491" w:rsidRPr="009B0491">
        <w:t>m</w:t>
      </w:r>
      <w:r w:rsidR="009B0491">
        <w:t>.</w:t>
      </w:r>
      <w:r w:rsidR="009B0491" w:rsidRPr="009B0491">
        <w:t xml:space="preserve"> dem Sozialstaatsprinzip</w:t>
      </w:r>
      <w:r w:rsidR="009B0491">
        <w:t xml:space="preserve"> </w:t>
      </w:r>
      <w:r w:rsidR="009B0491" w:rsidRPr="008402ED">
        <w:t>u.</w:t>
      </w:r>
      <w:r w:rsidRPr="008402ED">
        <w:t> </w:t>
      </w:r>
      <w:r w:rsidR="009B0491" w:rsidRPr="008402ED">
        <w:t>a.</w:t>
      </w:r>
      <w:r w:rsidR="009B0491">
        <w:t xml:space="preserve">, dass es Aufgabe des jeweiligen Bundeslandes ist, </w:t>
      </w:r>
      <w:r w:rsidR="009B0491" w:rsidRPr="009B0491">
        <w:t>die stationäre Versorgung zu gewährleisten.</w:t>
      </w:r>
      <w:r w:rsidR="009B0491">
        <w:rPr>
          <w:rStyle w:val="Funotenzeichen"/>
        </w:rPr>
        <w:footnoteReference w:id="42"/>
      </w:r>
      <w:r w:rsidR="009B0491">
        <w:t xml:space="preserve"> </w:t>
      </w:r>
      <w:r w:rsidR="009B0491" w:rsidRPr="009B0491">
        <w:t xml:space="preserve">Die Länder </w:t>
      </w:r>
      <w:r w:rsidR="009B0491">
        <w:t>erließen</w:t>
      </w:r>
      <w:r w:rsidR="009B0491" w:rsidRPr="009B0491">
        <w:t xml:space="preserve"> in Wahrnehmung ihrer Kompetenz jeweils eigene </w:t>
      </w:r>
      <w:r w:rsidR="009B0491" w:rsidRPr="008402ED">
        <w:t>Krankenhausgesetze</w:t>
      </w:r>
      <w:r w:rsidRPr="008402ED">
        <w:t>.</w:t>
      </w:r>
    </w:p>
    <w:p w14:paraId="12CAC695" w14:textId="526BA30A" w:rsidR="00F446CC" w:rsidRDefault="00823FB3" w:rsidP="00F446CC">
      <w:r>
        <w:t xml:space="preserve">Entsprechend </w:t>
      </w:r>
      <w:r w:rsidR="005F5895">
        <w:t>Art. </w:t>
      </w:r>
      <w:r w:rsidRPr="00823FB3">
        <w:t xml:space="preserve">74 </w:t>
      </w:r>
      <w:r w:rsidR="005F5895">
        <w:t>Abs. </w:t>
      </w:r>
      <w:r w:rsidRPr="00823FB3">
        <w:t xml:space="preserve">1 </w:t>
      </w:r>
      <w:r w:rsidR="005F5895">
        <w:t>Nr. </w:t>
      </w:r>
      <w:r w:rsidRPr="00823FB3">
        <w:t xml:space="preserve">19a GG </w:t>
      </w:r>
      <w:r>
        <w:t>steh</w:t>
      </w:r>
      <w:r w:rsidR="009C5427">
        <w:t>en</w:t>
      </w:r>
      <w:r>
        <w:t xml:space="preserve"> dem Bund </w:t>
      </w:r>
      <w:r w:rsidRPr="00823FB3">
        <w:t xml:space="preserve">lediglich </w:t>
      </w:r>
      <w:r>
        <w:t xml:space="preserve">die </w:t>
      </w:r>
      <w:r w:rsidRPr="00823FB3">
        <w:t>Regelungen der wirtschaftlichen Sicherung der Krankenhäuser und der Krankenhauspflegesätze</w:t>
      </w:r>
      <w:r>
        <w:t xml:space="preserve"> zu.</w:t>
      </w:r>
      <w:r>
        <w:rPr>
          <w:rStyle w:val="Funotenzeichen"/>
        </w:rPr>
        <w:footnoteReference w:id="43"/>
      </w:r>
      <w:r w:rsidR="009B0491">
        <w:t xml:space="preserve"> Gemäß</w:t>
      </w:r>
      <w:r>
        <w:t xml:space="preserve"> </w:t>
      </w:r>
      <w:r w:rsidR="005F5895">
        <w:t>Art. </w:t>
      </w:r>
      <w:r w:rsidRPr="00823FB3">
        <w:t xml:space="preserve">72 </w:t>
      </w:r>
      <w:r w:rsidR="005F5895">
        <w:t>Abs. </w:t>
      </w:r>
      <w:r w:rsidRPr="00823FB3">
        <w:t xml:space="preserve">2 GG </w:t>
      </w:r>
      <w:r>
        <w:t xml:space="preserve">muss für eine Gesetzgebung des Bundes im Kontext des </w:t>
      </w:r>
      <w:r w:rsidR="005F5895">
        <w:t>Art. </w:t>
      </w:r>
      <w:r w:rsidRPr="00823FB3">
        <w:t xml:space="preserve">74 </w:t>
      </w:r>
      <w:r w:rsidR="005F5895">
        <w:t>Abs. </w:t>
      </w:r>
      <w:r w:rsidRPr="00823FB3">
        <w:t xml:space="preserve">1 </w:t>
      </w:r>
      <w:r w:rsidR="005F5895">
        <w:t>Nr. </w:t>
      </w:r>
      <w:r w:rsidRPr="00823FB3">
        <w:t xml:space="preserve">19a GG die Herstellung gleichwertiger Lebensverhältnisse im Bundesgebiet oder die Wahrung der Rechts- oder Wirtschaftseinheit im gesamtstaatlichen Interesse eine bundesgesetzliche Regelung erforderlich </w:t>
      </w:r>
      <w:r>
        <w:t xml:space="preserve">sein. </w:t>
      </w:r>
      <w:r w:rsidR="009B0491">
        <w:t xml:space="preserve">Dementsprechend </w:t>
      </w:r>
      <w:r>
        <w:t xml:space="preserve">darf der Bund </w:t>
      </w:r>
      <w:r w:rsidRPr="00823FB3">
        <w:t xml:space="preserve">Fragen, </w:t>
      </w:r>
      <w:r>
        <w:t xml:space="preserve">welche </w:t>
      </w:r>
      <w:r w:rsidRPr="00823FB3">
        <w:t xml:space="preserve">die Krankenhausplanung betreffen, nur dann </w:t>
      </w:r>
      <w:r>
        <w:t>regeln</w:t>
      </w:r>
      <w:r w:rsidRPr="00823FB3">
        <w:t>, wenn der Bezug zur wirtschaftlichen Sicherung der Krankenhäuser offensichtlich ist und den Ländern eigenständige und erhebliche Ausgestaltungsspielräume bleiben</w:t>
      </w:r>
      <w:r>
        <w:t>.</w:t>
      </w:r>
      <w:r w:rsidR="009B0491">
        <w:rPr>
          <w:rStyle w:val="Funotenzeichen"/>
        </w:rPr>
        <w:footnoteReference w:id="44"/>
      </w:r>
      <w:r w:rsidR="00F446CC">
        <w:t xml:space="preserve"> Weist der Bund das Erfordernis nicht nach und die jeweiligen </w:t>
      </w:r>
      <w:r w:rsidR="00F446CC" w:rsidRPr="008402ED">
        <w:t>Bundesländer machten</w:t>
      </w:r>
      <w:r w:rsidR="00F446CC">
        <w:t xml:space="preserve"> von ihrer Gesetzgebungskompetenz Gebrauch (= keine Regelungslücke beim jeweiligen Landesgesetzgeber), so ist das jeweilige Landesrecht </w:t>
      </w:r>
      <w:r w:rsidR="00F446CC" w:rsidRPr="008402ED">
        <w:t>vorrangig</w:t>
      </w:r>
      <w:r w:rsidR="00F446CC">
        <w:t xml:space="preserve"> gegenüber dem Bundesrecht anzuwenden.</w:t>
      </w:r>
    </w:p>
    <w:p w14:paraId="42E810A6" w14:textId="5DF4C05F" w:rsidR="00823FB3" w:rsidRDefault="008402ED" w:rsidP="00687085">
      <w:r w:rsidRPr="008402ED">
        <w:t xml:space="preserve">Umstrukturierungen im Gesundheitswesen können sich deshalb nur sehr eingeschränkt auf den Kompetenztitel der </w:t>
      </w:r>
      <w:r w:rsidR="005F5895">
        <w:t>Nr. </w:t>
      </w:r>
      <w:r w:rsidRPr="008402ED">
        <w:t xml:space="preserve">19a </w:t>
      </w:r>
      <w:r w:rsidRPr="005F5895">
        <w:t>stützen.</w:t>
      </w:r>
      <w:r w:rsidRPr="005F5895">
        <w:rPr>
          <w:vertAlign w:val="superscript"/>
        </w:rPr>
        <w:fldChar w:fldCharType="begin"/>
      </w:r>
      <w:r w:rsidRPr="005F5895">
        <w:rPr>
          <w:vertAlign w:val="superscript"/>
        </w:rPr>
        <w:instrText xml:space="preserve"> NOTEREF _Ref162681152 \h  \* MERGEFORMAT </w:instrText>
      </w:r>
      <w:r w:rsidRPr="005F5895">
        <w:rPr>
          <w:vertAlign w:val="superscript"/>
        </w:rPr>
      </w:r>
      <w:r w:rsidRPr="005F5895">
        <w:rPr>
          <w:vertAlign w:val="superscript"/>
        </w:rPr>
        <w:fldChar w:fldCharType="separate"/>
      </w:r>
      <w:r w:rsidR="00F43608">
        <w:rPr>
          <w:vertAlign w:val="superscript"/>
        </w:rPr>
        <w:t>39</w:t>
      </w:r>
      <w:r w:rsidRPr="005F5895">
        <w:rPr>
          <w:vertAlign w:val="superscript"/>
        </w:rPr>
        <w:fldChar w:fldCharType="end"/>
      </w:r>
      <w:r w:rsidRPr="008402ED">
        <w:t xml:space="preserve"> „Regelungen betreffend die Krankenhaus- und Personalstruktur, die Bezüge des Personals bzw. das Liquidationsrecht der Ärzte sind damit </w:t>
      </w:r>
      <w:r w:rsidR="00CA5106">
        <w:t xml:space="preserve">grundsätzlich </w:t>
      </w:r>
      <w:r>
        <w:t>e</w:t>
      </w:r>
      <w:r w:rsidRPr="008402ED">
        <w:t>benso</w:t>
      </w:r>
      <w:r>
        <w:t xml:space="preserve"> </w:t>
      </w:r>
      <w:r w:rsidRPr="008402ED">
        <w:t>wenig gedeckt wie Regelungen zur Verfolgung gesundheitspolitischer Ziele, die über einen allgemeinen Standard der Krankenhausversorgung hinausgehen.“</w:t>
      </w:r>
      <w:r>
        <w:rPr>
          <w:rStyle w:val="Funotenzeichen"/>
        </w:rPr>
        <w:footnoteReference w:id="45"/>
      </w:r>
    </w:p>
    <w:p w14:paraId="4C15F34F" w14:textId="115A414B" w:rsidR="000E339C" w:rsidRDefault="000E339C" w:rsidP="000E339C">
      <w:pPr>
        <w:pStyle w:val="berschrift3"/>
      </w:pPr>
      <w:bookmarkStart w:id="137" w:name="_Toc169934813"/>
      <w:r>
        <w:t>Ärztliches Berufsrecht und ärztliche S</w:t>
      </w:r>
      <w:r w:rsidR="00721F98">
        <w:t>c</w:t>
      </w:r>
      <w:r>
        <w:t>hweigepflicht</w:t>
      </w:r>
      <w:bookmarkEnd w:id="137"/>
    </w:p>
    <w:p w14:paraId="10A18846" w14:textId="21B29A67" w:rsidR="000E339C" w:rsidRDefault="000E339C" w:rsidP="000E339C">
      <w:r>
        <w:t xml:space="preserve">Entsprechend </w:t>
      </w:r>
      <w:r w:rsidR="005F5895">
        <w:t>Art. </w:t>
      </w:r>
      <w:r w:rsidRPr="000E339C">
        <w:t xml:space="preserve">74 </w:t>
      </w:r>
      <w:r w:rsidR="005F5895">
        <w:t>Abs. </w:t>
      </w:r>
      <w:r w:rsidRPr="000E339C">
        <w:t xml:space="preserve">1 </w:t>
      </w:r>
      <w:r w:rsidR="005F5895">
        <w:t>Nr. </w:t>
      </w:r>
      <w:r w:rsidRPr="000E339C">
        <w:t xml:space="preserve">19 GG </w:t>
      </w:r>
      <w:r>
        <w:t xml:space="preserve">besteht </w:t>
      </w:r>
      <w:r w:rsidRPr="003F73B8">
        <w:t>u.</w:t>
      </w:r>
      <w:r w:rsidR="003F73B8" w:rsidRPr="003F73B8">
        <w:t> </w:t>
      </w:r>
      <w:r w:rsidRPr="003F73B8">
        <w:t>a.</w:t>
      </w:r>
      <w:r>
        <w:t xml:space="preserve"> bzgl. der</w:t>
      </w:r>
      <w:r w:rsidRPr="000E339C">
        <w:t xml:space="preserve"> Zulassung zu ärztlichen und anderen Heilberufen eine konkurrierende Gesetzkompetenz</w:t>
      </w:r>
      <w:r>
        <w:t>. D</w:t>
      </w:r>
      <w:r w:rsidRPr="000E339C">
        <w:t xml:space="preserve">as Bundesverfassungsgericht </w:t>
      </w:r>
      <w:r>
        <w:t>urteilte</w:t>
      </w:r>
      <w:r w:rsidRPr="000E339C">
        <w:t xml:space="preserve">, </w:t>
      </w:r>
      <w:r>
        <w:t xml:space="preserve">dass </w:t>
      </w:r>
      <w:r w:rsidRPr="000E339C">
        <w:t>der Bund im Bereich des Gesundheitswesens seine nur begrenzten Zugriffsmöglichkeiten nicht unter Berufung auf die öffentliche Fürsorge ausweiten</w:t>
      </w:r>
      <w:r>
        <w:t xml:space="preserve"> darf: „</w:t>
      </w:r>
      <w:r w:rsidRPr="000E339C">
        <w:t>Die Entscheidung der Verfassung (</w:t>
      </w:r>
      <w:r w:rsidR="005F5895">
        <w:t>Art. </w:t>
      </w:r>
      <w:r w:rsidRPr="000E339C">
        <w:t xml:space="preserve">74 </w:t>
      </w:r>
      <w:r w:rsidR="005F5895">
        <w:t>Nr. </w:t>
      </w:r>
      <w:r w:rsidRPr="000E339C">
        <w:t>19 und 19a GG), dem Bund für das Gesundheitswesen nur in eingeschränktem Maße Gesetzgebungskompetenzen zuzuweisen, darf nicht durch eine erweiternde Auslegung der Gesetzgebungskompetenz für die öffentliche Fürsorge unterlaufen werden</w:t>
      </w:r>
      <w:r>
        <w:t>“</w:t>
      </w:r>
      <w:r w:rsidRPr="000E339C">
        <w:t>.</w:t>
      </w:r>
      <w:bookmarkStart w:id="138" w:name="_Ref162930410"/>
      <w:r>
        <w:rPr>
          <w:rStyle w:val="Funotenzeichen"/>
        </w:rPr>
        <w:footnoteReference w:id="46"/>
      </w:r>
      <w:bookmarkEnd w:id="138"/>
    </w:p>
    <w:p w14:paraId="7E758258" w14:textId="12E6C5E6" w:rsidR="000E339C" w:rsidRDefault="000E339C" w:rsidP="000E339C">
      <w:r w:rsidRPr="000E339C">
        <w:t>Unter den B</w:t>
      </w:r>
      <w:r>
        <w:t>e</w:t>
      </w:r>
      <w:r w:rsidRPr="000E339C">
        <w:t>griff der ärztlichen Heilberufe fallen die Berufe des Arztes, des Zahnarztes</w:t>
      </w:r>
      <w:r>
        <w:t>,</w:t>
      </w:r>
      <w:r w:rsidRPr="000E339C">
        <w:t xml:space="preserve"> des Tierarztes</w:t>
      </w:r>
      <w:r>
        <w:t xml:space="preserve"> sowie </w:t>
      </w:r>
      <w:r w:rsidRPr="000E339C">
        <w:t xml:space="preserve">solche, </w:t>
      </w:r>
      <w:r>
        <w:t>welche</w:t>
      </w:r>
      <w:r w:rsidRPr="000E339C">
        <w:t xml:space="preserve"> die Heilkunde unmittelbar zum Gegenstand haben</w:t>
      </w:r>
      <w:r>
        <w:t xml:space="preserve"> wie beispielsweise </w:t>
      </w:r>
      <w:r w:rsidRPr="000E339C">
        <w:t xml:space="preserve">Hebammen, Krankenpfleger, </w:t>
      </w:r>
      <w:r>
        <w:t xml:space="preserve">Altenpfleger, </w:t>
      </w:r>
      <w:r w:rsidRPr="000E339C">
        <w:t xml:space="preserve">Krankengymnasten, Notfallsanitäter, Diätassistenten </w:t>
      </w:r>
      <w:r>
        <w:t xml:space="preserve">oder </w:t>
      </w:r>
      <w:r w:rsidRPr="000E339C">
        <w:t>auch Heilpraktiker.</w:t>
      </w:r>
    </w:p>
    <w:p w14:paraId="7D09EBB3" w14:textId="584F27A3" w:rsidR="000E339C" w:rsidRDefault="000E339C" w:rsidP="000E339C">
      <w:r w:rsidRPr="000E339C">
        <w:t xml:space="preserve">Die Zulassung i. S. d. </w:t>
      </w:r>
      <w:r w:rsidR="005F5895">
        <w:t>Art. </w:t>
      </w:r>
      <w:r w:rsidRPr="000E339C">
        <w:t xml:space="preserve">74 </w:t>
      </w:r>
      <w:r w:rsidR="005F5895">
        <w:t>Abs. </w:t>
      </w:r>
      <w:r w:rsidRPr="000E339C">
        <w:t xml:space="preserve">1 </w:t>
      </w:r>
      <w:r w:rsidR="005F5895">
        <w:t>Nr. </w:t>
      </w:r>
      <w:r w:rsidRPr="000E339C">
        <w:t>19 GG umfasst im Hinblick auf ärztliche Heilberufe Vorschriften, die sich auf Erteilung, Zurücknahme und Verlust der Approbation oder auf die Befugnis zur Ausübung</w:t>
      </w:r>
      <w:r>
        <w:t xml:space="preserve"> </w:t>
      </w:r>
      <w:r w:rsidRPr="000E339C">
        <w:t>des ärztlichen Berufs beziehen</w:t>
      </w:r>
      <w:r>
        <w:t xml:space="preserve">. Entsprechend seiner Gesetzgebungskompetenz erließ der Bundesgesetzgeber mit der </w:t>
      </w:r>
      <w:r w:rsidRPr="000E339C">
        <w:t>Bundesärzteordnung (</w:t>
      </w:r>
      <w:r w:rsidRPr="005F5895">
        <w:t>BÄO</w:t>
      </w:r>
      <w:r w:rsidRPr="000E339C">
        <w:t>)</w:t>
      </w:r>
      <w:r>
        <w:t xml:space="preserve"> ein </w:t>
      </w:r>
      <w:r w:rsidRPr="000E339C">
        <w:t>Bundesgesetz</w:t>
      </w:r>
      <w:r>
        <w:t xml:space="preserve">, welches </w:t>
      </w:r>
      <w:r w:rsidRPr="000E339C">
        <w:t>die Berufszulassung zum Arztberuf</w:t>
      </w:r>
      <w:r>
        <w:t xml:space="preserve"> regelt.</w:t>
      </w:r>
    </w:p>
    <w:p w14:paraId="0C6044EF" w14:textId="325EF281" w:rsidR="000E339C" w:rsidRDefault="000E339C" w:rsidP="000E339C">
      <w:r w:rsidRPr="000E339C">
        <w:t>Die Regelung der ärztlichen Weiterbildung nach Erteilung der Approbation und damit die gesamte Regelung des Facharztwesens gehört dagegen in die Gesetzgebungszuständigkeit der Länder, da dies der Berufsausübung zugeordnet wird</w:t>
      </w:r>
      <w:r>
        <w:t>.</w:t>
      </w:r>
      <w:r>
        <w:rPr>
          <w:rStyle w:val="Funotenzeichen"/>
        </w:rPr>
        <w:footnoteReference w:id="47"/>
      </w:r>
      <w:r>
        <w:t xml:space="preserve"> Hierzu gehört die Berufsordnung für Ärztinnen und Ärzte des jeweiligen Bundeslandes, in welcher auch die ärztliche Schweigepflicht enthalten ist. Eingriffe in die entsprechende Länderkompetenz sind nach Urteil des </w:t>
      </w:r>
      <w:r w:rsidRPr="005F5895">
        <w:t>BVerfG</w:t>
      </w:r>
      <w:r w:rsidRPr="005F5895">
        <w:rPr>
          <w:vertAlign w:val="superscript"/>
        </w:rPr>
        <w:fldChar w:fldCharType="begin"/>
      </w:r>
      <w:r w:rsidRPr="005F5895">
        <w:rPr>
          <w:vertAlign w:val="superscript"/>
        </w:rPr>
        <w:instrText xml:space="preserve"> NOTEREF _Ref162930410 \h  \* MERGEFORMAT </w:instrText>
      </w:r>
      <w:r w:rsidRPr="005F5895">
        <w:rPr>
          <w:vertAlign w:val="superscript"/>
        </w:rPr>
      </w:r>
      <w:r w:rsidRPr="005F5895">
        <w:rPr>
          <w:vertAlign w:val="superscript"/>
        </w:rPr>
        <w:fldChar w:fldCharType="separate"/>
      </w:r>
      <w:r w:rsidR="00F43608">
        <w:rPr>
          <w:vertAlign w:val="superscript"/>
        </w:rPr>
        <w:t>46</w:t>
      </w:r>
      <w:r w:rsidRPr="005F5895">
        <w:rPr>
          <w:vertAlign w:val="superscript"/>
        </w:rPr>
        <w:fldChar w:fldCharType="end"/>
      </w:r>
      <w:r>
        <w:t xml:space="preserve"> restriktiv zu handhaben, entsprechend kann der Bundesgesetzgeber nur sehr begrenzt Regelungen zur ärztlichen Schweigepflicht treffen.</w:t>
      </w:r>
      <w:r w:rsidR="00721F98">
        <w:t xml:space="preserve"> </w:t>
      </w:r>
      <w:r>
        <w:t xml:space="preserve">Das in </w:t>
      </w:r>
      <w:r w:rsidR="005F5895">
        <w:t>§ </w:t>
      </w:r>
      <w:r>
        <w:t xml:space="preserve">203 StGB geregelte Verbot der unbefugten Offenbarung unterliegt </w:t>
      </w:r>
      <w:r w:rsidR="00721F98">
        <w:t xml:space="preserve">jedoch </w:t>
      </w:r>
      <w:r>
        <w:t>der Gesetzgebungskompetenz des Bundes.</w:t>
      </w:r>
    </w:p>
    <w:p w14:paraId="6FC4940A" w14:textId="6B127F0E" w:rsidR="002C71AF" w:rsidRDefault="002C71AF" w:rsidP="002C71AF">
      <w:r>
        <w:t xml:space="preserve">Obwohl </w:t>
      </w:r>
      <w:r w:rsidR="005F5895">
        <w:t>§ </w:t>
      </w:r>
      <w:r w:rsidRPr="002C71AF">
        <w:t>9 MBO</w:t>
      </w:r>
      <w:r>
        <w:t>-Ä</w:t>
      </w:r>
      <w:r w:rsidRPr="002C71AF">
        <w:t xml:space="preserve"> und </w:t>
      </w:r>
      <w:r w:rsidR="005F5895">
        <w:t>§ </w:t>
      </w:r>
      <w:r w:rsidRPr="002C71AF">
        <w:t>203 StGB</w:t>
      </w:r>
      <w:r>
        <w:t xml:space="preserve"> </w:t>
      </w:r>
      <w:r w:rsidRPr="002C71AF">
        <w:t>unterschiedliche Formulierung</w:t>
      </w:r>
      <w:r w:rsidR="00F93265">
        <w:t>en</w:t>
      </w:r>
      <w:r>
        <w:t xml:space="preserve"> nutzen, bestehen zwischen den Normen hinsichtlich des Schutzcharakters keine großen Unterschiede. Der in </w:t>
      </w:r>
      <w:r w:rsidR="005F5895">
        <w:t>§ </w:t>
      </w:r>
      <w:r>
        <w:t xml:space="preserve">203 StGB verwendete Geheimnisbegriff wird insbesondere im medizinischen Kontext so weit ausgelegt, dass </w:t>
      </w:r>
      <w:r w:rsidR="005F5895">
        <w:t>§ </w:t>
      </w:r>
      <w:r>
        <w:t xml:space="preserve">203 StGB ebenso umfassend schützt wie </w:t>
      </w:r>
      <w:r w:rsidR="005F5895">
        <w:t>§ </w:t>
      </w:r>
      <w:r>
        <w:t xml:space="preserve">9 MBO-Ä: Auch nach </w:t>
      </w:r>
      <w:r w:rsidR="005F5895">
        <w:t>§ </w:t>
      </w:r>
      <w:r>
        <w:t xml:space="preserve">203 </w:t>
      </w:r>
      <w:r w:rsidRPr="005F5895">
        <w:t xml:space="preserve">StGB </w:t>
      </w:r>
      <w:r>
        <w:t>ist der Umstand, „dass ein Patient einen Arzt, einen Psychologen oder einen Psychotherapeuten aufsucht, bereits ein Geheimnis“</w:t>
      </w:r>
      <w:r w:rsidR="00936A4E">
        <w:t>,</w:t>
      </w:r>
      <w:r>
        <w:rPr>
          <w:rStyle w:val="Funotenzeichen"/>
        </w:rPr>
        <w:footnoteReference w:id="48"/>
      </w:r>
      <w:r w:rsidR="00936A4E">
        <w:t xml:space="preserve"> was auch </w:t>
      </w:r>
      <w:r w:rsidR="00936A4E" w:rsidRPr="00936A4E">
        <w:t>für eine Aufnahme in</w:t>
      </w:r>
      <w:r w:rsidR="00936A4E">
        <w:t xml:space="preserve"> ein</w:t>
      </w:r>
      <w:r w:rsidR="00936A4E" w:rsidRPr="00936A4E">
        <w:t xml:space="preserve"> Krankenhaus</w:t>
      </w:r>
      <w:r w:rsidR="00936A4E">
        <w:t xml:space="preserve"> </w:t>
      </w:r>
      <w:r w:rsidR="00D71A87" w:rsidRPr="00D71A87">
        <w:t xml:space="preserve">oder für eine ambulante Behandlung in einer Praxis </w:t>
      </w:r>
      <w:r w:rsidR="00936A4E">
        <w:t>gilt.</w:t>
      </w:r>
    </w:p>
    <w:p w14:paraId="54F2E9A7" w14:textId="603834C7" w:rsidR="00936A4E" w:rsidRDefault="00936A4E" w:rsidP="00410D8B">
      <w:pPr>
        <w:spacing w:after="0"/>
      </w:pPr>
      <w:r>
        <w:t>Erlegen</w:t>
      </w:r>
      <w:r w:rsidRPr="00936A4E">
        <w:t xml:space="preserve"> </w:t>
      </w:r>
      <w:r>
        <w:t xml:space="preserve">gesetzliche Vorschriften einem Arzt </w:t>
      </w:r>
      <w:r w:rsidRPr="00936A4E">
        <w:t>eine Melde- oder Auskunftspflicht</w:t>
      </w:r>
      <w:r>
        <w:t xml:space="preserve"> auf, so ist der Arzt zur </w:t>
      </w:r>
      <w:r w:rsidRPr="00936A4E">
        <w:t>Offenbarung des Patientengeheimnisses</w:t>
      </w:r>
      <w:r>
        <w:t xml:space="preserve"> befugt,</w:t>
      </w:r>
      <w:r>
        <w:rPr>
          <w:rStyle w:val="Funotenzeichen"/>
        </w:rPr>
        <w:footnoteReference w:id="49"/>
      </w:r>
      <w:r>
        <w:t xml:space="preserve"> Dabei ist es </w:t>
      </w:r>
      <w:r w:rsidR="00303763">
        <w:t>unerheblich</w:t>
      </w:r>
      <w:r w:rsidR="00721F98">
        <w:t xml:space="preserve">, ob die Erlaubnis sich aus Unions-, </w:t>
      </w:r>
      <w:r w:rsidR="00303763">
        <w:t>Bu</w:t>
      </w:r>
      <w:r w:rsidR="00721F98">
        <w:t xml:space="preserve">ndes- oder </w:t>
      </w:r>
      <w:r w:rsidR="00303763">
        <w:t>La</w:t>
      </w:r>
      <w:r w:rsidR="00721F98">
        <w:t>ndesrecht ableitet</w:t>
      </w:r>
      <w:r>
        <w:t xml:space="preserve">: Mit einem gesetzlichen Erlaubnistatbestand zur Offenbarung kann keine </w:t>
      </w:r>
      <w:r w:rsidR="00721F98">
        <w:t>unbefugte Offenbarung vor</w:t>
      </w:r>
      <w:r>
        <w:t>liegen</w:t>
      </w:r>
      <w:r w:rsidR="00721F98">
        <w:t xml:space="preserve">. Zu beachten ist jedoch, </w:t>
      </w:r>
      <w:r w:rsidR="00721F98" w:rsidRPr="005F5895">
        <w:t>dass</w:t>
      </w:r>
      <w:r w:rsidR="00721F98">
        <w:t xml:space="preserve"> </w:t>
      </w:r>
    </w:p>
    <w:p w14:paraId="17DCFED7" w14:textId="6D0863E9" w:rsidR="00936A4E" w:rsidRDefault="00936A4E">
      <w:pPr>
        <w:pStyle w:val="Listenabsatz"/>
        <w:numPr>
          <w:ilvl w:val="0"/>
          <w:numId w:val="33"/>
        </w:numPr>
      </w:pPr>
      <w:r w:rsidRPr="005F5895">
        <w:t>in</w:t>
      </w:r>
      <w:r>
        <w:t xml:space="preserve"> untergesetzlichen Rechtsnormen, wie sie beispielsweise auch die jeweilige Landesberufsordnung für Ärzte darstellt, geregelte Auskunftspflichten nicht für eine Offenbarungsbefugnis ausreiche</w:t>
      </w:r>
      <w:r w:rsidR="00410D8B">
        <w:t>n</w:t>
      </w:r>
      <w:r w:rsidR="00410D8B" w:rsidRPr="005F5895">
        <w:t>;</w:t>
      </w:r>
      <w:r w:rsidRPr="005F5895">
        <w:rPr>
          <w:vertAlign w:val="superscript"/>
        </w:rPr>
        <w:fldChar w:fldCharType="begin"/>
      </w:r>
      <w:r w:rsidRPr="005F5895">
        <w:rPr>
          <w:vertAlign w:val="superscript"/>
        </w:rPr>
        <w:instrText xml:space="preserve"> NOTEREF _Ref163623038 \h  \* MERGEFORMAT </w:instrText>
      </w:r>
      <w:r w:rsidRPr="005F5895">
        <w:rPr>
          <w:vertAlign w:val="superscript"/>
        </w:rPr>
      </w:r>
      <w:r w:rsidRPr="005F5895">
        <w:rPr>
          <w:vertAlign w:val="superscript"/>
        </w:rPr>
        <w:fldChar w:fldCharType="separate"/>
      </w:r>
      <w:r w:rsidR="00F43608">
        <w:rPr>
          <w:vertAlign w:val="superscript"/>
        </w:rPr>
        <w:t>83</w:t>
      </w:r>
      <w:r w:rsidRPr="005F5895">
        <w:rPr>
          <w:vertAlign w:val="superscript"/>
        </w:rPr>
        <w:fldChar w:fldCharType="end"/>
      </w:r>
      <w:r>
        <w:t xml:space="preserve"> </w:t>
      </w:r>
      <w:r w:rsidR="00410D8B">
        <w:t>das BVerfG beschrieb im sog. Volkszählungsurteil</w:t>
      </w:r>
      <w:r w:rsidR="00410D8B">
        <w:rPr>
          <w:rStyle w:val="Funotenzeichen"/>
        </w:rPr>
        <w:footnoteReference w:id="50"/>
      </w:r>
      <w:r w:rsidR="00410D8B">
        <w:t xml:space="preserve"> die Voraussetzung </w:t>
      </w:r>
      <w:r w:rsidR="00410D8B" w:rsidRPr="00410D8B">
        <w:t>einer verfassungsgemäßen gesetzlichen Grundlage, die dem rechtsstaatlichen Gebot der Normenklarheit entsprechen mu</w:t>
      </w:r>
      <w:r w:rsidR="00410D8B">
        <w:t>ss;</w:t>
      </w:r>
    </w:p>
    <w:p w14:paraId="733F3DBE" w14:textId="0BC6E87A" w:rsidR="00721F98" w:rsidRPr="000E339C" w:rsidRDefault="00D5770A">
      <w:pPr>
        <w:pStyle w:val="Listenabsatz"/>
        <w:numPr>
          <w:ilvl w:val="0"/>
          <w:numId w:val="33"/>
        </w:numPr>
      </w:pPr>
      <w:r w:rsidRPr="005F5895">
        <w:t>weiterhin</w:t>
      </w:r>
      <w:r>
        <w:t xml:space="preserve"> </w:t>
      </w:r>
      <w:r w:rsidR="00F43608">
        <w:t xml:space="preserve">muss </w:t>
      </w:r>
      <w:r>
        <w:t xml:space="preserve">darauf geachtet werden, dass </w:t>
      </w:r>
      <w:r w:rsidR="00721F98">
        <w:t xml:space="preserve">die </w:t>
      </w:r>
      <w:r>
        <w:t xml:space="preserve">entsprechende </w:t>
      </w:r>
      <w:r w:rsidR="00721F98">
        <w:t xml:space="preserve">Regelung </w:t>
      </w:r>
      <w:r>
        <w:t xml:space="preserve">zur Schweigepflicht in </w:t>
      </w:r>
      <w:r w:rsidR="00721F98">
        <w:t>der jeweiligen Landesberufsordnung i. d. R. die Pflicht</w:t>
      </w:r>
      <w:r>
        <w:t xml:space="preserve"> enth</w:t>
      </w:r>
      <w:r w:rsidR="00F93265">
        <w:t>ä</w:t>
      </w:r>
      <w:r>
        <w:t>lt</w:t>
      </w:r>
      <w:r w:rsidR="00721F98">
        <w:t xml:space="preserve">, über eine Einschränkung der ärztlichen Schweigepflicht die jeweiligen Patienten </w:t>
      </w:r>
      <w:r>
        <w:t xml:space="preserve">zu </w:t>
      </w:r>
      <w:r w:rsidR="00721F98">
        <w:t>unterrichten.</w:t>
      </w:r>
    </w:p>
    <w:p w14:paraId="3E579717" w14:textId="053BA9F6" w:rsidR="00F446CC" w:rsidRDefault="00F446CC" w:rsidP="00F446CC">
      <w:pPr>
        <w:pStyle w:val="berschrift3"/>
      </w:pPr>
      <w:bookmarkStart w:id="139" w:name="_Toc169934814"/>
      <w:r>
        <w:t>Sonderfall</w:t>
      </w:r>
      <w:r w:rsidR="00303763">
        <w:t>:</w:t>
      </w:r>
      <w:r>
        <w:t xml:space="preserve"> Qualitätssicherung und </w:t>
      </w:r>
      <w:r w:rsidRPr="008402ED">
        <w:t>Sozialversicherung</w:t>
      </w:r>
      <w:bookmarkEnd w:id="139"/>
    </w:p>
    <w:p w14:paraId="28B38803" w14:textId="5B40DCA3" w:rsidR="00F446CC" w:rsidRPr="008402ED" w:rsidRDefault="00F446CC" w:rsidP="00F446CC">
      <w:r>
        <w:t xml:space="preserve">Aus der sich aus </w:t>
      </w:r>
      <w:r w:rsidR="005F5895">
        <w:t>Art. </w:t>
      </w:r>
      <w:r w:rsidRPr="008402ED">
        <w:t xml:space="preserve">74 </w:t>
      </w:r>
      <w:r w:rsidR="005F5895">
        <w:t>Abs. </w:t>
      </w:r>
      <w:r w:rsidRPr="008402ED">
        <w:t xml:space="preserve">1 </w:t>
      </w:r>
      <w:r w:rsidR="005F5895">
        <w:t>Nr. </w:t>
      </w:r>
      <w:r>
        <w:t>12</w:t>
      </w:r>
      <w:r w:rsidRPr="008402ED">
        <w:t xml:space="preserve"> GG</w:t>
      </w:r>
      <w:r>
        <w:t xml:space="preserve"> resultierenden Kompetenz zur Regelung der </w:t>
      </w:r>
      <w:r w:rsidRPr="008402ED">
        <w:t>Sozialversicherung</w:t>
      </w:r>
      <w:r>
        <w:t xml:space="preserve">, </w:t>
      </w:r>
      <w:r w:rsidRPr="008402ED">
        <w:t>auf de</w:t>
      </w:r>
      <w:r w:rsidR="00F93265">
        <w:t>r</w:t>
      </w:r>
      <w:r w:rsidRPr="008402ED">
        <w:t>en Grundlage das SGB V beruht</w:t>
      </w:r>
      <w:r>
        <w:t xml:space="preserve">, können insbesondere Vorgaben zur Qualitätssicherung der medizinischen Versorgung seitens des Bundesgesetzgebers abgeleitet werden, allerdings darf auch unter </w:t>
      </w:r>
      <w:r w:rsidRPr="008402ED">
        <w:t>Bezugnahme</w:t>
      </w:r>
      <w:r>
        <w:t xml:space="preserve"> auf diese Regelungskompetenz die </w:t>
      </w:r>
      <w:r w:rsidRPr="008402ED">
        <w:t xml:space="preserve">planungsrechtliche Kompetenz der Länder im Krankenhauswesen </w:t>
      </w:r>
      <w:r>
        <w:t xml:space="preserve">durch den Bundesgesetzgeber </w:t>
      </w:r>
      <w:r w:rsidRPr="008402ED">
        <w:t>nicht angetastet</w:t>
      </w:r>
      <w:r>
        <w:t xml:space="preserve"> werden; den Ländern muss die inhaltliche Ausgestaltung </w:t>
      </w:r>
      <w:r w:rsidRPr="004139AA">
        <w:t>de</w:t>
      </w:r>
      <w:r w:rsidR="004139AA" w:rsidRPr="004139AA">
        <w:t>r</w:t>
      </w:r>
      <w:r w:rsidRPr="004139AA">
        <w:t xml:space="preserve"> bundesgesetzlichen Vorgaben</w:t>
      </w:r>
      <w:r>
        <w:t xml:space="preserve"> ermöglicht werden.</w:t>
      </w:r>
    </w:p>
    <w:p w14:paraId="1A3F768C" w14:textId="16982177" w:rsidR="00F446CC" w:rsidRDefault="00F446CC" w:rsidP="00F446CC">
      <w:pPr>
        <w:pStyle w:val="berschrift3"/>
      </w:pPr>
      <w:bookmarkStart w:id="140" w:name="_Toc169934815"/>
      <w:r>
        <w:t>Sonderfall</w:t>
      </w:r>
      <w:r w:rsidR="00303763">
        <w:t>:</w:t>
      </w:r>
      <w:r>
        <w:t xml:space="preserve"> </w:t>
      </w:r>
      <w:r w:rsidRPr="00F446CC">
        <w:t>wissenschaftliche Forschung</w:t>
      </w:r>
      <w:bookmarkEnd w:id="140"/>
    </w:p>
    <w:p w14:paraId="6531F40E" w14:textId="33DFA750" w:rsidR="00F446CC" w:rsidRDefault="00F446CC" w:rsidP="00F446CC">
      <w:r>
        <w:t xml:space="preserve">Entsprechend </w:t>
      </w:r>
      <w:r w:rsidR="005F5895">
        <w:t>Art. </w:t>
      </w:r>
      <w:r w:rsidRPr="00823FB3">
        <w:t xml:space="preserve">74 </w:t>
      </w:r>
      <w:r w:rsidR="005F5895">
        <w:t>Abs. </w:t>
      </w:r>
      <w:r w:rsidRPr="00823FB3">
        <w:t xml:space="preserve">1 </w:t>
      </w:r>
      <w:r w:rsidR="005F5895">
        <w:t>Nr. </w:t>
      </w:r>
      <w:r>
        <w:t>13</w:t>
      </w:r>
      <w:r w:rsidRPr="00823FB3">
        <w:t xml:space="preserve"> </w:t>
      </w:r>
      <w:r>
        <w:t xml:space="preserve">GG existiert auch bzgl. der </w:t>
      </w:r>
      <w:r w:rsidRPr="00F446CC">
        <w:t>Förderung der wissenschaftlichen Forschung</w:t>
      </w:r>
      <w:r>
        <w:t xml:space="preserve"> e</w:t>
      </w:r>
      <w:r w:rsidRPr="00823FB3">
        <w:t>ine konkurrierende Zuständigkeit</w:t>
      </w:r>
      <w:r>
        <w:t xml:space="preserve"> von Bund- und Landesgesetzgeber, wobei „Forschung“ i. S. d. </w:t>
      </w:r>
      <w:r w:rsidR="005F5895">
        <w:t>Art. </w:t>
      </w:r>
      <w:r w:rsidRPr="00F446CC">
        <w:t xml:space="preserve">5 </w:t>
      </w:r>
      <w:r w:rsidR="005F5895">
        <w:t>Abs. </w:t>
      </w:r>
      <w:r w:rsidRPr="00F446CC">
        <w:t>3</w:t>
      </w:r>
      <w:r>
        <w:t xml:space="preserve"> GG zu verstehen ist. Entsprechend dem „</w:t>
      </w:r>
      <w:r w:rsidRPr="005F5895">
        <w:t>Hochschul-Urteil</w:t>
      </w:r>
      <w:r>
        <w:t>“ des BVerfG</w:t>
      </w:r>
      <w:r>
        <w:rPr>
          <w:rStyle w:val="Funotenzeichen"/>
        </w:rPr>
        <w:footnoteReference w:id="51"/>
      </w:r>
      <w:r>
        <w:t xml:space="preserve"> wird unter </w:t>
      </w:r>
      <w:r w:rsidRPr="00F446CC">
        <w:t>wissenschaftliche Tätigkeit</w:t>
      </w:r>
      <w:r>
        <w:t xml:space="preserve"> „</w:t>
      </w:r>
      <w:r w:rsidRPr="00F446CC">
        <w:t>alles, was nach Inhalt und Form als ernsthafter planmäßiger Versuch zur Ermittlung der Wahrheit anzusehen ist</w:t>
      </w:r>
      <w:r>
        <w:t>“, verstanden</w:t>
      </w:r>
      <w:r w:rsidRPr="00F446CC">
        <w:t>.</w:t>
      </w:r>
      <w:r>
        <w:t xml:space="preserve"> </w:t>
      </w:r>
      <w:r w:rsidR="005F5895">
        <w:t>Art. </w:t>
      </w:r>
      <w:r>
        <w:t xml:space="preserve">5 </w:t>
      </w:r>
      <w:r w:rsidR="005F5895">
        <w:t>Abs. </w:t>
      </w:r>
      <w:r>
        <w:t xml:space="preserve">3 GG ist bzgl. Forschung entsprechend der Rechtsprechung des BVerfG </w:t>
      </w:r>
      <w:r w:rsidRPr="00F446CC">
        <w:t>als "die geistige Tätigkeit mit dem Ziele, in methodischer, systematischer und nachprüfbarer Weise neue Erkenntnisse zu gewinnen"</w:t>
      </w:r>
      <w:r>
        <w:t xml:space="preserve"> auszulegen.</w:t>
      </w:r>
    </w:p>
    <w:p w14:paraId="4DBFF769" w14:textId="72C25B62" w:rsidR="004139AA" w:rsidRDefault="00640CEA" w:rsidP="00F446CC">
      <w:r>
        <w:t>Die Gesetzgebungskompetenz d</w:t>
      </w:r>
      <w:r w:rsidR="004139AA">
        <w:t>e</w:t>
      </w:r>
      <w:r>
        <w:t>s</w:t>
      </w:r>
      <w:r w:rsidR="004139AA">
        <w:t xml:space="preserve"> Bund</w:t>
      </w:r>
      <w:r>
        <w:t>es</w:t>
      </w:r>
      <w:r w:rsidR="004139AA">
        <w:t xml:space="preserve"> zur Förderung der wissenschaftlichen Forschung </w:t>
      </w:r>
      <w:r>
        <w:t>ist durch die Vorgaben des GG begrenzt</w:t>
      </w:r>
      <w:r w:rsidR="004139AA">
        <w:t xml:space="preserve">. Im </w:t>
      </w:r>
      <w:r>
        <w:t>Bereich</w:t>
      </w:r>
      <w:r w:rsidR="004139AA">
        <w:t xml:space="preserve"> </w:t>
      </w:r>
      <w:r w:rsidR="004139AA" w:rsidRPr="004139AA">
        <w:t xml:space="preserve">der universitären Forschung </w:t>
      </w:r>
      <w:r w:rsidR="004139AA">
        <w:t xml:space="preserve">beschränkt sich </w:t>
      </w:r>
      <w:r w:rsidR="004139AA" w:rsidRPr="004139AA">
        <w:t xml:space="preserve">die </w:t>
      </w:r>
      <w:r>
        <w:t xml:space="preserve">Kompetenz </w:t>
      </w:r>
      <w:r w:rsidR="004139AA" w:rsidRPr="004139AA">
        <w:t>de</w:t>
      </w:r>
      <w:r>
        <w:t>s</w:t>
      </w:r>
      <w:r w:rsidR="004139AA" w:rsidRPr="004139AA">
        <w:t xml:space="preserve"> Bund</w:t>
      </w:r>
      <w:r>
        <w:t>es</w:t>
      </w:r>
      <w:r w:rsidR="004139AA" w:rsidRPr="004139AA">
        <w:t xml:space="preserve"> nach </w:t>
      </w:r>
      <w:r w:rsidR="005F5895">
        <w:t>Art. </w:t>
      </w:r>
      <w:r w:rsidR="004139AA" w:rsidRPr="00823FB3">
        <w:t xml:space="preserve">74 </w:t>
      </w:r>
      <w:r w:rsidR="005F5895">
        <w:t>Abs. </w:t>
      </w:r>
      <w:r w:rsidR="004139AA" w:rsidRPr="00823FB3">
        <w:t xml:space="preserve">1 </w:t>
      </w:r>
      <w:r w:rsidR="005F5895">
        <w:t>Nr. </w:t>
      </w:r>
      <w:r w:rsidR="004139AA">
        <w:t>33</w:t>
      </w:r>
      <w:r w:rsidR="004139AA" w:rsidRPr="00823FB3">
        <w:t xml:space="preserve"> </w:t>
      </w:r>
      <w:r w:rsidR="004139AA">
        <w:t>GG</w:t>
      </w:r>
      <w:r w:rsidR="004139AA" w:rsidRPr="004139AA">
        <w:t xml:space="preserve"> eingeräumte Kompetenz auf Regelungen der Hochschulzulassung und der Hochschulabschlüsse, von denen die Länder gem. </w:t>
      </w:r>
      <w:r w:rsidR="005F5895">
        <w:t>Art. </w:t>
      </w:r>
      <w:r w:rsidR="004139AA" w:rsidRPr="004139AA">
        <w:t xml:space="preserve">72 </w:t>
      </w:r>
      <w:r w:rsidR="005F5895">
        <w:t>Abs. </w:t>
      </w:r>
      <w:r w:rsidR="004139AA" w:rsidRPr="004139AA">
        <w:t xml:space="preserve">3 </w:t>
      </w:r>
      <w:r w:rsidR="004139AA">
        <w:t xml:space="preserve">GG </w:t>
      </w:r>
      <w:r w:rsidR="004139AA" w:rsidRPr="004139AA">
        <w:t>abweichen können</w:t>
      </w:r>
      <w:r w:rsidR="004139AA">
        <w:t>.</w:t>
      </w:r>
      <w:r w:rsidR="004139AA">
        <w:rPr>
          <w:rStyle w:val="Funotenzeichen"/>
        </w:rPr>
        <w:footnoteReference w:id="52"/>
      </w:r>
      <w:r w:rsidR="004139AA">
        <w:t xml:space="preserve"> Die Regelungen </w:t>
      </w:r>
      <w:r>
        <w:t>der</w:t>
      </w:r>
      <w:r w:rsidR="004139AA">
        <w:t xml:space="preserve"> universitäre</w:t>
      </w:r>
      <w:r w:rsidR="00F93265">
        <w:t>n</w:t>
      </w:r>
      <w:r w:rsidR="004139AA">
        <w:t xml:space="preserve"> Forschung selbst </w:t>
      </w:r>
      <w:r>
        <w:t xml:space="preserve">ist Sache der </w:t>
      </w:r>
      <w:r w:rsidR="004139AA">
        <w:t>Länder, nicht de</w:t>
      </w:r>
      <w:r>
        <w:t>s</w:t>
      </w:r>
      <w:r w:rsidR="004139AA">
        <w:t xml:space="preserve"> Bund</w:t>
      </w:r>
      <w:r>
        <w:t>es</w:t>
      </w:r>
      <w:r w:rsidR="004139AA">
        <w:t>.</w:t>
      </w:r>
    </w:p>
    <w:p w14:paraId="186D9020" w14:textId="451C49F3" w:rsidR="004139AA" w:rsidRDefault="004139AA" w:rsidP="00F446CC">
      <w:r>
        <w:t xml:space="preserve">Gleichermaßen liegt die Kompetenz zur Regelung der Nutzung </w:t>
      </w:r>
      <w:r w:rsidRPr="004139AA">
        <w:t>von zur Patientenversorgung erhobenen personenbezogenen Daten</w:t>
      </w:r>
      <w:r>
        <w:t xml:space="preserve"> (sog. „Sekundärnutzung“) bei den jeweiligen Ländern, die von dieser Regelungskompetenz in den jeweiligen Landeskrankenhausgesetzen Gebrauch </w:t>
      </w:r>
      <w:r w:rsidR="00640CEA">
        <w:t>ge</w:t>
      </w:r>
      <w:r>
        <w:t>macht</w:t>
      </w:r>
      <w:r w:rsidR="00640CEA">
        <w:t xml:space="preserve"> hab</w:t>
      </w:r>
      <w:r>
        <w:t>en.</w:t>
      </w:r>
    </w:p>
    <w:p w14:paraId="21908C3F" w14:textId="3DD0C3B0" w:rsidR="004139AA" w:rsidRPr="00F446CC" w:rsidRDefault="004139AA" w:rsidP="00F446CC">
      <w:r>
        <w:t xml:space="preserve">Eine Regelungskompetenz des Bundes kann sich nur </w:t>
      </w:r>
      <w:r w:rsidR="00640CEA">
        <w:t>aus</w:t>
      </w:r>
      <w:r>
        <w:t xml:space="preserve"> </w:t>
      </w:r>
      <w:r w:rsidR="005F5895">
        <w:t>Art. </w:t>
      </w:r>
      <w:r>
        <w:t xml:space="preserve">74 </w:t>
      </w:r>
      <w:r w:rsidR="005F5895">
        <w:t>Abs. </w:t>
      </w:r>
      <w:r>
        <w:t xml:space="preserve">2 GG ergeben. Zu den </w:t>
      </w:r>
      <w:r w:rsidR="00640CEA">
        <w:t>Voraussetzungen</w:t>
      </w:r>
      <w:r>
        <w:t xml:space="preserve">, </w:t>
      </w:r>
      <w:r w:rsidR="00640CEA">
        <w:t>unter denen</w:t>
      </w:r>
      <w:r>
        <w:t xml:space="preserve"> der Bund </w:t>
      </w:r>
      <w:r w:rsidR="005F5895">
        <w:t>Art. </w:t>
      </w:r>
      <w:r>
        <w:t xml:space="preserve">74 </w:t>
      </w:r>
      <w:r w:rsidR="005F5895">
        <w:t>Abs. </w:t>
      </w:r>
      <w:r>
        <w:t xml:space="preserve">2 GG anwenden kann, siehe oben im Abschnitt </w:t>
      </w:r>
      <w:r>
        <w:fldChar w:fldCharType="begin"/>
      </w:r>
      <w:r>
        <w:instrText xml:space="preserve"> REF _Ref162695738 \r \h </w:instrText>
      </w:r>
      <w:r>
        <w:fldChar w:fldCharType="separate"/>
      </w:r>
      <w:r w:rsidR="00F43608">
        <w:t>6.6</w:t>
      </w:r>
      <w:r>
        <w:fldChar w:fldCharType="end"/>
      </w:r>
      <w:r>
        <w:t>.</w:t>
      </w:r>
    </w:p>
    <w:p w14:paraId="0B1DF43C" w14:textId="4C3F3B74" w:rsidR="00823FB3" w:rsidRDefault="004139AA" w:rsidP="00687085">
      <w:r>
        <w:t xml:space="preserve">Allerdings können Bund und Länder entsprechend </w:t>
      </w:r>
      <w:r w:rsidR="005F5895">
        <w:t>Art. </w:t>
      </w:r>
      <w:r>
        <w:t xml:space="preserve">91b GG </w:t>
      </w:r>
      <w:r w:rsidRPr="00312684">
        <w:t>auf</w:t>
      </w:r>
      <w:r w:rsidR="00312684" w:rsidRPr="00312684">
        <w:t>g</w:t>
      </w:r>
      <w:r w:rsidRPr="00312684">
        <w:t>rund</w:t>
      </w:r>
      <w:r w:rsidRPr="004139AA">
        <w:t xml:space="preserve"> von Vereinbarungen in Fällen überregionaler Bedeutung bei der Förderung von Wissenschaft, Forschung und Lehre zusammenwirke</w:t>
      </w:r>
      <w:r>
        <w:t>n, d. h. B</w:t>
      </w:r>
      <w:r w:rsidRPr="004139AA">
        <w:t xml:space="preserve">und und Länder </w:t>
      </w:r>
      <w:r>
        <w:t xml:space="preserve">können </w:t>
      </w:r>
      <w:r w:rsidRPr="004139AA">
        <w:t>bei der Planung und Finanzierung von überregional bedeutsamen Förderungsvorhaben auf den Gebieten von Wissenschaft, Forschung und Lehre</w:t>
      </w:r>
      <w:r>
        <w:t xml:space="preserve"> gemeinsam tätig werden. Allerdings stellen entsprechende Vereinbarungen keine Erlaubnisnorm zur Forschung </w:t>
      </w:r>
      <w:r w:rsidRPr="004139AA">
        <w:t>i.</w:t>
      </w:r>
      <w:r>
        <w:t> </w:t>
      </w:r>
      <w:r w:rsidRPr="004139AA">
        <w:t>S.</w:t>
      </w:r>
      <w:r>
        <w:t> </w:t>
      </w:r>
      <w:r w:rsidRPr="004139AA">
        <w:t>d</w:t>
      </w:r>
      <w:r>
        <w:t>.</w:t>
      </w:r>
      <w:r w:rsidRPr="004139AA">
        <w:t xml:space="preserve"> </w:t>
      </w:r>
      <w:r w:rsidR="005F5895">
        <w:t>Art. </w:t>
      </w:r>
      <w:r w:rsidRPr="004139AA">
        <w:t xml:space="preserve">74 </w:t>
      </w:r>
      <w:r w:rsidR="005F5895">
        <w:t>Abs. </w:t>
      </w:r>
      <w:r w:rsidRPr="004139AA">
        <w:t xml:space="preserve">1 </w:t>
      </w:r>
      <w:r w:rsidR="005F5895">
        <w:t>Nr. </w:t>
      </w:r>
      <w:r w:rsidRPr="004139AA">
        <w:t>13 GG</w:t>
      </w:r>
      <w:r>
        <w:t xml:space="preserve"> dar.</w:t>
      </w:r>
    </w:p>
    <w:p w14:paraId="0E5668B5" w14:textId="07F7D858" w:rsidR="00A34CDF" w:rsidRDefault="00A34CDF" w:rsidP="00A34CDF">
      <w:pPr>
        <w:pStyle w:val="berschrift2"/>
      </w:pPr>
      <w:bookmarkStart w:id="141" w:name="_Ref165877037"/>
      <w:bookmarkStart w:id="142" w:name="_Toc169934816"/>
      <w:r>
        <w:t>Deutsches Kirchenrecht</w:t>
      </w:r>
      <w:bookmarkEnd w:id="141"/>
      <w:bookmarkEnd w:id="142"/>
    </w:p>
    <w:p w14:paraId="71337502" w14:textId="7BA9023D" w:rsidR="00A34CDF" w:rsidRDefault="00A34CDF" w:rsidP="00A34CDF">
      <w:pPr>
        <w:spacing w:after="0"/>
      </w:pPr>
      <w:r>
        <w:t xml:space="preserve">Nach </w:t>
      </w:r>
      <w:r w:rsidR="005F5895">
        <w:t>Art. </w:t>
      </w:r>
      <w:r>
        <w:t>140 GG sind d</w:t>
      </w:r>
      <w:r w:rsidRPr="00A34CDF">
        <w:t xml:space="preserve">ie Bestimmungen der Artikel 136, 137, 138, 139 und 141 der deutschen Verfassung vom 11. August 1919 </w:t>
      </w:r>
      <w:r>
        <w:t>(„Weimarer Verfassung“)</w:t>
      </w:r>
      <w:r w:rsidRPr="00A34CDF">
        <w:t xml:space="preserve"> Bestandteil </w:t>
      </w:r>
      <w:r>
        <w:t>des GG</w:t>
      </w:r>
      <w:r w:rsidRPr="00A34CDF">
        <w:t>.</w:t>
      </w:r>
      <w:r>
        <w:t xml:space="preserve"> In </w:t>
      </w:r>
      <w:r w:rsidR="005F5895">
        <w:t>Art. </w:t>
      </w:r>
      <w:r>
        <w:t xml:space="preserve">137 der </w:t>
      </w:r>
      <w:r w:rsidRPr="00A34CDF">
        <w:t xml:space="preserve">Weimarer Verfassung </w:t>
      </w:r>
      <w:r>
        <w:t>findet sich eine Regelung zur Kirche:</w:t>
      </w:r>
    </w:p>
    <w:p w14:paraId="203C8778" w14:textId="156B2594" w:rsidR="00A34CDF" w:rsidRDefault="00A34CDF">
      <w:pPr>
        <w:pStyle w:val="Listenabsatz"/>
        <w:numPr>
          <w:ilvl w:val="0"/>
          <w:numId w:val="35"/>
        </w:numPr>
      </w:pPr>
      <w:r>
        <w:t>Es besteht keine Staatskirche.</w:t>
      </w:r>
    </w:p>
    <w:p w14:paraId="3DAA7BD4" w14:textId="386FDB92" w:rsidR="00A34CDF" w:rsidRDefault="00A34CDF">
      <w:pPr>
        <w:pStyle w:val="Listenabsatz"/>
        <w:numPr>
          <w:ilvl w:val="0"/>
          <w:numId w:val="35"/>
        </w:numPr>
      </w:pPr>
      <w:r>
        <w:t xml:space="preserve">Die Freiheit der Vereinigung zu Religionsgesellschaften wird gewährleistet. Der </w:t>
      </w:r>
      <w:r w:rsidRPr="005F5895">
        <w:t>Zusammenschlu</w:t>
      </w:r>
      <w:r w:rsidR="00EB2DFF">
        <w:t>ss</w:t>
      </w:r>
      <w:r>
        <w:t xml:space="preserve"> von Religionsgesellschaften innerhalb des Reichsgebiets unterliegt keinen Beschränkungen.</w:t>
      </w:r>
    </w:p>
    <w:p w14:paraId="26EDD751" w14:textId="7EA30B39" w:rsidR="00A34CDF" w:rsidRDefault="00A34CDF">
      <w:pPr>
        <w:pStyle w:val="Listenabsatz"/>
        <w:numPr>
          <w:ilvl w:val="0"/>
          <w:numId w:val="35"/>
        </w:numPr>
      </w:pPr>
      <w:r>
        <w:t xml:space="preserve">Jede Religionsgesellschaft ordnet und verwaltet ihre Angelegenheiten </w:t>
      </w:r>
      <w:r w:rsidRPr="005F5895">
        <w:t>selbständig</w:t>
      </w:r>
      <w:r>
        <w:t xml:space="preserve"> innerhalb der Schranken des für alle geltenden Gesetzes. Sie verleiht ihre Ämter ohne Mitwirkung des Staates oder der bürgerlichen Gemeinde.</w:t>
      </w:r>
    </w:p>
    <w:p w14:paraId="39A7C095" w14:textId="4AB03CF9" w:rsidR="00A34CDF" w:rsidRDefault="00A34CDF">
      <w:pPr>
        <w:pStyle w:val="Listenabsatz"/>
        <w:numPr>
          <w:ilvl w:val="0"/>
          <w:numId w:val="35"/>
        </w:numPr>
      </w:pPr>
      <w:r>
        <w:t>Religionsgesellschaften erwerben die Rechtsfähigkeit nach den allgemeinen Vorschriften des bürgerlichen Rechtes.</w:t>
      </w:r>
    </w:p>
    <w:p w14:paraId="0DF1CB33" w14:textId="1894A3D6" w:rsidR="00A34CDF" w:rsidRDefault="00A34CDF">
      <w:pPr>
        <w:pStyle w:val="Listenabsatz"/>
        <w:numPr>
          <w:ilvl w:val="0"/>
          <w:numId w:val="35"/>
        </w:numPr>
      </w:pPr>
      <w:r>
        <w:t>Die Religionsgesellschaften bleiben Körperschaften des öffentlichen Rechtes, soweit sie solche bisher waren. Anderen Religionsgesellschaften sind auf ihren Antrag gleiche Rechte zu gewähren, wenn sie durch ihre Verfassung und die Zahl ihrer Mitglieder die Gewähr der Dauer bieten. Schließen sich mehrere derartige öffentlich-rechtliche Religionsgesellschaften zu einem Verband zusammen, so ist auch dieser Verband eine öffentlich-rechtliche Körperschaft.</w:t>
      </w:r>
    </w:p>
    <w:p w14:paraId="54EF29B4" w14:textId="77777777" w:rsidR="00A34CDF" w:rsidRDefault="00A34CDF">
      <w:pPr>
        <w:pStyle w:val="Listenabsatz"/>
        <w:numPr>
          <w:ilvl w:val="0"/>
          <w:numId w:val="35"/>
        </w:numPr>
      </w:pPr>
      <w:r>
        <w:t xml:space="preserve">Die Religionsgesellschaften, welche Körperschaften des öffentlichen Rechtes sind, sind berechtigt, </w:t>
      </w:r>
      <w:r w:rsidRPr="005F5895">
        <w:t>auf Grund</w:t>
      </w:r>
      <w:r>
        <w:t xml:space="preserve"> der bürgerlichen Steuerlisten nach Maßgabe der landesrechtlichen Bestimmungen Steuern zu erheben.</w:t>
      </w:r>
    </w:p>
    <w:p w14:paraId="55EFAAA5" w14:textId="77777777" w:rsidR="00A34CDF" w:rsidRDefault="00A34CDF">
      <w:pPr>
        <w:pStyle w:val="Listenabsatz"/>
        <w:numPr>
          <w:ilvl w:val="0"/>
          <w:numId w:val="35"/>
        </w:numPr>
      </w:pPr>
      <w:r>
        <w:t>Den Religionsgesellschaften werden die Vereinigungen gleichgestellt, die sich die gemeinschaftliche Pflege einer Weltanschauung zur Aufgabe machen.</w:t>
      </w:r>
    </w:p>
    <w:p w14:paraId="620A370F" w14:textId="4438E681" w:rsidR="00A34CDF" w:rsidRDefault="00A34CDF">
      <w:pPr>
        <w:pStyle w:val="Listenabsatz"/>
        <w:numPr>
          <w:ilvl w:val="0"/>
          <w:numId w:val="35"/>
        </w:numPr>
      </w:pPr>
      <w:r>
        <w:t>Soweit die Durchführung dieser Bestimmungen eine weitere Regelung erfordert, liegt diese der Landesgesetzgebung ob.</w:t>
      </w:r>
    </w:p>
    <w:p w14:paraId="3AC860B7" w14:textId="4F9A00D8" w:rsidR="00A34CDF" w:rsidRDefault="005F5895" w:rsidP="00BF277A">
      <w:pPr>
        <w:spacing w:after="0"/>
      </w:pPr>
      <w:r>
        <w:t>Art. </w:t>
      </w:r>
      <w:r w:rsidR="00A34CDF">
        <w:t xml:space="preserve">140 GG i. V. m.  </w:t>
      </w:r>
      <w:r>
        <w:t>Art. </w:t>
      </w:r>
      <w:r w:rsidR="00A34CDF">
        <w:t xml:space="preserve">137 </w:t>
      </w:r>
      <w:r>
        <w:t>Abs. </w:t>
      </w:r>
      <w:r w:rsidR="00A34CDF">
        <w:t xml:space="preserve">3 S. 1 Weimarer Verfassung gewährt </w:t>
      </w:r>
      <w:r w:rsidR="00640CEA">
        <w:t xml:space="preserve">den </w:t>
      </w:r>
      <w:r w:rsidR="00A34CDF">
        <w:t xml:space="preserve">Kirchen und anderen Religionsgemeinschaften somit ein Selbstverwaltungsrecht in eigenen Angelegenheiten, wobei die Regelung in den Grenzen von </w:t>
      </w:r>
      <w:r>
        <w:t>Art. </w:t>
      </w:r>
      <w:r w:rsidR="00A34CDF">
        <w:t>4 GG betrachtet werden muss;</w:t>
      </w:r>
      <w:r w:rsidR="00A34CDF">
        <w:rPr>
          <w:rStyle w:val="Funotenzeichen"/>
        </w:rPr>
        <w:footnoteReference w:id="53"/>
      </w:r>
      <w:r w:rsidR="00A34CDF">
        <w:t xml:space="preserve"> </w:t>
      </w:r>
      <w:r>
        <w:t>Art. </w:t>
      </w:r>
      <w:r w:rsidR="00A34CDF" w:rsidRPr="003F73B8">
        <w:t>4</w:t>
      </w:r>
      <w:r w:rsidR="00A34CDF">
        <w:t xml:space="preserve"> GG enthält im Gegensatz zu </w:t>
      </w:r>
      <w:r>
        <w:t>Art. </w:t>
      </w:r>
      <w:r w:rsidR="00A34CDF" w:rsidRPr="003F73B8">
        <w:t>137</w:t>
      </w:r>
      <w:r w:rsidR="00A34CDF" w:rsidRPr="00A34CDF">
        <w:t xml:space="preserve"> </w:t>
      </w:r>
      <w:r>
        <w:t>Abs. </w:t>
      </w:r>
      <w:r w:rsidR="00A34CDF" w:rsidRPr="003F73B8">
        <w:t>3</w:t>
      </w:r>
      <w:r w:rsidR="00A34CDF" w:rsidRPr="00A34CDF">
        <w:t xml:space="preserve"> </w:t>
      </w:r>
      <w:r w:rsidR="00A34CDF">
        <w:t xml:space="preserve">Weimarer Verfassung </w:t>
      </w:r>
      <w:r w:rsidR="00A34CDF" w:rsidRPr="00A34CDF">
        <w:t>ein Grundrecht</w:t>
      </w:r>
      <w:r w:rsidR="00A34CDF">
        <w:t xml:space="preserve">. </w:t>
      </w:r>
      <w:r w:rsidR="00A34CDF" w:rsidRPr="00A34CDF">
        <w:t xml:space="preserve">Für die Abgrenzung der eigenen Angelegenheiten ist das Selbstverständnisses der jeweiligen </w:t>
      </w:r>
      <w:r w:rsidR="00640CEA">
        <w:t>Religion</w:t>
      </w:r>
      <w:r w:rsidR="00A34CDF" w:rsidRPr="00A34CDF">
        <w:t>sgemeinschaft zu berücksichtigen</w:t>
      </w:r>
      <w:r w:rsidR="00A34CDF">
        <w:t xml:space="preserve">. können </w:t>
      </w:r>
      <w:r w:rsidR="00640CEA">
        <w:t>Z</w:t>
      </w:r>
      <w:r w:rsidR="00A34CDF">
        <w:t xml:space="preserve">u den eigenen Angelegenheiten </w:t>
      </w:r>
      <w:r w:rsidR="00640CEA">
        <w:t xml:space="preserve">können nach der Rechtsprechung des </w:t>
      </w:r>
      <w:r w:rsidR="00640CEA" w:rsidRPr="00312684">
        <w:t>BVerfG</w:t>
      </w:r>
      <w:r w:rsidR="00640CEA">
        <w:t xml:space="preserve"> </w:t>
      </w:r>
      <w:r w:rsidR="00A34CDF">
        <w:t xml:space="preserve">u. a. </w:t>
      </w:r>
      <w:r w:rsidR="00A34CDF" w:rsidRPr="005F5895">
        <w:t>gehören</w:t>
      </w:r>
    </w:p>
    <w:p w14:paraId="0CC217FC" w14:textId="5AE567E4" w:rsidR="00A34CDF" w:rsidRDefault="00A34CDF" w:rsidP="00A34CDF">
      <w:pPr>
        <w:pStyle w:val="Listenabsatz"/>
        <w:numPr>
          <w:ilvl w:val="0"/>
          <w:numId w:val="18"/>
        </w:numPr>
      </w:pPr>
      <w:r>
        <w:t>A</w:t>
      </w:r>
      <w:r w:rsidRPr="00A34CDF">
        <w:t>rbeits- und dienstrechtliche Gestaltun</w:t>
      </w:r>
      <w:r>
        <w:t>g</w:t>
      </w:r>
      <w:r>
        <w:rPr>
          <w:rStyle w:val="Funotenzeichen"/>
        </w:rPr>
        <w:footnoteReference w:id="54"/>
      </w:r>
      <w:r>
        <w:t>,</w:t>
      </w:r>
    </w:p>
    <w:p w14:paraId="23050859" w14:textId="0E9CD665" w:rsidR="00A34CDF" w:rsidRDefault="00A34CDF" w:rsidP="00A34CDF">
      <w:pPr>
        <w:pStyle w:val="Listenabsatz"/>
        <w:numPr>
          <w:ilvl w:val="0"/>
          <w:numId w:val="18"/>
        </w:numPr>
      </w:pPr>
      <w:r w:rsidRPr="00A34CDF">
        <w:t>Berufsbildung im kirchlichen Dienst</w:t>
      </w:r>
      <w:r>
        <w:rPr>
          <w:rStyle w:val="Funotenzeichen"/>
        </w:rPr>
        <w:footnoteReference w:id="55"/>
      </w:r>
      <w:r>
        <w:t>,</w:t>
      </w:r>
    </w:p>
    <w:p w14:paraId="62F61DA5" w14:textId="403081FC" w:rsidR="00A34CDF" w:rsidRDefault="00A34CDF" w:rsidP="00A34CDF">
      <w:pPr>
        <w:pStyle w:val="Listenabsatz"/>
        <w:numPr>
          <w:ilvl w:val="0"/>
          <w:numId w:val="18"/>
        </w:numPr>
      </w:pPr>
      <w:r w:rsidRPr="00A34CDF">
        <w:t>Mitbestimmung und Personalvertretung</w:t>
      </w:r>
      <w:r>
        <w:rPr>
          <w:rStyle w:val="Funotenzeichen"/>
        </w:rPr>
        <w:footnoteReference w:id="56"/>
      </w:r>
      <w:r>
        <w:t>,</w:t>
      </w:r>
    </w:p>
    <w:p w14:paraId="6B7DA444" w14:textId="6F13E281" w:rsidR="00A34CDF" w:rsidRDefault="00A34CDF" w:rsidP="00A34CDF">
      <w:pPr>
        <w:pStyle w:val="Listenabsatz"/>
        <w:numPr>
          <w:ilvl w:val="0"/>
          <w:numId w:val="18"/>
        </w:numPr>
      </w:pPr>
      <w:r w:rsidRPr="00A34CDF">
        <w:t>Fragen der Mitgliedschaft</w:t>
      </w:r>
      <w:r>
        <w:rPr>
          <w:rStyle w:val="Funotenzeichen"/>
        </w:rPr>
        <w:footnoteReference w:id="57"/>
      </w:r>
      <w:r>
        <w:t>.</w:t>
      </w:r>
    </w:p>
    <w:p w14:paraId="3CB07201" w14:textId="643EF186" w:rsidR="00A34CDF" w:rsidRDefault="00A34CDF" w:rsidP="00A34CDF">
      <w:r>
        <w:t xml:space="preserve">Eine Grenze besteht bei </w:t>
      </w:r>
      <w:r w:rsidRPr="00A34CDF">
        <w:t>Beziehungen zu Personen, die nicht der Religionsgemeinschaft angehören bzw. zu ihr in keiner Sonderbeziehung stehen</w:t>
      </w:r>
      <w:r>
        <w:t xml:space="preserve">: Hier </w:t>
      </w:r>
      <w:r w:rsidRPr="00A34CDF">
        <w:t xml:space="preserve">handelt es sich </w:t>
      </w:r>
      <w:r>
        <w:t xml:space="preserve">grundsätzlich </w:t>
      </w:r>
      <w:r w:rsidRPr="00A34CDF">
        <w:t>um keine eigene</w:t>
      </w:r>
      <w:r>
        <w:t xml:space="preserve"> Angelegenheit einer Kirche.</w:t>
      </w:r>
      <w:r>
        <w:rPr>
          <w:rStyle w:val="Funotenzeichen"/>
        </w:rPr>
        <w:footnoteReference w:id="58"/>
      </w:r>
      <w:r>
        <w:t xml:space="preserve"> Eine weitere Grenze findet sich im Wortlaut von </w:t>
      </w:r>
      <w:r w:rsidR="005F5895">
        <w:t>Art. </w:t>
      </w:r>
      <w:r w:rsidRPr="00A34CDF">
        <w:t>137</w:t>
      </w:r>
      <w:r>
        <w:t xml:space="preserve"> </w:t>
      </w:r>
      <w:r w:rsidR="005F5895">
        <w:t>Abs. </w:t>
      </w:r>
      <w:r w:rsidRPr="00A34CDF">
        <w:t>3 S. 1 Weimarer Verfassung</w:t>
      </w:r>
      <w:r>
        <w:t xml:space="preserve">, wonach </w:t>
      </w:r>
      <w:r w:rsidRPr="003F73B8">
        <w:t>kirchliche Regelungen</w:t>
      </w:r>
      <w:r>
        <w:t xml:space="preserve"> „</w:t>
      </w:r>
      <w:r w:rsidRPr="00A34CDF">
        <w:t>innerhalb der Schranken des für alle geltenden Gesetzes</w:t>
      </w:r>
      <w:r>
        <w:t xml:space="preserve">“ erfolgen müssen. </w:t>
      </w:r>
      <w:r w:rsidRPr="00A34CDF">
        <w:t xml:space="preserve">Darunter fallen </w:t>
      </w:r>
      <w:r>
        <w:t>entsprechend der Rechtsprechung des BVerfG</w:t>
      </w:r>
      <w:r>
        <w:rPr>
          <w:rStyle w:val="Funotenzeichen"/>
        </w:rPr>
        <w:footnoteReference w:id="59"/>
      </w:r>
      <w:r>
        <w:t xml:space="preserve"> </w:t>
      </w:r>
      <w:r w:rsidRPr="00A34CDF">
        <w:t>alle Gesetze, die für die Religions- und Weltanschauungsgemeinschaften „dieselbe Bedeutung haben wie für jedermann“</w:t>
      </w:r>
      <w:r>
        <w:t>. Das BVerfG urteilte 1980, dass ggf. i</w:t>
      </w:r>
      <w:r w:rsidRPr="00A34CDF">
        <w:t>m Wege der Abwägung ein angemessenes Verhältnis zwischen</w:t>
      </w:r>
      <w:r>
        <w:t xml:space="preserve"> der aus </w:t>
      </w:r>
      <w:r w:rsidR="005F5895">
        <w:t>Art. </w:t>
      </w:r>
      <w:r w:rsidRPr="00A34CDF">
        <w:t xml:space="preserve">137 </w:t>
      </w:r>
      <w:r w:rsidR="005F5895">
        <w:t>Abs. </w:t>
      </w:r>
      <w:r w:rsidRPr="00A34CDF">
        <w:t>3 S.</w:t>
      </w:r>
      <w:r w:rsidR="003F73B8">
        <w:t> </w:t>
      </w:r>
      <w:r w:rsidRPr="00A34CDF">
        <w:t>1 Weimarer Verfassung,</w:t>
      </w:r>
      <w:r>
        <w:t xml:space="preserve"> </w:t>
      </w:r>
      <w:r w:rsidRPr="00312684">
        <w:t>resultierenden</w:t>
      </w:r>
      <w:r w:rsidRPr="00A34CDF">
        <w:t xml:space="preserve"> Kirchenfreiheit und mit dieser kollidierenden </w:t>
      </w:r>
      <w:r w:rsidR="003F73B8">
        <w:t xml:space="preserve">„für alle geltende“ </w:t>
      </w:r>
      <w:r>
        <w:t xml:space="preserve">Gesetze </w:t>
      </w:r>
      <w:r w:rsidRPr="00A34CDF">
        <w:t>her</w:t>
      </w:r>
      <w:r>
        <w:t>ge</w:t>
      </w:r>
      <w:r w:rsidRPr="00A34CDF">
        <w:t>stell</w:t>
      </w:r>
      <w:r>
        <w:t>t werden sollen</w:t>
      </w:r>
      <w:r w:rsidRPr="00A34CDF">
        <w:t>.</w:t>
      </w:r>
      <w:r>
        <w:rPr>
          <w:rStyle w:val="Funotenzeichen"/>
        </w:rPr>
        <w:footnoteReference w:id="60"/>
      </w:r>
    </w:p>
    <w:p w14:paraId="33B47BEA" w14:textId="6A5A74CD" w:rsidR="00BA35BC" w:rsidRDefault="00640CEA" w:rsidP="00BA35BC">
      <w:r>
        <w:t>Nach</w:t>
      </w:r>
      <w:r w:rsidR="006E7E53">
        <w:t xml:space="preserve"> </w:t>
      </w:r>
      <w:r w:rsidR="005F5895">
        <w:t>Art. </w:t>
      </w:r>
      <w:r w:rsidR="006E7E53">
        <w:t xml:space="preserve">17 </w:t>
      </w:r>
      <w:r w:rsidR="005F5895">
        <w:t>Abs. </w:t>
      </w:r>
      <w:r w:rsidR="006E7E53">
        <w:t xml:space="preserve">1 des </w:t>
      </w:r>
      <w:r w:rsidR="006E7E53" w:rsidRPr="006E7E53">
        <w:t>Vertrags über die Arbeitsweise der Europäischen Union</w:t>
      </w:r>
      <w:r w:rsidR="006E7E53">
        <w:t xml:space="preserve"> (AEUV)</w:t>
      </w:r>
      <w:r w:rsidR="006E7E53">
        <w:rPr>
          <w:rStyle w:val="Funotenzeichen"/>
        </w:rPr>
        <w:footnoteReference w:id="61"/>
      </w:r>
      <w:r w:rsidR="006E7E53">
        <w:t xml:space="preserve">  muss die Europäische Union </w:t>
      </w:r>
      <w:r w:rsidR="006E7E53" w:rsidRPr="006E7E53">
        <w:t>den Status, den Kirchen und religiöse Vereinigungen oder Gemeinschaften in den Mitgliedstaaten nach deren Rechtsvorschriften genießen,</w:t>
      </w:r>
      <w:r w:rsidR="006E7E53">
        <w:t xml:space="preserve"> achten und darf ihn nicht beeinträchtigen</w:t>
      </w:r>
      <w:r w:rsidR="006E7E53" w:rsidRPr="003F73B8">
        <w:t>.</w:t>
      </w:r>
      <w:r w:rsidR="00BA35BC">
        <w:t xml:space="preserve"> Im AEUV ist </w:t>
      </w:r>
      <w:r>
        <w:t>verpflichtend vereinbart</w:t>
      </w:r>
      <w:r w:rsidR="00BA35BC">
        <w:t xml:space="preserve">, dass </w:t>
      </w:r>
      <w:r w:rsidR="00BA35BC" w:rsidRPr="005F5895">
        <w:t>das europäische Recht vorrangiges Recht</w:t>
      </w:r>
      <w:r w:rsidR="00BA35BC">
        <w:t xml:space="preserve"> ist, was auch für Kirchenrecht gilt, welches nicht </w:t>
      </w:r>
      <w:r>
        <w:t>unmittelbar</w:t>
      </w:r>
      <w:r w:rsidR="00BA35BC">
        <w:t xml:space="preserve"> kirchliche </w:t>
      </w:r>
      <w:r>
        <w:t>Angelegenheiten</w:t>
      </w:r>
      <w:r w:rsidR="00BA35BC">
        <w:t xml:space="preserve"> betrifft.</w:t>
      </w:r>
    </w:p>
    <w:p w14:paraId="3C5701B2" w14:textId="29012493" w:rsidR="00BA35BC" w:rsidRDefault="00EB2DFF" w:rsidP="00BA35BC">
      <w:r>
        <w:t xml:space="preserve">Im Arbeitsrecht </w:t>
      </w:r>
      <w:r w:rsidR="00BA35BC">
        <w:t>urteilte beispielsweise 2018 der EuGH</w:t>
      </w:r>
      <w:bookmarkStart w:id="143" w:name="_Ref163970821"/>
      <w:r w:rsidR="00BA35BC">
        <w:rPr>
          <w:rStyle w:val="Funotenzeichen"/>
        </w:rPr>
        <w:footnoteReference w:id="62"/>
      </w:r>
      <w:bookmarkEnd w:id="143"/>
      <w:r w:rsidR="00BA35BC">
        <w:t>, dass die Ri</w:t>
      </w:r>
      <w:r w:rsidR="00BA35BC" w:rsidRPr="00BA35BC">
        <w:t xml:space="preserve">chtlinie 2000/78 </w:t>
      </w:r>
      <w:r w:rsidR="00BA35BC">
        <w:t xml:space="preserve">zwar </w:t>
      </w:r>
      <w:r w:rsidR="00BA35BC" w:rsidRPr="00BA35BC">
        <w:t>auf den Schutz des Grundrechts der Arbeitnehmer abzielt, nicht wegen ihrer Religion oder Weltanschauung diskriminiert zu werden</w:t>
      </w:r>
      <w:r>
        <w:t>.</w:t>
      </w:r>
      <w:r w:rsidR="00BA35BC">
        <w:t xml:space="preserve"> </w:t>
      </w:r>
      <w:r>
        <w:t>E</w:t>
      </w:r>
      <w:r w:rsidR="00BA35BC">
        <w:t xml:space="preserve">ntsprechend </w:t>
      </w:r>
      <w:r w:rsidR="005F5895">
        <w:t>Art. </w:t>
      </w:r>
      <w:r w:rsidR="00BA35BC" w:rsidRPr="00BA35BC">
        <w:t xml:space="preserve">4 </w:t>
      </w:r>
      <w:r w:rsidR="005F5895">
        <w:t>Abs. </w:t>
      </w:r>
      <w:r w:rsidR="00BA35BC" w:rsidRPr="00BA35BC">
        <w:t>2</w:t>
      </w:r>
      <w:r w:rsidR="00BA35BC">
        <w:t xml:space="preserve"> Ri</w:t>
      </w:r>
      <w:r w:rsidR="00BA35BC" w:rsidRPr="00BA35BC">
        <w:t>chtlinie 2000/78</w:t>
      </w:r>
      <w:r w:rsidR="00BA35BC">
        <w:t xml:space="preserve"> </w:t>
      </w:r>
      <w:r>
        <w:t xml:space="preserve">ist es </w:t>
      </w:r>
      <w:r w:rsidR="00BA35BC">
        <w:t>K</w:t>
      </w:r>
      <w:r w:rsidR="00BA35BC" w:rsidRPr="00BA35BC">
        <w:t xml:space="preserve">irchen und anderen </w:t>
      </w:r>
      <w:r w:rsidR="00BA35BC">
        <w:t xml:space="preserve">entsprechenden </w:t>
      </w:r>
      <w:r w:rsidR="00BA35BC" w:rsidRPr="00BA35BC">
        <w:t>öffentlichen oder privaten Organisationen</w:t>
      </w:r>
      <w:r w:rsidR="00BA35BC">
        <w:t xml:space="preserve"> </w:t>
      </w:r>
      <w:r>
        <w:t>gemäß</w:t>
      </w:r>
      <w:r w:rsidR="00BA35BC">
        <w:t xml:space="preserve"> dem in </w:t>
      </w:r>
      <w:r w:rsidR="005F5895">
        <w:t>Art. </w:t>
      </w:r>
      <w:r w:rsidR="00BA35BC" w:rsidRPr="00BA35BC">
        <w:t xml:space="preserve">17 </w:t>
      </w:r>
      <w:r w:rsidR="005F5895">
        <w:t>Abs. </w:t>
      </w:r>
      <w:r w:rsidR="00BA35BC" w:rsidRPr="00BA35BC">
        <w:t xml:space="preserve">1 </w:t>
      </w:r>
      <w:r w:rsidR="00BA35BC">
        <w:t xml:space="preserve">AEUV verankertem Recht gestattet, </w:t>
      </w:r>
      <w:r w:rsidR="00BA35BC" w:rsidRPr="00897A5A">
        <w:t>ihre</w:t>
      </w:r>
      <w:r w:rsidR="00897A5A" w:rsidRPr="00897A5A">
        <w:t>m jeweiligen</w:t>
      </w:r>
      <w:r w:rsidR="00BA35BC" w:rsidRPr="00897A5A">
        <w:t xml:space="preserve"> Ethos</w:t>
      </w:r>
      <w:r w:rsidR="00BA35BC" w:rsidRPr="00BA35BC">
        <w:t xml:space="preserve"> auf religiösen Grundsätzen oder Weltanschauungen</w:t>
      </w:r>
      <w:r w:rsidR="00BA35BC">
        <w:t xml:space="preserve"> Rechnung zu tragen. Die Regelung dient dem </w:t>
      </w:r>
      <w:r w:rsidR="00BA35BC" w:rsidRPr="00BA35BC">
        <w:t>Ausgleich zwischen dem Recht auf Autonomie der Kirchen und der anderen Organisationen, deren Ethos auf religiösen Grundsätzen oder Weltanschauungen beruht, und dem Recht der Arbeitnehmer, insbesondere bei der Einstellung nicht wegen ihrer Religion oder Weltanschauung diskriminiert zu werden</w:t>
      </w:r>
      <w:r w:rsidR="00BA35BC">
        <w:t xml:space="preserve">. Kommt es zum Rechtsstreit, muss </w:t>
      </w:r>
      <w:r w:rsidR="00BA35BC" w:rsidRPr="00BA35BC">
        <w:t>eine solche Abwägung aber gegebenenfalls von einer unabhängigen Stelle</w:t>
      </w:r>
      <w:r w:rsidR="00BA35BC">
        <w:t xml:space="preserve">, also nicht von der Kirche oder Organisation selbst, </w:t>
      </w:r>
      <w:r w:rsidR="00BA35BC" w:rsidRPr="00BA35BC">
        <w:t>und letztlich von einem innerstaatlichen Gericht überprüft werden können.</w:t>
      </w:r>
      <w:r w:rsidR="00BA35BC">
        <w:t xml:space="preserve"> Kirchen müssen dem EuGH zufolge gerichtlich überprüfbar bei </w:t>
      </w:r>
      <w:r w:rsidR="00BA35BC" w:rsidRPr="00BA35BC">
        <w:t>eine</w:t>
      </w:r>
      <w:r w:rsidR="00BA35BC">
        <w:t>r</w:t>
      </w:r>
      <w:r w:rsidR="00BA35BC" w:rsidRPr="00BA35BC">
        <w:t xml:space="preserve"> Handlung oder Entscheidung wie der Ablehnung einer Bewerbung auf eine bei ihr zu besetzende Stelle</w:t>
      </w:r>
      <w:r w:rsidR="00BA35BC">
        <w:t xml:space="preserve"> begründen, </w:t>
      </w:r>
      <w:r w:rsidR="00BA35BC" w:rsidRPr="00BA35BC">
        <w:t>nach der Art der betreffenden Tätigkeiten oder den vorgesehenen Umständen ihrer Ausübung eine wesentliche, rechtmäßige und gerechtfertigte berufliche Anforderung</w:t>
      </w:r>
      <w:r w:rsidR="00BA35BC">
        <w:t xml:space="preserve"> aus dem Ethos der Kirche oder Organisation besteht. Aus </w:t>
      </w:r>
      <w:r w:rsidR="005F5895">
        <w:t>Art. </w:t>
      </w:r>
      <w:r w:rsidR="00BA35BC" w:rsidRPr="00BA35BC">
        <w:t xml:space="preserve">17 </w:t>
      </w:r>
      <w:r w:rsidR="005F5895">
        <w:t>Abs. </w:t>
      </w:r>
      <w:r w:rsidR="00BA35BC" w:rsidRPr="00BA35BC">
        <w:t xml:space="preserve">1 </w:t>
      </w:r>
      <w:r w:rsidR="00BA35BC">
        <w:t xml:space="preserve">AEUV abgeleitetes Recht kann niemals folgen, dass die Einhaltung europäischen Rechts einer wirksamen </w:t>
      </w:r>
      <w:r w:rsidR="00BA35BC" w:rsidRPr="00BA35BC">
        <w:t>gerichtlichen Kontrolle entzogen wird</w:t>
      </w:r>
      <w:r>
        <w:t>, was insbesondere auch für datenschutzrechtliche Regelungen von Kirchen und entsprechenden Organisationen gelten muss.</w:t>
      </w:r>
    </w:p>
    <w:p w14:paraId="40AD33F9" w14:textId="7183EB2B" w:rsidR="00BA35BC" w:rsidRDefault="00BA35BC" w:rsidP="00BA35BC">
      <w:r>
        <w:t xml:space="preserve">Der EuGH stellte im Urteil weiterhin </w:t>
      </w:r>
      <w:r w:rsidRPr="005F5895">
        <w:t>fest</w:t>
      </w:r>
      <w:r w:rsidRPr="005F5895">
        <w:rPr>
          <w:vertAlign w:val="superscript"/>
        </w:rPr>
        <w:fldChar w:fldCharType="begin"/>
      </w:r>
      <w:r w:rsidRPr="005F5895">
        <w:rPr>
          <w:vertAlign w:val="superscript"/>
        </w:rPr>
        <w:instrText xml:space="preserve"> NOTEREF _Ref163970821 \h  \* MERGEFORMAT </w:instrText>
      </w:r>
      <w:r w:rsidRPr="005F5895">
        <w:rPr>
          <w:vertAlign w:val="superscript"/>
        </w:rPr>
      </w:r>
      <w:r w:rsidRPr="005F5895">
        <w:rPr>
          <w:vertAlign w:val="superscript"/>
        </w:rPr>
        <w:fldChar w:fldCharType="separate"/>
      </w:r>
      <w:r w:rsidR="00F43608">
        <w:rPr>
          <w:vertAlign w:val="superscript"/>
        </w:rPr>
        <w:t>62</w:t>
      </w:r>
      <w:r w:rsidRPr="005F5895">
        <w:rPr>
          <w:vertAlign w:val="superscript"/>
        </w:rPr>
        <w:fldChar w:fldCharType="end"/>
      </w:r>
      <w:r>
        <w:t>: O</w:t>
      </w:r>
      <w:r w:rsidRPr="00BA35BC">
        <w:t>b die Religion oder Weltanschauung</w:t>
      </w:r>
      <w:r>
        <w:t xml:space="preserve"> überhaupt </w:t>
      </w:r>
      <w:r w:rsidRPr="00BA35BC">
        <w:t>eine solche berufliche Anforderung darstellen kan</w:t>
      </w:r>
      <w:r>
        <w:t xml:space="preserve">n, hängt nur von </w:t>
      </w:r>
      <w:r w:rsidRPr="00BA35BC">
        <w:t>der „Art“ der fraglichen Tätigkeiten oder den „Umständen“ ihrer Ausübung</w:t>
      </w:r>
      <w:r>
        <w:t xml:space="preserve"> ab. </w:t>
      </w:r>
      <w:r w:rsidRPr="00BA35BC">
        <w:t>Die Rechtmäßigkeit einer Ungleichbehandlung wegen der Religion oder der Weltanschauung nach Maßgabe dieser Vorschrift hängt also vom objektiv überprüfbaren Vorliegen eines direkten Zusammenhangs zwischen der vom Arbeitgeber aufgestellten beruflichen Anforderung und der fraglichen Tätigkeit ab</w:t>
      </w:r>
      <w:r>
        <w:t>.</w:t>
      </w:r>
    </w:p>
    <w:p w14:paraId="5097A74E" w14:textId="46C524E1" w:rsidR="006E7E53" w:rsidRDefault="00BA35BC" w:rsidP="006E7E53">
      <w:pPr>
        <w:spacing w:after="0"/>
      </w:pPr>
      <w:r>
        <w:t xml:space="preserve">Auch im Datenschutzrecht wird der </w:t>
      </w:r>
      <w:r w:rsidR="006E7E53">
        <w:t xml:space="preserve">Vorgabe </w:t>
      </w:r>
      <w:r>
        <w:t xml:space="preserve">von </w:t>
      </w:r>
      <w:r w:rsidR="005F5895">
        <w:t>Art. </w:t>
      </w:r>
      <w:r>
        <w:t xml:space="preserve">17 </w:t>
      </w:r>
      <w:r w:rsidR="005F5895">
        <w:t>Abs. </w:t>
      </w:r>
      <w:r>
        <w:t xml:space="preserve">1 AEUV </w:t>
      </w:r>
      <w:r w:rsidR="00EB2DFF">
        <w:t xml:space="preserve">hinsichtlich des Rechts der Kirchen und entsprechender Organisation zur Selbstverwaltung </w:t>
      </w:r>
      <w:r w:rsidR="00EB2DFF" w:rsidRPr="00897A5A">
        <w:t>ihrem jeweiligen Ethos</w:t>
      </w:r>
      <w:r w:rsidR="00EB2DFF" w:rsidRPr="00BA35BC">
        <w:t xml:space="preserve"> auf religiösen Grundsätzen oder Weltanschauungen</w:t>
      </w:r>
      <w:r w:rsidR="00EB2DFF">
        <w:t xml:space="preserve"> </w:t>
      </w:r>
      <w:r>
        <w:t xml:space="preserve">Rechnung </w:t>
      </w:r>
      <w:r w:rsidR="009C5427">
        <w:t>ge</w:t>
      </w:r>
      <w:r>
        <w:t>tragen</w:t>
      </w:r>
      <w:r w:rsidR="009C5427">
        <w:t>.</w:t>
      </w:r>
      <w:r w:rsidR="00EB2DFF">
        <w:t xml:space="preserve"> I</w:t>
      </w:r>
      <w:r>
        <w:t xml:space="preserve">n </w:t>
      </w:r>
      <w:r w:rsidR="005F5895">
        <w:t>Art. </w:t>
      </w:r>
      <w:r w:rsidR="006E7E53">
        <w:t xml:space="preserve">91 DS-GVO </w:t>
      </w:r>
      <w:r>
        <w:t>heißt es</w:t>
      </w:r>
      <w:r w:rsidR="006E7E53">
        <w:t>:</w:t>
      </w:r>
    </w:p>
    <w:p w14:paraId="730BC847" w14:textId="7F103072" w:rsidR="006E7E53" w:rsidRDefault="005F5895" w:rsidP="006E7E53">
      <w:pPr>
        <w:spacing w:after="0"/>
        <w:ind w:left="709"/>
        <w:jc w:val="center"/>
      </w:pPr>
      <w:r>
        <w:t>Art. </w:t>
      </w:r>
      <w:r w:rsidR="006E7E53">
        <w:t xml:space="preserve">91 </w:t>
      </w:r>
      <w:r w:rsidR="006E7E53" w:rsidRPr="006E7E53">
        <w:t xml:space="preserve">Bestehende Datenschutzvorschriften von Kirchen </w:t>
      </w:r>
      <w:r w:rsidR="006E7E53">
        <w:br/>
      </w:r>
      <w:r w:rsidR="006E7E53" w:rsidRPr="006E7E53">
        <w:t>und religiösen Vereinigungen oder Gemeinschaften</w:t>
      </w:r>
    </w:p>
    <w:p w14:paraId="62A623E4" w14:textId="04383E3E" w:rsidR="006E7E53" w:rsidRDefault="006E7E53">
      <w:pPr>
        <w:pStyle w:val="Listenabsatz"/>
        <w:numPr>
          <w:ilvl w:val="0"/>
          <w:numId w:val="36"/>
        </w:numPr>
      </w:pPr>
      <w:r>
        <w:t>Wendet eine Kirche oder eine religiöse Vereinigung oder Gemeinschaft in einem Mitgliedstaat zum Zeitpunkt des Inkrafttretens dieser Verordnung umfassende Regeln zum Schutz natürlicher Personen bei der Verarbeitung an, so dürfen diese Regeln weiter angewandt werden, sofern sie mit dieser Verordnung in Einklang gebracht werden.</w:t>
      </w:r>
    </w:p>
    <w:p w14:paraId="1B313208" w14:textId="29D40D59" w:rsidR="006E7E53" w:rsidRDefault="006E7E53">
      <w:pPr>
        <w:pStyle w:val="Listenabsatz"/>
        <w:numPr>
          <w:ilvl w:val="0"/>
          <w:numId w:val="36"/>
        </w:numPr>
      </w:pPr>
      <w:r>
        <w:t>Kirchen und religiöse Vereinigungen oder Gemeinschaften, die gemäß Absatz 1 umfassende Datenschutzregeln anwenden, unterliegen der Aufsicht durch eine unabhängige Aufsichtsbehörde, die spezifischer Art sein kann, sofern sie die in Kapitel VI niedergelegten Bedingungen erfüllt.</w:t>
      </w:r>
    </w:p>
    <w:p w14:paraId="2AFBDAA0" w14:textId="740DC7DE" w:rsidR="006E7E53" w:rsidRDefault="006E7E53" w:rsidP="006E7E53">
      <w:pPr>
        <w:spacing w:after="0"/>
      </w:pPr>
      <w:r>
        <w:t xml:space="preserve">Die Vorgabe aus </w:t>
      </w:r>
      <w:r w:rsidR="005F5895">
        <w:t>Art. </w:t>
      </w:r>
      <w:r>
        <w:t>91 DS-GVO ist also u. a.</w:t>
      </w:r>
    </w:p>
    <w:p w14:paraId="7D018BCC" w14:textId="38D397AC" w:rsidR="006E7E53" w:rsidRDefault="006E7E53">
      <w:pPr>
        <w:pStyle w:val="Listenabsatz"/>
        <w:numPr>
          <w:ilvl w:val="0"/>
          <w:numId w:val="37"/>
        </w:numPr>
        <w:ind w:left="1276"/>
      </w:pPr>
      <w:r>
        <w:t xml:space="preserve">Die kirchliche Regelung muss zum Zeitpunkt des Inkrafttretens der DS-GVO gelten. </w:t>
      </w:r>
      <w:r w:rsidRPr="006E7E53">
        <w:t>Die DS-GVO ist am 24. Mai 2016 in Kraft getreten</w:t>
      </w:r>
      <w:r>
        <w:t>.</w:t>
      </w:r>
    </w:p>
    <w:p w14:paraId="6B00F0FF" w14:textId="06ECF9A7" w:rsidR="006E7E53" w:rsidRDefault="006E7E53">
      <w:pPr>
        <w:pStyle w:val="Listenabsatz"/>
        <w:numPr>
          <w:ilvl w:val="0"/>
          <w:numId w:val="37"/>
        </w:numPr>
        <w:ind w:left="1276"/>
      </w:pPr>
      <w:r>
        <w:t>Es müssen umfassende Regelung gewesen sein.</w:t>
      </w:r>
    </w:p>
    <w:p w14:paraId="429694A2" w14:textId="6D06DF50" w:rsidR="006E7E53" w:rsidRDefault="006E7E53">
      <w:pPr>
        <w:pStyle w:val="Listenabsatz"/>
        <w:numPr>
          <w:ilvl w:val="0"/>
          <w:numId w:val="37"/>
        </w:numPr>
        <w:spacing w:after="0"/>
        <w:ind w:left="1276" w:hanging="357"/>
      </w:pPr>
      <w:r>
        <w:t>Die Regelungen müssen „</w:t>
      </w:r>
      <w:r w:rsidRPr="006E7E53">
        <w:t>in Einklang</w:t>
      </w:r>
      <w:r>
        <w:t xml:space="preserve">“ mit der DS-GVO </w:t>
      </w:r>
      <w:r w:rsidRPr="006E7E53">
        <w:t>gebracht werden</w:t>
      </w:r>
      <w:r>
        <w:t>, d. h. die kirchlichen Regelungen müssen den Vorgaben der DS-GVO entsprechen. Insbesondere dürfen die kirchlichen Regelungen somit nicht den Vorgaben der DS-GVO widersprechen</w:t>
      </w:r>
      <w:r w:rsidR="00CD23A1">
        <w:rPr>
          <w:rStyle w:val="Funotenzeichen"/>
        </w:rPr>
        <w:footnoteReference w:id="63"/>
      </w:r>
      <w:r>
        <w:t>.</w:t>
      </w:r>
    </w:p>
    <w:p w14:paraId="07B60F78" w14:textId="18C2BEB5" w:rsidR="00887829" w:rsidRDefault="006E7E53" w:rsidP="00687085">
      <w:r>
        <w:t xml:space="preserve">Entsprechend </w:t>
      </w:r>
      <w:r w:rsidR="005F5895">
        <w:t>Art. </w:t>
      </w:r>
      <w:r>
        <w:t>91 DS-GVO sind Religionsgesellschaften somit grundsätzlich an das staatliche Datenschutzrecht gebunden und von diesem im Sinne eines allgemein geltenden Gesetzes beschränkt.</w:t>
      </w:r>
    </w:p>
    <w:p w14:paraId="33C3FABB" w14:textId="75D85790" w:rsidR="00BA35BC" w:rsidRDefault="00897A5A" w:rsidP="00897A5A">
      <w:pPr>
        <w:spacing w:after="0"/>
      </w:pPr>
      <w:r>
        <w:t xml:space="preserve">Im </w:t>
      </w:r>
      <w:r w:rsidRPr="00897A5A">
        <w:t>Datenschutzrecht urteilte</w:t>
      </w:r>
      <w:r>
        <w:t xml:space="preserve"> der EuGH bisher noch nicht über das Zusammenspiel zwischen Kirchenrecht und europäischem Recht. Aber a</w:t>
      </w:r>
      <w:r w:rsidR="00BA35BC">
        <w:t>us dem Urteil zum Arbeitsrecht kann man festhalten:</w:t>
      </w:r>
    </w:p>
    <w:p w14:paraId="3ACB99E6" w14:textId="2A9C21D8" w:rsidR="00BA35BC" w:rsidRDefault="00BA35BC">
      <w:pPr>
        <w:pStyle w:val="Listenabsatz"/>
        <w:numPr>
          <w:ilvl w:val="0"/>
          <w:numId w:val="39"/>
        </w:numPr>
      </w:pPr>
      <w:r>
        <w:t xml:space="preserve">Kirchliche Entscheidungen über Angelegenheiten, die nicht originäre kirchliche Fragen wie </w:t>
      </w:r>
      <w:r w:rsidR="00897A5A">
        <w:t>beispielsweise</w:t>
      </w:r>
      <w:r>
        <w:t xml:space="preserve"> Glaubensfragen betreffen, müssen </w:t>
      </w:r>
      <w:r w:rsidRPr="00BA35BC">
        <w:t>gegebenenfalls von einer unabhängigen Stelle, also nicht von der Kirche selbst, überprüft werden können</w:t>
      </w:r>
      <w:r>
        <w:t xml:space="preserve">. Insbesondere bei Entscheidungen mit Auswirkungen auf das Leben muss die Entscheidung von </w:t>
      </w:r>
      <w:r w:rsidRPr="00BA35BC">
        <w:t>einem innerstaatlichen</w:t>
      </w:r>
      <w:r>
        <w:t xml:space="preserve">, nicht-kirchlichem </w:t>
      </w:r>
      <w:r w:rsidRPr="00BA35BC">
        <w:t>Gericht</w:t>
      </w:r>
      <w:r>
        <w:t xml:space="preserve"> überprüfbar sein. Insbesondere wenn die Entscheidung auch Personen betrifft, die selbst nicht der Kirche oder Organisation angehören, die aber </w:t>
      </w:r>
      <w:r w:rsidRPr="00897A5A">
        <w:t>dem kirchliche</w:t>
      </w:r>
      <w:r w:rsidR="00897A5A" w:rsidRPr="00897A5A">
        <w:t>n</w:t>
      </w:r>
      <w:r w:rsidRPr="00897A5A">
        <w:t xml:space="preserve"> Recht</w:t>
      </w:r>
      <w:r>
        <w:t xml:space="preserve"> ausgeliefert sind.</w:t>
      </w:r>
    </w:p>
    <w:p w14:paraId="22D22932" w14:textId="1AD41201" w:rsidR="00BA35BC" w:rsidRDefault="00BA35BC">
      <w:pPr>
        <w:pStyle w:val="Listenabsatz"/>
        <w:numPr>
          <w:ilvl w:val="0"/>
          <w:numId w:val="39"/>
        </w:numPr>
      </w:pPr>
      <w:r>
        <w:t>Kirchenrechtliche Vorgaben müssen darauf beruhen, dass n</w:t>
      </w:r>
      <w:r w:rsidRPr="00BA35BC">
        <w:t xml:space="preserve">ach </w:t>
      </w:r>
      <w:r w:rsidRPr="00897A5A">
        <w:t xml:space="preserve">Art </w:t>
      </w:r>
      <w:r>
        <w:t xml:space="preserve">und </w:t>
      </w:r>
      <w:r w:rsidRPr="00BA35BC">
        <w:t xml:space="preserve">vorgesehenen Umständen eine wesentliche, rechtmäßige und gerechtfertigte Anforderung aus dem Ethos der Kirche oder Organisation </w:t>
      </w:r>
      <w:r>
        <w:t xml:space="preserve">für die jeweilige Angelegenheit, </w:t>
      </w:r>
      <w:r w:rsidRPr="00897A5A">
        <w:t>z.</w:t>
      </w:r>
      <w:r w:rsidR="00897A5A" w:rsidRPr="00897A5A">
        <w:t> </w:t>
      </w:r>
      <w:r w:rsidRPr="00897A5A">
        <w:t>B.</w:t>
      </w:r>
      <w:r>
        <w:t xml:space="preserve"> für die Berufsausübung oder die medizinische Versorgung, besteht und hieraus d</w:t>
      </w:r>
      <w:r w:rsidRPr="00BA35BC">
        <w:t>ie Rechtmäßigkeit einer Ungleichbehandlung wegen der Religion oder der Weltanschauung</w:t>
      </w:r>
      <w:r>
        <w:t xml:space="preserve"> abgeleitet werden kann.</w:t>
      </w:r>
    </w:p>
    <w:p w14:paraId="7677F1E7" w14:textId="5BCD1570" w:rsidR="00897A5A" w:rsidRDefault="00897A5A">
      <w:pPr>
        <w:pStyle w:val="Listenabsatz"/>
        <w:numPr>
          <w:ilvl w:val="0"/>
          <w:numId w:val="39"/>
        </w:numPr>
      </w:pPr>
      <w:r>
        <w:t xml:space="preserve">Ist es einem mit einem Rechtsstreit befassten nationales Gericht nicht möglich, das einschlägige nationale Recht im Einklang mit dem europäischen </w:t>
      </w:r>
      <w:r w:rsidRPr="00897A5A">
        <w:t>Recht</w:t>
      </w:r>
      <w:r>
        <w:t xml:space="preserve"> zu bringen, ist das nationale Gericht verpflichtet, „</w:t>
      </w:r>
      <w:r w:rsidRPr="00897A5A">
        <w:t xml:space="preserve">im Rahmen seiner Befugnisse den dem Einzelnen aus den </w:t>
      </w:r>
      <w:r w:rsidR="005F5895">
        <w:t>Art. </w:t>
      </w:r>
      <w:r w:rsidRPr="00897A5A">
        <w:t xml:space="preserve">21 und 47 der Charta der Grundrechte der Europäischen Union erwachsenden Rechtsschutz zu gewährleisten und für die volle Wirksamkeit dieser Bestimmungen zu sorgen, indem es erforderlichenfalls jede entgegenstehende nationale Vorschrift </w:t>
      </w:r>
      <w:r w:rsidRPr="005F5895">
        <w:t>unangewendet</w:t>
      </w:r>
      <w:r w:rsidRPr="00897A5A">
        <w:t xml:space="preserve"> lässt</w:t>
      </w:r>
      <w:r>
        <w:t>“</w:t>
      </w:r>
      <w:r w:rsidRPr="00897A5A">
        <w:t>.</w:t>
      </w:r>
      <w:r>
        <w:rPr>
          <w:rStyle w:val="Funotenzeichen"/>
        </w:rPr>
        <w:footnoteReference w:id="64"/>
      </w:r>
    </w:p>
    <w:p w14:paraId="363171FB" w14:textId="76B901E0" w:rsidR="00CD23A1" w:rsidRDefault="00EB2DFF" w:rsidP="00687085">
      <w:r>
        <w:t xml:space="preserve">Die Ausführungen in dieser Praxishilfe </w:t>
      </w:r>
      <w:r w:rsidR="009C5427">
        <w:t>zu</w:t>
      </w:r>
      <w:r w:rsidR="00AC559B">
        <w:t xml:space="preserve"> den</w:t>
      </w:r>
      <w:r w:rsidR="009C5427">
        <w:t xml:space="preserve"> Rechtfertigungsgründe</w:t>
      </w:r>
      <w:r w:rsidR="00AC559B">
        <w:t>n</w:t>
      </w:r>
      <w:r w:rsidR="009C5427">
        <w:t xml:space="preserve"> (Kap. 4) und der Zuordnung </w:t>
      </w:r>
      <w:r w:rsidR="00AC559B">
        <w:t xml:space="preserve">von Erlaubnistatbeständen zur Verarbeitung von </w:t>
      </w:r>
      <w:r w:rsidR="009C5427">
        <w:t xml:space="preserve">Daten der besonderen Kategorien </w:t>
      </w:r>
      <w:r w:rsidR="00AC559B">
        <w:t>zu den</w:t>
      </w:r>
      <w:r w:rsidR="009C5427">
        <w:t xml:space="preserve"> Rechtfertigungsgründe (Kap. 5.) </w:t>
      </w:r>
      <w:r>
        <w:t>können als Grundlage für die Be</w:t>
      </w:r>
      <w:r w:rsidR="00AC559B">
        <w:t>u</w:t>
      </w:r>
      <w:r>
        <w:t>rt</w:t>
      </w:r>
      <w:r w:rsidR="00AC559B">
        <w:t>eil</w:t>
      </w:r>
      <w:r>
        <w:t>ung der kirchlichen Regel</w:t>
      </w:r>
      <w:r w:rsidR="00AC559B">
        <w:t>u</w:t>
      </w:r>
      <w:r>
        <w:t>n</w:t>
      </w:r>
      <w:r w:rsidR="00AC559B">
        <w:t>gen</w:t>
      </w:r>
      <w:r>
        <w:t xml:space="preserve"> dienen.</w:t>
      </w:r>
    </w:p>
    <w:p w14:paraId="2D9F4425" w14:textId="77777777" w:rsidR="00EB2DFF" w:rsidRPr="00687085" w:rsidRDefault="00EB2DFF" w:rsidP="00687085"/>
    <w:p w14:paraId="0D21D19D" w14:textId="77777777" w:rsidR="00687085" w:rsidRDefault="00687085">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3011A8D2" w14:textId="10551164" w:rsidR="0093736C" w:rsidRDefault="00687085" w:rsidP="00687085">
      <w:pPr>
        <w:pStyle w:val="berschrift1"/>
      </w:pPr>
      <w:bookmarkStart w:id="145" w:name="_Toc169934817"/>
      <w:r w:rsidRPr="00687085">
        <w:t xml:space="preserve">Betrachtete </w:t>
      </w:r>
      <w:r w:rsidR="00C0671F">
        <w:t xml:space="preserve">nationale </w:t>
      </w:r>
      <w:r w:rsidRPr="00687085">
        <w:t>Gesetze</w:t>
      </w:r>
      <w:bookmarkEnd w:id="145"/>
    </w:p>
    <w:p w14:paraId="5D501044" w14:textId="5C64588F" w:rsidR="00594B31" w:rsidRDefault="00594B31" w:rsidP="00594B31">
      <w:r>
        <w:t xml:space="preserve">Die deutschen Gesetze müssen </w:t>
      </w:r>
      <w:r w:rsidR="000835B4">
        <w:t xml:space="preserve">vor Anwendung daraufhin </w:t>
      </w:r>
      <w:r>
        <w:t xml:space="preserve">geprüft werden, welcher in </w:t>
      </w:r>
      <w:r w:rsidR="005F5895">
        <w:t>Art. </w:t>
      </w:r>
      <w:r>
        <w:t xml:space="preserve">6 </w:t>
      </w:r>
      <w:r w:rsidR="005F5895">
        <w:t>Abs. </w:t>
      </w:r>
      <w:r>
        <w:t>1 DS-GVO genannte Rechtfertigungs</w:t>
      </w:r>
      <w:r w:rsidR="00F93265">
        <w:t>tatbe</w:t>
      </w:r>
      <w:r>
        <w:t>st</w:t>
      </w:r>
      <w:r w:rsidR="00F93265">
        <w:t>ä</w:t>
      </w:r>
      <w:r>
        <w:t>nd</w:t>
      </w:r>
      <w:r w:rsidR="00F93265">
        <w:t>e</w:t>
      </w:r>
      <w:r>
        <w:t xml:space="preserve"> zu welcher deutschen Regelung passt, die Verarbeitung somit legitimieren kann.</w:t>
      </w:r>
    </w:p>
    <w:p w14:paraId="1298C27B" w14:textId="5D82A969" w:rsidR="00594B31" w:rsidRDefault="00594B31" w:rsidP="00594B31">
      <w:r>
        <w:t xml:space="preserve">Dabei adressieren verschiedene nationale Gesetze dieselben Inhalte, beispielsweise findet sich in </w:t>
      </w:r>
      <w:r w:rsidRPr="008B0D52">
        <w:t>den einzelnen Landeskrankenhausgesetze</w:t>
      </w:r>
      <w:r w:rsidR="008B0D52" w:rsidRPr="008B0D52">
        <w:t>n</w:t>
      </w:r>
      <w:r>
        <w:t xml:space="preserve"> regelhaft die Erlaubnisnorm, Patientendaten zu deren Behandlung wie auch zu medizinischer Forschung zu nutzen. Mehrere Regelungen, auch aus unterschiedlichen Bundesländern, können daher thematisch gemeinsam betrachtet werden.</w:t>
      </w:r>
    </w:p>
    <w:p w14:paraId="21820CBA" w14:textId="3A6D997F" w:rsidR="00594B31" w:rsidRPr="00594B31" w:rsidRDefault="00594B31" w:rsidP="00594B31">
      <w:r>
        <w:t>Aufgrund der Vielzahl an deutschen Regelungen k</w:t>
      </w:r>
      <w:r w:rsidR="00D71A87">
        <w:t>a</w:t>
      </w:r>
      <w:r>
        <w:t xml:space="preserve">nn </w:t>
      </w:r>
      <w:r w:rsidR="00640CEA">
        <w:t>an dieser Stelle</w:t>
      </w:r>
      <w:r>
        <w:t xml:space="preserve"> nicht a</w:t>
      </w:r>
      <w:r w:rsidR="00D71A87">
        <w:t>uf</w:t>
      </w:r>
      <w:r>
        <w:t xml:space="preserve"> </w:t>
      </w:r>
      <w:r w:rsidR="00901E1F">
        <w:t xml:space="preserve">alle </w:t>
      </w:r>
      <w:r>
        <w:t xml:space="preserve">gesetzlichen Regelungen </w:t>
      </w:r>
      <w:r w:rsidR="00D71A87">
        <w:t>eingegangen</w:t>
      </w:r>
      <w:r>
        <w:t xml:space="preserve"> werden. Basierend auf den </w:t>
      </w:r>
      <w:r w:rsidR="00640CEA">
        <w:t>in dieser Praxishilfe</w:t>
      </w:r>
      <w:r>
        <w:t xml:space="preserve"> </w:t>
      </w:r>
      <w:r w:rsidR="00640CEA">
        <w:t>durchgeführten</w:t>
      </w:r>
      <w:r>
        <w:t xml:space="preserve"> </w:t>
      </w:r>
      <w:r w:rsidR="00640CEA">
        <w:t>Diskussionen</w:t>
      </w:r>
      <w:r>
        <w:t xml:space="preserve"> sollte </w:t>
      </w:r>
      <w:r w:rsidR="00640CEA">
        <w:t xml:space="preserve">jedoch </w:t>
      </w:r>
      <w:r>
        <w:t xml:space="preserve">auch für diese nicht besprochenen gesetzlichen Regelungen ein Rechtfertigungstatbestand aus </w:t>
      </w:r>
      <w:r w:rsidR="005F5895">
        <w:t>Art. </w:t>
      </w:r>
      <w:r>
        <w:t xml:space="preserve">6 </w:t>
      </w:r>
      <w:r w:rsidR="005F5895">
        <w:t>Abs. </w:t>
      </w:r>
      <w:r>
        <w:t xml:space="preserve">1 DS-GVO </w:t>
      </w:r>
      <w:r w:rsidR="00640CEA" w:rsidRPr="00640CEA">
        <w:t xml:space="preserve">durch analoge Anwendung der Ausführungen </w:t>
      </w:r>
      <w:r>
        <w:t>gefunden werden.</w:t>
      </w:r>
    </w:p>
    <w:p w14:paraId="3917C3FC" w14:textId="7B6F0711" w:rsidR="00B62A63" w:rsidRDefault="00B62A63" w:rsidP="00687085">
      <w:pPr>
        <w:pStyle w:val="berschrift2"/>
      </w:pPr>
      <w:bookmarkStart w:id="146" w:name="_Toc169934818"/>
      <w:r>
        <w:t>Bundesrecht</w:t>
      </w:r>
      <w:bookmarkEnd w:id="146"/>
    </w:p>
    <w:p w14:paraId="598338BF" w14:textId="0524BBD1" w:rsidR="00687085" w:rsidRDefault="00687085" w:rsidP="00B62A63">
      <w:pPr>
        <w:pStyle w:val="berschrift3"/>
      </w:pPr>
      <w:bookmarkStart w:id="147" w:name="_Toc169934819"/>
      <w:r>
        <w:t>Bundesdatenschutzgesetz</w:t>
      </w:r>
      <w:r w:rsidR="00303763">
        <w:t xml:space="preserve"> (BDSG)</w:t>
      </w:r>
      <w:bookmarkEnd w:id="147"/>
    </w:p>
    <w:p w14:paraId="0393AD39" w14:textId="7D543B87" w:rsidR="00594B31" w:rsidRDefault="00594B31" w:rsidP="00B62A63">
      <w:pPr>
        <w:pStyle w:val="berschrift4"/>
      </w:pPr>
      <w:bookmarkStart w:id="148" w:name="_Toc169934820"/>
      <w:r>
        <w:t>Patientenbehandlung</w:t>
      </w:r>
      <w:bookmarkEnd w:id="148"/>
    </w:p>
    <w:p w14:paraId="4C3B4950" w14:textId="2C43555A" w:rsidR="00687085" w:rsidRDefault="005F5895" w:rsidP="00687085">
      <w:r>
        <w:t>§ </w:t>
      </w:r>
      <w:r w:rsidR="00594B31">
        <w:t xml:space="preserve">22 </w:t>
      </w:r>
      <w:r>
        <w:t>Abs. </w:t>
      </w:r>
      <w:r w:rsidR="00594B31">
        <w:t xml:space="preserve">1 BDSG wiederholt in </w:t>
      </w:r>
      <w:r>
        <w:t>Abs. </w:t>
      </w:r>
      <w:r w:rsidR="00594B31">
        <w:t xml:space="preserve">1 und 2 lediglich die Regelungen aus </w:t>
      </w:r>
      <w:r>
        <w:t>Art. </w:t>
      </w:r>
      <w:r w:rsidR="00594B31">
        <w:t xml:space="preserve">9 </w:t>
      </w:r>
      <w:r>
        <w:t>Abs. </w:t>
      </w:r>
      <w:r w:rsidR="00594B31">
        <w:t>2 DS-GVO; laut Gesetzesbegründung aus Gründen der nationalen Umsetzung, da verschiedene Regelung</w:t>
      </w:r>
      <w:r w:rsidR="00562420">
        <w:t>en</w:t>
      </w:r>
      <w:r w:rsidR="00594B31">
        <w:t xml:space="preserve"> in </w:t>
      </w:r>
      <w:r>
        <w:t>Art. </w:t>
      </w:r>
      <w:r w:rsidR="00594B31">
        <w:t xml:space="preserve">9 </w:t>
      </w:r>
      <w:r>
        <w:t>Abs. </w:t>
      </w:r>
      <w:r w:rsidR="00594B31">
        <w:t>2 DS-GVO auf das „</w:t>
      </w:r>
      <w:r w:rsidR="00594B31" w:rsidRPr="00594B31">
        <w:t>Recht der Mitgliedstaaten</w:t>
      </w:r>
      <w:r w:rsidR="00594B31">
        <w:t xml:space="preserve">“ verweisen. Bei diesen Regelungen findet man einen Rechtfertigungsgrund, indem die Ausführungen in Kapitel </w:t>
      </w:r>
      <w:r w:rsidR="00594B31">
        <w:fldChar w:fldCharType="begin"/>
      </w:r>
      <w:r w:rsidR="00594B31">
        <w:instrText xml:space="preserve"> REF _Ref161589997 \r \h </w:instrText>
      </w:r>
      <w:r w:rsidR="00594B31">
        <w:fldChar w:fldCharType="separate"/>
      </w:r>
      <w:r w:rsidR="00F43608">
        <w:t>5</w:t>
      </w:r>
      <w:r w:rsidR="00594B31">
        <w:fldChar w:fldCharType="end"/>
      </w:r>
      <w:r w:rsidR="00594B31">
        <w:t xml:space="preserve"> angewendet werden.</w:t>
      </w:r>
    </w:p>
    <w:p w14:paraId="5E3C5528" w14:textId="7221BFE6" w:rsidR="00594B31" w:rsidRDefault="00594B31" w:rsidP="00B62A63">
      <w:pPr>
        <w:pStyle w:val="berschrift4"/>
      </w:pPr>
      <w:bookmarkStart w:id="149" w:name="_Ref164679453"/>
      <w:bookmarkStart w:id="150" w:name="_Toc169934821"/>
      <w:r w:rsidRPr="00594B31">
        <w:t>Beschäftigungsverhältnis</w:t>
      </w:r>
      <w:bookmarkEnd w:id="149"/>
      <w:bookmarkEnd w:id="150"/>
    </w:p>
    <w:p w14:paraId="4F2AF4FD" w14:textId="26ACED79" w:rsidR="000835B4" w:rsidRDefault="005F5895" w:rsidP="00687085">
      <w:r>
        <w:t>§ </w:t>
      </w:r>
      <w:r w:rsidR="000835B4">
        <w:t xml:space="preserve">26 </w:t>
      </w:r>
      <w:r>
        <w:t>Abs. </w:t>
      </w:r>
      <w:r w:rsidR="000835B4">
        <w:t xml:space="preserve">2 BDSG regelt die </w:t>
      </w:r>
      <w:r w:rsidR="000835B4" w:rsidRPr="000835B4">
        <w:t>Verarbeitung personenbezogener Daten von Beschäftigten auf der Grundlage einer Einwilligung</w:t>
      </w:r>
      <w:r w:rsidR="000835B4">
        <w:t xml:space="preserve"> und adressiert somit </w:t>
      </w:r>
      <w:r>
        <w:t>Art. </w:t>
      </w:r>
      <w:r w:rsidR="000835B4">
        <w:t xml:space="preserve">9 </w:t>
      </w:r>
      <w:r>
        <w:t>Abs. </w:t>
      </w:r>
      <w:r w:rsidR="000835B4">
        <w:t xml:space="preserve">2 </w:t>
      </w:r>
      <w:r>
        <w:t>lit. </w:t>
      </w:r>
      <w:r w:rsidR="000835B4">
        <w:t xml:space="preserve">a DS-GVO, korrespondierend dazu </w:t>
      </w:r>
      <w:r>
        <w:t>Art. </w:t>
      </w:r>
      <w:r w:rsidR="000835B4">
        <w:t xml:space="preserve">6 </w:t>
      </w:r>
      <w:r>
        <w:t>Abs. </w:t>
      </w:r>
      <w:r w:rsidR="000835B4">
        <w:t xml:space="preserve">1 </w:t>
      </w:r>
      <w:r>
        <w:t>lit. </w:t>
      </w:r>
      <w:r w:rsidR="000835B4">
        <w:t xml:space="preserve">a DS-GVO. </w:t>
      </w:r>
      <w:r>
        <w:t>§ </w:t>
      </w:r>
      <w:r w:rsidR="000835B4">
        <w:t xml:space="preserve">26 </w:t>
      </w:r>
      <w:r>
        <w:t>Abs. </w:t>
      </w:r>
      <w:r w:rsidR="000835B4">
        <w:t xml:space="preserve">2 BDSG enthält zusätzliche Bedingungen für die Einwilligung (Freiwilligkeit, Schriftform) und nutzt dabei die Öffnungsklausel in </w:t>
      </w:r>
      <w:r>
        <w:t>Art. </w:t>
      </w:r>
      <w:r w:rsidR="000835B4">
        <w:t xml:space="preserve">9 </w:t>
      </w:r>
      <w:r>
        <w:t>Abs. </w:t>
      </w:r>
      <w:r w:rsidR="000835B4">
        <w:t xml:space="preserve">4 DS-GVO. Da </w:t>
      </w:r>
      <w:r>
        <w:t>Art. </w:t>
      </w:r>
      <w:r w:rsidR="000835B4">
        <w:t xml:space="preserve">9 </w:t>
      </w:r>
      <w:r>
        <w:t>Abs. </w:t>
      </w:r>
      <w:r w:rsidR="000835B4">
        <w:t xml:space="preserve">4 DS-GVO dem nationalen Gesetzgeber nur erlaubt, zusätzliche Bedingungen für </w:t>
      </w:r>
      <w:r w:rsidR="000835B4" w:rsidRPr="005717BF">
        <w:t>die Verarbeitung von genetischen, biometrischen oder Gesundheitsdaten</w:t>
      </w:r>
      <w:r w:rsidR="000835B4">
        <w:t xml:space="preserve"> zu gestalten, können diese zusätzlichen Bedingungen daher auch nur auf diese drei Kategorien angewendet werden, nicht jedoch auf alle in </w:t>
      </w:r>
      <w:r>
        <w:t>Art. </w:t>
      </w:r>
      <w:r w:rsidR="000835B4">
        <w:t xml:space="preserve">9 </w:t>
      </w:r>
      <w:r>
        <w:t>Abs. </w:t>
      </w:r>
      <w:r w:rsidR="000835B4">
        <w:t>1 DS-GVO genannten Kategorien,</w:t>
      </w:r>
    </w:p>
    <w:p w14:paraId="4AE9CC49" w14:textId="57294A0E" w:rsidR="00594B31" w:rsidRDefault="005F5895" w:rsidP="00687085">
      <w:r>
        <w:t>§ </w:t>
      </w:r>
      <w:r w:rsidR="00594B31">
        <w:t xml:space="preserve">26 </w:t>
      </w:r>
      <w:r>
        <w:t>Abs. </w:t>
      </w:r>
      <w:r w:rsidR="00594B31">
        <w:t>3 und 4</w:t>
      </w:r>
      <w:r w:rsidR="001F65CB">
        <w:rPr>
          <w:rStyle w:val="Funotenzeichen"/>
        </w:rPr>
        <w:footnoteReference w:id="65"/>
      </w:r>
      <w:r w:rsidR="00594B31">
        <w:t xml:space="preserve"> BDSG regelt die </w:t>
      </w:r>
      <w:r w:rsidR="00594B31" w:rsidRPr="00594B31">
        <w:t xml:space="preserve">Verarbeitung </w:t>
      </w:r>
      <w:r w:rsidR="00594B31">
        <w:t xml:space="preserve">der in </w:t>
      </w:r>
      <w:r>
        <w:t>Art. </w:t>
      </w:r>
      <w:r w:rsidR="00594B31">
        <w:t xml:space="preserve">9 </w:t>
      </w:r>
      <w:r>
        <w:t>Abs. </w:t>
      </w:r>
      <w:r w:rsidR="00594B31">
        <w:t xml:space="preserve">1 DS-GVO genannten </w:t>
      </w:r>
      <w:r w:rsidR="00594B31" w:rsidRPr="00594B31">
        <w:t>besondere</w:t>
      </w:r>
      <w:r w:rsidR="00562420">
        <w:t>n</w:t>
      </w:r>
      <w:r w:rsidR="00594B31" w:rsidRPr="00594B31">
        <w:t xml:space="preserve"> Kategorien personenbezogener Daten für Zwecke des Beschäftigungsverhältnisses</w:t>
      </w:r>
      <w:r w:rsidR="00594B31">
        <w:t xml:space="preserve">. </w:t>
      </w:r>
      <w:r>
        <w:t>§ </w:t>
      </w:r>
      <w:r w:rsidR="00594B31">
        <w:t xml:space="preserve">26 </w:t>
      </w:r>
      <w:r>
        <w:t>Abs. </w:t>
      </w:r>
      <w:r w:rsidR="00594B31">
        <w:t xml:space="preserve">3 und 4 BDSG ist hier als Ergänzung zu </w:t>
      </w:r>
      <w:r>
        <w:t>Art. </w:t>
      </w:r>
      <w:r w:rsidR="00594B31">
        <w:t xml:space="preserve">9 </w:t>
      </w:r>
      <w:r>
        <w:t>Abs. </w:t>
      </w:r>
      <w:r w:rsidR="00594B31">
        <w:t xml:space="preserve">2 </w:t>
      </w:r>
      <w:r>
        <w:t>lit. </w:t>
      </w:r>
      <w:r w:rsidR="00594B31">
        <w:t>b DS-GVO zu sehen.</w:t>
      </w:r>
    </w:p>
    <w:p w14:paraId="46AD65B8" w14:textId="0D0716C2" w:rsidR="00594B31" w:rsidRDefault="00594B31" w:rsidP="00687085">
      <w:r>
        <w:t>Somit k</w:t>
      </w:r>
      <w:r w:rsidR="00562420">
        <w:t>ö</w:t>
      </w:r>
      <w:r>
        <w:t>nn</w:t>
      </w:r>
      <w:r w:rsidR="00562420">
        <w:t>en</w:t>
      </w:r>
      <w:r>
        <w:t xml:space="preserve"> weder </w:t>
      </w:r>
      <w:r w:rsidR="00562420">
        <w:t xml:space="preserve">auf </w:t>
      </w:r>
      <w:r w:rsidR="005F5895">
        <w:t>§ </w:t>
      </w:r>
      <w:r>
        <w:t xml:space="preserve">26 </w:t>
      </w:r>
      <w:r w:rsidR="005F5895">
        <w:t>Abs. </w:t>
      </w:r>
      <w:r>
        <w:t xml:space="preserve">3 BDSG noch auf </w:t>
      </w:r>
      <w:r w:rsidR="005F5895">
        <w:t>§ </w:t>
      </w:r>
      <w:r>
        <w:t xml:space="preserve">26 </w:t>
      </w:r>
      <w:r w:rsidR="005F5895">
        <w:t>Abs. </w:t>
      </w:r>
      <w:r>
        <w:t xml:space="preserve">4 BDSG beruhende Kollektivvereinbarungen über die Erlaubnisgrenzen von </w:t>
      </w:r>
      <w:r w:rsidR="005F5895">
        <w:t>Art. </w:t>
      </w:r>
      <w:r>
        <w:t xml:space="preserve">9 </w:t>
      </w:r>
      <w:r w:rsidR="005F5895">
        <w:t>Abs. </w:t>
      </w:r>
      <w:r>
        <w:t xml:space="preserve">2 </w:t>
      </w:r>
      <w:r w:rsidR="005F5895">
        <w:t>lit. </w:t>
      </w:r>
      <w:r>
        <w:t>b DS-GVO hinausreichen, die Möglichkeiten zur Erlaubnis der Verarbeitung besonderer Kategorien von Beschäftigtendaten findet hier also ihre Grenzen.</w:t>
      </w:r>
    </w:p>
    <w:p w14:paraId="58F9744B" w14:textId="5AA975F8" w:rsidR="00594B31" w:rsidRDefault="00594B31" w:rsidP="00687085">
      <w:r>
        <w:t xml:space="preserve">Nach </w:t>
      </w:r>
      <w:r w:rsidR="005F5895">
        <w:t>Art. </w:t>
      </w:r>
      <w:r>
        <w:t xml:space="preserve">9 </w:t>
      </w:r>
      <w:r w:rsidR="005F5895">
        <w:t>Abs. </w:t>
      </w:r>
      <w:r>
        <w:t xml:space="preserve">2 </w:t>
      </w:r>
      <w:r w:rsidR="005F5895">
        <w:t>lit. </w:t>
      </w:r>
      <w:r>
        <w:t xml:space="preserve">b DS-GVO ist nur nationales Recht zulässig, welches </w:t>
      </w:r>
      <w:r w:rsidRPr="00594B31">
        <w:t>geeignete Garantien für die Grundrechte und die Interessen der betroffenen Person vorsieht</w:t>
      </w:r>
      <w:r>
        <w:t xml:space="preserve">. Dies gilt selbstverständlich auch für </w:t>
      </w:r>
      <w:r w:rsidRPr="00594B31">
        <w:t>Kollektivvereinbarung</w:t>
      </w:r>
      <w:r>
        <w:t>en, welche ebenfalls nur gültig sein können, wenn entsprechende Garantien in den Kollektivvereinbarungen enthalten sind; auf die entsprechende Rechtsprechung wird hingewiesen.</w:t>
      </w:r>
      <w:r>
        <w:rPr>
          <w:rStyle w:val="Funotenzeichen"/>
        </w:rPr>
        <w:footnoteReference w:id="66"/>
      </w:r>
    </w:p>
    <w:p w14:paraId="69E0B973" w14:textId="0085FC1E" w:rsidR="00594B31" w:rsidRDefault="00594B31" w:rsidP="00687085">
      <w:r>
        <w:t xml:space="preserve">Im Rahmen des Beschäftigungsverhältnisses findet man </w:t>
      </w:r>
      <w:r w:rsidRPr="008B0D52">
        <w:t>eine</w:t>
      </w:r>
      <w:r w:rsidR="008B0D52" w:rsidRPr="008B0D52">
        <w:t>n</w:t>
      </w:r>
      <w:r w:rsidRPr="008B0D52">
        <w:t xml:space="preserve"> Rechtfertigungstatbestand</w:t>
      </w:r>
      <w:r>
        <w:t xml:space="preserve"> in </w:t>
      </w:r>
      <w:r w:rsidR="005F5895">
        <w:t>Art. </w:t>
      </w:r>
      <w:r>
        <w:t xml:space="preserve">6 </w:t>
      </w:r>
      <w:r w:rsidR="005F5895">
        <w:t>Abs. </w:t>
      </w:r>
      <w:r>
        <w:t xml:space="preserve">1 </w:t>
      </w:r>
      <w:r w:rsidR="005F5895">
        <w:t>lit. </w:t>
      </w:r>
      <w:r>
        <w:t>b DS-GVO, der auch vorvertragliche Maßnahmen umfasst.</w:t>
      </w:r>
    </w:p>
    <w:p w14:paraId="0B24EC0F" w14:textId="64EBE81C" w:rsidR="00594B31" w:rsidRDefault="00594B31" w:rsidP="00B62A63">
      <w:pPr>
        <w:pStyle w:val="berschrift4"/>
      </w:pPr>
      <w:bookmarkStart w:id="151" w:name="_Ref162674100"/>
      <w:bookmarkStart w:id="152" w:name="_Toc169934822"/>
      <w:r>
        <w:t>Forschung</w:t>
      </w:r>
      <w:bookmarkEnd w:id="151"/>
      <w:bookmarkEnd w:id="152"/>
    </w:p>
    <w:p w14:paraId="005C2AC9" w14:textId="10C9209B" w:rsidR="00594B31" w:rsidRDefault="005F5895" w:rsidP="00687085">
      <w:r>
        <w:t>§ </w:t>
      </w:r>
      <w:r w:rsidR="00594B31">
        <w:t xml:space="preserve">27 </w:t>
      </w:r>
      <w:r>
        <w:t>Abs. </w:t>
      </w:r>
      <w:r w:rsidR="00594B31">
        <w:t xml:space="preserve">1 BDSG erlaubt als nationale Umsetzung von </w:t>
      </w:r>
      <w:r>
        <w:t>Art. </w:t>
      </w:r>
      <w:r w:rsidR="00594B31">
        <w:t xml:space="preserve">9 </w:t>
      </w:r>
      <w:r>
        <w:t>Abs. </w:t>
      </w:r>
      <w:r w:rsidR="00594B31">
        <w:t xml:space="preserve">2 </w:t>
      </w:r>
      <w:r>
        <w:t>lit. </w:t>
      </w:r>
      <w:r w:rsidR="00594B31">
        <w:t xml:space="preserve">j DS-GVO die Nutzung von genetischen und Gesundheitsdaten </w:t>
      </w:r>
      <w:r w:rsidR="00594B31" w:rsidRPr="00594B31">
        <w:t>für wissenschaftliche oder historische Forschungszwecke oder für statistische Zwecke</w:t>
      </w:r>
      <w:r w:rsidR="00594B31">
        <w:t xml:space="preserve">, wenn die </w:t>
      </w:r>
      <w:r w:rsidR="008B0D52" w:rsidRPr="008B0D52">
        <w:t>D</w:t>
      </w:r>
      <w:r w:rsidR="00594B31" w:rsidRPr="008B0D52">
        <w:t>aten</w:t>
      </w:r>
      <w:r w:rsidR="00594B31">
        <w:t xml:space="preserve"> für diese Zwecke erforderlich sind und eine </w:t>
      </w:r>
      <w:r w:rsidR="00303763">
        <w:t xml:space="preserve">Interessenabwägung </w:t>
      </w:r>
      <w:r w:rsidR="00594B31">
        <w:t>ergibt, dass die „</w:t>
      </w:r>
      <w:r w:rsidR="00594B31" w:rsidRPr="00594B31">
        <w:t>Interessen des Verantwortlichen an der Verarbeitung die Interessen der betroffenen Person an einem Ausschluss der Verarbeitung erheblich überwiegen</w:t>
      </w:r>
      <w:r w:rsidR="00594B31">
        <w:t xml:space="preserve">“. Somit ist </w:t>
      </w:r>
      <w:r>
        <w:t>Art. </w:t>
      </w:r>
      <w:r w:rsidR="00594B31">
        <w:t xml:space="preserve">6 </w:t>
      </w:r>
      <w:r>
        <w:t>Abs. </w:t>
      </w:r>
      <w:r w:rsidR="00594B31">
        <w:t xml:space="preserve">1 </w:t>
      </w:r>
      <w:r>
        <w:t>lit. </w:t>
      </w:r>
      <w:r w:rsidR="00594B31">
        <w:t xml:space="preserve">f DS-GVO hier der Rechtfertigungstatbestand. Hingewiesen muss an dieser Stelle jedoch auf den Umstand, dass </w:t>
      </w:r>
      <w:r w:rsidR="00901E1F">
        <w:t xml:space="preserve">entsprechend </w:t>
      </w:r>
      <w:r>
        <w:t>§ </w:t>
      </w:r>
      <w:r w:rsidR="00594B31">
        <w:t xml:space="preserve">27 </w:t>
      </w:r>
      <w:r>
        <w:t>Abs. </w:t>
      </w:r>
      <w:r w:rsidR="00594B31">
        <w:t>1 BDSG ein „erhebliches“ Überwiegen nachgewiesen werden muss, ein einfaches überwiegendes Interesse eines Verantwortlichen reicht nicht.</w:t>
      </w:r>
    </w:p>
    <w:p w14:paraId="1FB1DD90" w14:textId="656F53C8" w:rsidR="00B62A63" w:rsidRDefault="00B62A63" w:rsidP="00B62A63">
      <w:pPr>
        <w:pStyle w:val="berschrift3"/>
      </w:pPr>
      <w:bookmarkStart w:id="153" w:name="_Toc169934823"/>
      <w:r w:rsidRPr="00B62A63">
        <w:t>Gesetz zur Nutzung von Gesundheitsdaten zu gemeinwohlorientierten Forschungszwecken und zur datenbasierten Weiterentwicklung des Gesundheitswesens (Gesundheitsdatennutzungsgesetz, GDNG)</w:t>
      </w:r>
      <w:bookmarkEnd w:id="153"/>
    </w:p>
    <w:p w14:paraId="14141D67" w14:textId="56F1BD24" w:rsidR="003F73B8" w:rsidRDefault="003F73B8" w:rsidP="003F73B8">
      <w:pPr>
        <w:pStyle w:val="berschrift4"/>
      </w:pPr>
      <w:bookmarkStart w:id="154" w:name="_Toc169934824"/>
      <w:r>
        <w:t>Allgemein</w:t>
      </w:r>
      <w:bookmarkEnd w:id="154"/>
    </w:p>
    <w:p w14:paraId="70BFCC67" w14:textId="17966318" w:rsidR="003F73B8" w:rsidRDefault="003F73B8" w:rsidP="00B62A63">
      <w:r>
        <w:t xml:space="preserve">Das </w:t>
      </w:r>
      <w:r w:rsidRPr="003F73B8">
        <w:t>GDNG</w:t>
      </w:r>
      <w:r>
        <w:t xml:space="preserve"> enthält leider diverse Rechtsunsicherheiten. Beispielsweise soll entsprechend </w:t>
      </w:r>
      <w:r w:rsidR="005F5895">
        <w:t>§ </w:t>
      </w:r>
      <w:r>
        <w:t xml:space="preserve">1 </w:t>
      </w:r>
      <w:r w:rsidR="005F5895">
        <w:t>Abs. </w:t>
      </w:r>
      <w:r>
        <w:t xml:space="preserve">3 GDNG </w:t>
      </w:r>
      <w:r w:rsidRPr="003F73B8">
        <w:t>Regelungen</w:t>
      </w:r>
      <w:r>
        <w:t xml:space="preserve"> des GDNG gegenüber Regelungen des fünften und elften SGB vorrangig gelten</w:t>
      </w:r>
      <w:r w:rsidR="00901E1F">
        <w:t>.</w:t>
      </w:r>
      <w:r>
        <w:t xml:space="preserve"> </w:t>
      </w:r>
      <w:r w:rsidR="00901E1F" w:rsidRPr="00901E1F">
        <w:t>Jedoch ist die Verarbeitung von Sozialdaten in den Sozialgesetzbüchern abschließend geregelt (§</w:t>
      </w:r>
      <w:r w:rsidR="00901E1F">
        <w:t> </w:t>
      </w:r>
      <w:r w:rsidR="00901E1F" w:rsidRPr="00901E1F">
        <w:t>35 Abs.</w:t>
      </w:r>
      <w:r w:rsidR="00901E1F">
        <w:t> </w:t>
      </w:r>
      <w:r w:rsidR="00901E1F" w:rsidRPr="00901E1F">
        <w:t>2 SGB I). Ohne Änderung des §</w:t>
      </w:r>
      <w:r w:rsidR="00901E1F">
        <w:t> </w:t>
      </w:r>
      <w:r w:rsidR="00901E1F" w:rsidRPr="00901E1F">
        <w:t>35 Abs. 2</w:t>
      </w:r>
      <w:r w:rsidR="00901E1F">
        <w:t> </w:t>
      </w:r>
      <w:r w:rsidR="00901E1F" w:rsidRPr="00901E1F">
        <w:t xml:space="preserve">SGB I dürfte das GDNG keine </w:t>
      </w:r>
      <w:r w:rsidR="00901E1F">
        <w:t xml:space="preserve">hiervon </w:t>
      </w:r>
      <w:r w:rsidR="00901E1F" w:rsidRPr="00901E1F">
        <w:t>abweichende Regelung erlassen.</w:t>
      </w:r>
      <w:r w:rsidR="00D71A87">
        <w:t xml:space="preserve"> Für </w:t>
      </w:r>
      <w:r>
        <w:t>den Rechtsanwender ist somit unklar, welche Regelungen anzuwenden sind.</w:t>
      </w:r>
    </w:p>
    <w:p w14:paraId="20501268" w14:textId="463A5BD3" w:rsidR="003F73B8" w:rsidRDefault="003F73B8" w:rsidP="00B62A63">
      <w:r>
        <w:t>Letztlich muss ein Rechtsanwender selbst entscheiden, ob er im GDNG enthaltene Regelungen zur Erlaubnis der Verarbeitung personenbezogener Daten nutzen will, oder aufgrund der rechtlichen Unsicherheiten darauf verzichtet.</w:t>
      </w:r>
    </w:p>
    <w:p w14:paraId="3C99CAF2" w14:textId="7CC00634" w:rsidR="003F73B8" w:rsidRDefault="003F73B8" w:rsidP="003F73B8">
      <w:pPr>
        <w:pStyle w:val="berschrift4"/>
      </w:pPr>
      <w:bookmarkStart w:id="155" w:name="_Toc169934825"/>
      <w:r>
        <w:t>GDNG: Bundes- vs. Landesrecht</w:t>
      </w:r>
      <w:bookmarkEnd w:id="155"/>
    </w:p>
    <w:p w14:paraId="4D6E6376" w14:textId="3BA2B0A3" w:rsidR="00B62A63" w:rsidRDefault="003F73B8" w:rsidP="00B62A63">
      <w:r>
        <w:t xml:space="preserve">Das GDNG unterliegt als Bundesgesetz den Beschränkungen, denen der Bundesgesetzgeber unterliegt (siehe Kapitel </w:t>
      </w:r>
      <w:r>
        <w:fldChar w:fldCharType="begin"/>
      </w:r>
      <w:r>
        <w:instrText xml:space="preserve"> REF _Ref162695738 \r \h </w:instrText>
      </w:r>
      <w:r>
        <w:fldChar w:fldCharType="separate"/>
      </w:r>
      <w:r w:rsidR="00F43608">
        <w:t>6.6</w:t>
      </w:r>
      <w:r>
        <w:fldChar w:fldCharType="end"/>
      </w:r>
      <w:r>
        <w:t xml:space="preserve">), insbesondere gilt für Krankenhäuser vorrangig das Landesrecht. Beispielsweise verlangt </w:t>
      </w:r>
      <w:r w:rsidR="005F5895">
        <w:t>§ </w:t>
      </w:r>
      <w:r>
        <w:t xml:space="preserve">38 </w:t>
      </w:r>
      <w:r w:rsidR="005F5895">
        <w:t>Abs. </w:t>
      </w:r>
      <w:r>
        <w:t xml:space="preserve">1 LKHG </w:t>
      </w:r>
      <w:r w:rsidRPr="003F73B8">
        <w:t>Schleswig-Holstein</w:t>
      </w:r>
      <w:r>
        <w:t xml:space="preserve"> für die Nutzung von Patientendaten zu Forschungszwecken grundsätzlich eine Einwilligung; diese Regelung ist gegenüber Regelungen des GDNG vorrangig anzuwenden, </w:t>
      </w:r>
      <w:r w:rsidRPr="003F73B8">
        <w:t>d. h.,</w:t>
      </w:r>
      <w:r>
        <w:t xml:space="preserve"> das GDNG kann keine Verarbeitung erlauben, wenn der Landesgesetzgeber andersartige Regelungen erlassen hat. Nur wenn der Landesgesetzgeber keine Regelungen für Krankenhäuser erlassen hat, kann die Regelungslücke durch das GDNG genutzt werden und Verarbeitungen erlauben.</w:t>
      </w:r>
    </w:p>
    <w:p w14:paraId="216DFC60" w14:textId="7E160B8C" w:rsidR="003F73B8" w:rsidRDefault="003F73B8" w:rsidP="003F73B8">
      <w:pPr>
        <w:pStyle w:val="berschrift4"/>
      </w:pPr>
      <w:bookmarkStart w:id="156" w:name="_Toc169934826"/>
      <w:r>
        <w:t>Erlaubnistatbestände</w:t>
      </w:r>
      <w:r w:rsidR="00303763">
        <w:t xml:space="preserve"> des GDNG</w:t>
      </w:r>
      <w:bookmarkEnd w:id="156"/>
    </w:p>
    <w:p w14:paraId="1CF43B56" w14:textId="2B56EBBD" w:rsidR="003F73B8" w:rsidRDefault="005F5895" w:rsidP="003F73B8">
      <w:pPr>
        <w:spacing w:after="0"/>
      </w:pPr>
      <w:r>
        <w:t>§ </w:t>
      </w:r>
      <w:r w:rsidR="003F73B8">
        <w:t xml:space="preserve">6 </w:t>
      </w:r>
      <w:r>
        <w:t>Abs. </w:t>
      </w:r>
      <w:r w:rsidR="003F73B8">
        <w:t xml:space="preserve">1 GDNG erlaubt </w:t>
      </w:r>
      <w:r w:rsidR="003F73B8" w:rsidRPr="005F5895">
        <w:t>datenverarbeitenden</w:t>
      </w:r>
      <w:r w:rsidR="003F73B8" w:rsidRPr="003F73B8">
        <w:t xml:space="preserve"> Gesundheitseinrichtungen</w:t>
      </w:r>
      <w:r w:rsidR="00D71A87">
        <w:t>,</w:t>
      </w:r>
      <w:r w:rsidR="003F73B8">
        <w:t xml:space="preserve"> die bei Ihnen re</w:t>
      </w:r>
      <w:r w:rsidR="003F73B8" w:rsidRPr="003F73B8">
        <w:t xml:space="preserve">chtmäßig gespeicherten Daten </w:t>
      </w:r>
      <w:r w:rsidR="003F73B8">
        <w:t xml:space="preserve">zu </w:t>
      </w:r>
      <w:r w:rsidR="003F73B8" w:rsidRPr="005F5895">
        <w:t>Zwecken</w:t>
      </w:r>
    </w:p>
    <w:p w14:paraId="026031A4" w14:textId="618531DE" w:rsidR="003F73B8" w:rsidRDefault="003F73B8">
      <w:pPr>
        <w:pStyle w:val="Listenabsatz"/>
        <w:numPr>
          <w:ilvl w:val="0"/>
          <w:numId w:val="38"/>
        </w:numPr>
      </w:pPr>
      <w:r w:rsidRPr="005F5895">
        <w:t>der</w:t>
      </w:r>
      <w:r>
        <w:t xml:space="preserve"> Q</w:t>
      </w:r>
      <w:r w:rsidRPr="003F73B8">
        <w:t>ualitätssicherung und zur Förderung der Patientensicherheit,</w:t>
      </w:r>
    </w:p>
    <w:p w14:paraId="57F9D08D" w14:textId="315648DA" w:rsidR="003F73B8" w:rsidRDefault="003F73B8">
      <w:pPr>
        <w:pStyle w:val="Listenabsatz"/>
        <w:numPr>
          <w:ilvl w:val="0"/>
          <w:numId w:val="38"/>
        </w:numPr>
      </w:pPr>
      <w:r w:rsidRPr="005F5895">
        <w:t>der</w:t>
      </w:r>
      <w:r>
        <w:t xml:space="preserve"> m</w:t>
      </w:r>
      <w:r w:rsidRPr="003F73B8">
        <w:t>edizinischen, zur rehabilitativen und zur pflegerischen Forschun</w:t>
      </w:r>
      <w:r>
        <w:t>g sowie</w:t>
      </w:r>
    </w:p>
    <w:p w14:paraId="2903260B" w14:textId="068BBDD4" w:rsidR="003F73B8" w:rsidRDefault="003F73B8">
      <w:pPr>
        <w:pStyle w:val="Listenabsatz"/>
        <w:numPr>
          <w:ilvl w:val="0"/>
          <w:numId w:val="38"/>
        </w:numPr>
        <w:spacing w:after="0"/>
        <w:ind w:left="714" w:hanging="357"/>
      </w:pPr>
      <w:r w:rsidRPr="005F5895">
        <w:t>zu</w:t>
      </w:r>
      <w:r>
        <w:t xml:space="preserve"> </w:t>
      </w:r>
      <w:r w:rsidRPr="003F73B8">
        <w:t>statistischen Zwecken, einschließlich der Gesundheitsberichterstattun</w:t>
      </w:r>
      <w:r>
        <w:t>g</w:t>
      </w:r>
    </w:p>
    <w:p w14:paraId="1E27679D" w14:textId="5E9EEE56" w:rsidR="003F73B8" w:rsidRDefault="003F73B8" w:rsidP="00B62A63">
      <w:r w:rsidRPr="005F5895">
        <w:t>zu</w:t>
      </w:r>
      <w:r>
        <w:t xml:space="preserve"> verarbeiten</w:t>
      </w:r>
      <w:r w:rsidR="00D71A87">
        <w:t xml:space="preserve">, </w:t>
      </w:r>
      <w:r w:rsidR="00D71A87" w:rsidRPr="00D71A87">
        <w:t xml:space="preserve">soweit dies </w:t>
      </w:r>
      <w:r w:rsidR="00D71A87">
        <w:t xml:space="preserve">zur Erreichung des jeweiligen Zweckes </w:t>
      </w:r>
      <w:r w:rsidR="00D71A87" w:rsidRPr="00D71A87">
        <w:t>erforderlich ist</w:t>
      </w:r>
      <w:r>
        <w:t>.</w:t>
      </w:r>
    </w:p>
    <w:p w14:paraId="69C09473" w14:textId="4C3335EB" w:rsidR="003F73B8" w:rsidRDefault="005F5895" w:rsidP="003F73B8">
      <w:pPr>
        <w:spacing w:after="0"/>
      </w:pPr>
      <w:r>
        <w:t>§ </w:t>
      </w:r>
      <w:r w:rsidR="003F73B8">
        <w:t xml:space="preserve">6 </w:t>
      </w:r>
      <w:r>
        <w:t>Abs. </w:t>
      </w:r>
      <w:r w:rsidR="003F73B8">
        <w:t xml:space="preserve">1 </w:t>
      </w:r>
      <w:r>
        <w:t>lit. </w:t>
      </w:r>
      <w:r w:rsidR="003F73B8">
        <w:t xml:space="preserve">a GDNG adressiert </w:t>
      </w:r>
      <w:r>
        <w:t>Art. </w:t>
      </w:r>
      <w:r w:rsidR="003F73B8">
        <w:t xml:space="preserve">9 </w:t>
      </w:r>
      <w:r>
        <w:t>Abs. </w:t>
      </w:r>
      <w:r w:rsidR="003F73B8">
        <w:t xml:space="preserve">2 </w:t>
      </w:r>
      <w:r>
        <w:t>lit. </w:t>
      </w:r>
      <w:r w:rsidR="003F73B8">
        <w:t xml:space="preserve">i DS-GVO, soweit diese Regelung der </w:t>
      </w:r>
      <w:r w:rsidR="003F73B8" w:rsidRPr="003F73B8">
        <w:t>Gewährleistung hoher Qualitäts- und Sicherheitsstandards bei der Gesundheitsversorgung</w:t>
      </w:r>
      <w:r w:rsidR="003F73B8">
        <w:t xml:space="preserve"> dient. Eine hohe Qualität in der Patientenversorgung liegt im öffentlichen Interesse, Rechtfertigungstatbestand ist somit </w:t>
      </w:r>
      <w:r>
        <w:t>Art. </w:t>
      </w:r>
      <w:r w:rsidR="003F73B8">
        <w:t xml:space="preserve">6 </w:t>
      </w:r>
      <w:r>
        <w:t>Abs. </w:t>
      </w:r>
      <w:r w:rsidR="003F73B8">
        <w:t xml:space="preserve">1 </w:t>
      </w:r>
      <w:r>
        <w:t>lit. </w:t>
      </w:r>
      <w:r w:rsidR="003F73B8">
        <w:t xml:space="preserve">e DS-GVO. Die von </w:t>
      </w:r>
      <w:r>
        <w:t>Art. </w:t>
      </w:r>
      <w:r w:rsidR="003F73B8" w:rsidRPr="00562420">
        <w:t xml:space="preserve">6 </w:t>
      </w:r>
      <w:r>
        <w:t>Abs. </w:t>
      </w:r>
      <w:r w:rsidR="003F73B8" w:rsidRPr="00562420">
        <w:t xml:space="preserve">3 </w:t>
      </w:r>
      <w:r w:rsidR="00D71A87">
        <w:t>DS-GVO</w:t>
      </w:r>
      <w:r w:rsidR="00D83C3D">
        <w:t xml:space="preserve"> </w:t>
      </w:r>
      <w:r w:rsidR="003F73B8">
        <w:t xml:space="preserve">verlangte </w:t>
      </w:r>
      <w:r w:rsidR="003F73B8" w:rsidRPr="00562420">
        <w:t xml:space="preserve">nationale Rechtsgrundlage </w:t>
      </w:r>
      <w:r w:rsidR="003F73B8">
        <w:t xml:space="preserve">für diese Aufgabe im öffentlichen Interesse stellt die Regelung im GDNG dar. Ob </w:t>
      </w:r>
      <w:r>
        <w:t>§ </w:t>
      </w:r>
      <w:r w:rsidR="003F73B8">
        <w:t xml:space="preserve">6 </w:t>
      </w:r>
      <w:r>
        <w:t>Abs. </w:t>
      </w:r>
      <w:r w:rsidR="003F73B8">
        <w:t xml:space="preserve">1 S. 2 GDNG den Erfordernissen aus </w:t>
      </w:r>
      <w:r>
        <w:t>Art. </w:t>
      </w:r>
      <w:r w:rsidR="003F73B8">
        <w:t xml:space="preserve">9 </w:t>
      </w:r>
      <w:r>
        <w:t>Abs. </w:t>
      </w:r>
      <w:r w:rsidR="003F73B8" w:rsidRPr="003F73B8">
        <w:t>2</w:t>
      </w:r>
      <w:r w:rsidR="003F73B8">
        <w:t xml:space="preserve"> </w:t>
      </w:r>
      <w:r>
        <w:t>lit. </w:t>
      </w:r>
      <w:r w:rsidR="003F73B8">
        <w:t xml:space="preserve">i DS-GVO genügt, </w:t>
      </w:r>
      <w:r w:rsidR="003F73B8" w:rsidRPr="005F5895">
        <w:t>also</w:t>
      </w:r>
    </w:p>
    <w:p w14:paraId="58F6BFD0" w14:textId="77777777" w:rsidR="003F73B8" w:rsidRDefault="003F73B8" w:rsidP="003F73B8">
      <w:pPr>
        <w:pStyle w:val="Listenabsatz"/>
        <w:numPr>
          <w:ilvl w:val="0"/>
          <w:numId w:val="18"/>
        </w:numPr>
      </w:pPr>
      <w:r w:rsidRPr="005F5895">
        <w:t>angemessene</w:t>
      </w:r>
      <w:r w:rsidRPr="003F73B8">
        <w:t xml:space="preserve"> und spezifische Maßnahmen zur Wahrung der Rechte und Freiheiten der betroffenen Person</w:t>
      </w:r>
      <w:r>
        <w:t xml:space="preserve"> vorsieht</w:t>
      </w:r>
      <w:r w:rsidRPr="003F73B8">
        <w:t>,</w:t>
      </w:r>
    </w:p>
    <w:p w14:paraId="2D572C14" w14:textId="77777777" w:rsidR="003F73B8" w:rsidRDefault="003F73B8" w:rsidP="003F73B8">
      <w:pPr>
        <w:pStyle w:val="Listenabsatz"/>
        <w:numPr>
          <w:ilvl w:val="0"/>
          <w:numId w:val="18"/>
        </w:numPr>
      </w:pPr>
      <w:r w:rsidRPr="005F5895">
        <w:t>insbesondere</w:t>
      </w:r>
      <w:r>
        <w:t xml:space="preserve"> eine Verarbeitung auf das erforderliche Maß </w:t>
      </w:r>
      <w:r w:rsidRPr="005F5895">
        <w:t>begrenzt</w:t>
      </w:r>
    </w:p>
    <w:p w14:paraId="3D25DD40" w14:textId="3C0E3296" w:rsidR="003F73B8" w:rsidRDefault="003F73B8" w:rsidP="003F73B8">
      <w:pPr>
        <w:pStyle w:val="Listenabsatz"/>
        <w:numPr>
          <w:ilvl w:val="0"/>
          <w:numId w:val="18"/>
        </w:numPr>
        <w:spacing w:after="0"/>
        <w:ind w:left="714" w:hanging="357"/>
      </w:pPr>
      <w:r w:rsidRPr="005F5895">
        <w:t>und</w:t>
      </w:r>
      <w:r>
        <w:t xml:space="preserve"> das </w:t>
      </w:r>
      <w:r w:rsidRPr="003F73B8">
        <w:t>Berufsgeheimnisses</w:t>
      </w:r>
      <w:r>
        <w:t xml:space="preserve"> wahrt,</w:t>
      </w:r>
    </w:p>
    <w:p w14:paraId="667EBD2A" w14:textId="694990C0" w:rsidR="003F73B8" w:rsidRDefault="003F73B8" w:rsidP="003F73B8">
      <w:r w:rsidRPr="005F5895">
        <w:t>muss</w:t>
      </w:r>
      <w:r>
        <w:t xml:space="preserve"> insbesondere auf die Wahrung des Berufsgeheimnisses bezweifelt werden; </w:t>
      </w:r>
      <w:r w:rsidR="005F5895">
        <w:t>§ </w:t>
      </w:r>
      <w:r>
        <w:t xml:space="preserve">6 GDNG verlangt </w:t>
      </w:r>
      <w:r w:rsidR="00901E1F">
        <w:t>nicht</w:t>
      </w:r>
      <w:r>
        <w:t xml:space="preserve">, dass die Daten von Verantwortlichen verarbeitet werden, welche </w:t>
      </w:r>
      <w:r w:rsidRPr="003F73B8">
        <w:t>dem Berufsgeheimnis unterlieg</w:t>
      </w:r>
      <w:r>
        <w:t>en.</w:t>
      </w:r>
    </w:p>
    <w:p w14:paraId="5733C348" w14:textId="3B660D13" w:rsidR="003F73B8" w:rsidRPr="00B62A63" w:rsidRDefault="005F5895" w:rsidP="00B62A63">
      <w:r>
        <w:t>§ </w:t>
      </w:r>
      <w:r w:rsidR="003F73B8">
        <w:t xml:space="preserve">6 </w:t>
      </w:r>
      <w:r>
        <w:t>Abs. </w:t>
      </w:r>
      <w:r w:rsidR="003F73B8">
        <w:t xml:space="preserve">1 </w:t>
      </w:r>
      <w:r>
        <w:t>lit. </w:t>
      </w:r>
      <w:r w:rsidR="003F73B8">
        <w:t xml:space="preserve">b und c GDNG sind Regelungen, welche ihre Entsprechung in </w:t>
      </w:r>
      <w:r>
        <w:t>Art. </w:t>
      </w:r>
      <w:r w:rsidR="003F73B8">
        <w:t xml:space="preserve">9 </w:t>
      </w:r>
      <w:r>
        <w:t>Abs. </w:t>
      </w:r>
      <w:r w:rsidR="003F73B8">
        <w:t xml:space="preserve">2 </w:t>
      </w:r>
      <w:r>
        <w:t>lit. </w:t>
      </w:r>
      <w:r w:rsidR="003F73B8">
        <w:t xml:space="preserve">j DS-GVO. Hier wird i. d. R. eine </w:t>
      </w:r>
      <w:r w:rsidR="00303763">
        <w:t xml:space="preserve">Interessenabwägung </w:t>
      </w:r>
      <w:r w:rsidR="003F73B8">
        <w:t xml:space="preserve">nach </w:t>
      </w:r>
      <w:r>
        <w:t>Art. </w:t>
      </w:r>
      <w:r w:rsidR="003F73B8">
        <w:t xml:space="preserve">6 </w:t>
      </w:r>
      <w:r>
        <w:t>Abs. </w:t>
      </w:r>
      <w:r w:rsidR="003F73B8">
        <w:t xml:space="preserve">1 </w:t>
      </w:r>
      <w:r>
        <w:t>lit. </w:t>
      </w:r>
      <w:r w:rsidR="003F73B8">
        <w:t xml:space="preserve">f DS-GVO erforderlich sein (siehe Kapitel </w:t>
      </w:r>
      <w:r w:rsidR="003F73B8">
        <w:fldChar w:fldCharType="begin"/>
      </w:r>
      <w:r w:rsidR="003F73B8">
        <w:instrText xml:space="preserve"> REF _Ref163892018 \r \h </w:instrText>
      </w:r>
      <w:r w:rsidR="003F73B8">
        <w:fldChar w:fldCharType="separate"/>
      </w:r>
      <w:r w:rsidR="00F43608">
        <w:t>5.10</w:t>
      </w:r>
      <w:r w:rsidR="003F73B8">
        <w:fldChar w:fldCharType="end"/>
      </w:r>
      <w:r w:rsidR="003F73B8">
        <w:t>).</w:t>
      </w:r>
    </w:p>
    <w:p w14:paraId="403A7FCF" w14:textId="479F5346" w:rsidR="00B62A63" w:rsidRDefault="00B62A63" w:rsidP="00B62A63">
      <w:pPr>
        <w:pStyle w:val="berschrift3"/>
      </w:pPr>
      <w:bookmarkStart w:id="157" w:name="_Toc169934827"/>
      <w:r>
        <w:t>Verarbeitung personenbezogener Daten durch Schwerbehindertenvertretung</w:t>
      </w:r>
      <w:bookmarkEnd w:id="157"/>
    </w:p>
    <w:p w14:paraId="1F460D6E" w14:textId="56B1BCB9" w:rsidR="00B62A63" w:rsidRDefault="003B642E" w:rsidP="00B62A63">
      <w:r w:rsidRPr="003B642E">
        <w:t>Eine Schwerbehindertenvertretung (SBV) ist nach §</w:t>
      </w:r>
      <w:r>
        <w:t> </w:t>
      </w:r>
      <w:r w:rsidRPr="003B642E">
        <w:t>177 Abs.</w:t>
      </w:r>
      <w:r>
        <w:t> </w:t>
      </w:r>
      <w:r w:rsidRPr="003B642E">
        <w:t>1 SBG IX immer dann einzurichten, wenn in einer Organisation mindestens fünf schwerbehinderte Menschen nicht nur vorübergehend beschäftigt sind. Abweichend von den Regelungen des BetrVG sind dabei auch leitende Angestellte in den berücksichtigenden Personenkreis einzubeziehen. Die Tätigkeit der SBV ist eng mit dem Beschäftigungsverhältnis verknüpft. Die Regelungen des §</w:t>
      </w:r>
      <w:r>
        <w:t> </w:t>
      </w:r>
      <w:r w:rsidRPr="003B642E">
        <w:t>26 BDSG bei nicht-öffentlichen Arbeitgebenden bzw. aus den Landesdatenschutzgesetzen (z.</w:t>
      </w:r>
      <w:r>
        <w:t> </w:t>
      </w:r>
      <w:r w:rsidRPr="003B642E">
        <w:t>B. §</w:t>
      </w:r>
      <w:r>
        <w:t> </w:t>
      </w:r>
      <w:r w:rsidRPr="003B642E">
        <w:t>15 LDSG BW) gelten entsprechend.</w:t>
      </w:r>
    </w:p>
    <w:p w14:paraId="507F4BA2" w14:textId="77777777" w:rsidR="003B642E" w:rsidRDefault="003B642E" w:rsidP="003B642E">
      <w:pPr>
        <w:spacing w:after="0"/>
      </w:pPr>
      <w:r>
        <w:t>Die Verarbeitung personenbezogener Daten durch die SBV kann insbesondere zulässig sein, wenn</w:t>
      </w:r>
    </w:p>
    <w:p w14:paraId="3E85702D" w14:textId="7049B4DF" w:rsidR="003B642E" w:rsidRDefault="003B642E">
      <w:pPr>
        <w:pStyle w:val="Listenabsatz"/>
        <w:numPr>
          <w:ilvl w:val="0"/>
          <w:numId w:val="43"/>
        </w:numPr>
      </w:pPr>
      <w:r>
        <w:t xml:space="preserve">es dafür eine klare gesetzliche Grundlage gibt (z. B. </w:t>
      </w:r>
      <w:r w:rsidR="00640CEA">
        <w:t xml:space="preserve">§ 167 Abs. 2 </w:t>
      </w:r>
      <w:r>
        <w:t xml:space="preserve">SGB </w:t>
      </w:r>
      <w:r w:rsidR="00640CEA">
        <w:t xml:space="preserve">IX </w:t>
      </w:r>
      <w:r>
        <w:t>zum Betrieblichen Eingliederungsmanagement (BEM)</w:t>
      </w:r>
      <w:r w:rsidR="00640CEA">
        <w:t>, wo nach Zustimmung der betroffenen Person</w:t>
      </w:r>
      <w:r w:rsidR="0095479E">
        <w:rPr>
          <w:rStyle w:val="Funotenzeichen"/>
        </w:rPr>
        <w:footnoteReference w:id="67"/>
      </w:r>
      <w:r w:rsidR="00640CEA">
        <w:t xml:space="preserve"> die SBV wie auch eine Mitarbeitervertretung in den </w:t>
      </w:r>
      <w:r w:rsidR="00303763">
        <w:t>P</w:t>
      </w:r>
      <w:r w:rsidR="00640CEA">
        <w:t>rozess einbezogen werden darf)</w:t>
      </w:r>
      <w:r>
        <w:t>,</w:t>
      </w:r>
    </w:p>
    <w:p w14:paraId="202D3E86" w14:textId="428C665B" w:rsidR="003B642E" w:rsidRDefault="003B642E">
      <w:pPr>
        <w:pStyle w:val="Listenabsatz"/>
        <w:numPr>
          <w:ilvl w:val="0"/>
          <w:numId w:val="43"/>
        </w:numPr>
      </w:pPr>
      <w:r>
        <w:t xml:space="preserve">der Beschäftigte eingewilligt hat </w:t>
      </w:r>
      <w:r w:rsidR="00EB2DFF">
        <w:t>oder</w:t>
      </w:r>
    </w:p>
    <w:p w14:paraId="02C45BCC" w14:textId="70C7AC36" w:rsidR="003B642E" w:rsidRDefault="003B642E">
      <w:pPr>
        <w:pStyle w:val="Listenabsatz"/>
        <w:numPr>
          <w:ilvl w:val="0"/>
          <w:numId w:val="43"/>
        </w:numPr>
        <w:spacing w:after="0"/>
        <w:ind w:left="714" w:hanging="357"/>
      </w:pPr>
      <w:r>
        <w:t>eine entsprechende kollektivrechtliche Vereinbarung (Betriebsvereinbarung o.ä.) besteht.</w:t>
      </w:r>
    </w:p>
    <w:p w14:paraId="07B206F2" w14:textId="6FFCC0F9" w:rsidR="003B642E" w:rsidRDefault="003B642E" w:rsidP="003B642E">
      <w:r>
        <w:t xml:space="preserve">Bzgl. Betriebsvereinbarung siehe auch den Hinweis zum laufenden EuGH-Verfahren in Kapitel </w:t>
      </w:r>
      <w:r>
        <w:fldChar w:fldCharType="begin"/>
      </w:r>
      <w:r>
        <w:instrText xml:space="preserve"> REF _Ref164679453 \r \h </w:instrText>
      </w:r>
      <w:r>
        <w:fldChar w:fldCharType="separate"/>
      </w:r>
      <w:r w:rsidR="00F43608">
        <w:t>7.1.1.2</w:t>
      </w:r>
      <w:r>
        <w:fldChar w:fldCharType="end"/>
      </w:r>
      <w:r>
        <w:t xml:space="preserve">. </w:t>
      </w:r>
    </w:p>
    <w:p w14:paraId="42024EAA" w14:textId="75115135" w:rsidR="003B642E" w:rsidRDefault="003B642E" w:rsidP="003B642E">
      <w:pPr>
        <w:spacing w:after="0"/>
      </w:pPr>
      <w:r>
        <w:t>Die Aufgaben der SBV sind u.a. in § 178 SGB IX geregelt.</w:t>
      </w:r>
    </w:p>
    <w:p w14:paraId="6D90BA61" w14:textId="44DDDF5E" w:rsidR="003B642E" w:rsidRDefault="003B642E">
      <w:pPr>
        <w:pStyle w:val="Listenabsatz"/>
        <w:numPr>
          <w:ilvl w:val="0"/>
          <w:numId w:val="44"/>
        </w:numPr>
      </w:pPr>
      <w:r>
        <w:t>Nach § 178 Abs. 1 SGV IX unterstützt die SBV beschäftigte Personen bei Anträgen auf Feststellung einer Behinderung, ihres Grades und einer Schwerbehinderung bei den nach § 152 Abs 1 SGB IX zuständigen Behörden sowie bei Anträgen auf Gleichstellung bei der Agentur für Arbeit. Die Unterstützung erfolgt auf der Grundlage einer vorausgehenden Einwilligung des Beschäftigten.</w:t>
      </w:r>
    </w:p>
    <w:p w14:paraId="644B1E49" w14:textId="36AD4013" w:rsidR="003B642E" w:rsidRDefault="003B642E">
      <w:pPr>
        <w:pStyle w:val="Listenabsatz"/>
        <w:numPr>
          <w:ilvl w:val="0"/>
          <w:numId w:val="44"/>
        </w:numPr>
      </w:pPr>
      <w:r>
        <w:t xml:space="preserve">Gemäß § 178 Abs. 2 S. 4 SGB IX hat die SBV bei Bewerbungen ein </w:t>
      </w:r>
      <w:r w:rsidR="00901E1F">
        <w:t>Recht auf Einsicht in die entscheidungsrelevanten</w:t>
      </w:r>
      <w:r w:rsidR="00901E1F">
        <w:rPr>
          <w:rStyle w:val="Funotenzeichen"/>
        </w:rPr>
        <w:footnoteReference w:id="68"/>
      </w:r>
      <w:r w:rsidR="00901E1F">
        <w:t xml:space="preserve"> </w:t>
      </w:r>
      <w:r>
        <w:t>Teile der Bewerbungsunterlagen, und zwar nicht nur der schwerbehinderten Menschen, sondern sämtlicher Bewerber. Entsprechend hat die SBV ein Teilnahmerecht an den Vorstellungsgesprächen der schwerbehinderten und der nicht behinderten Bewerbern</w:t>
      </w:r>
      <w:r w:rsidR="00901E1F">
        <w:t xml:space="preserve">; dies allerdings nur, wenn sich </w:t>
      </w:r>
      <w:r w:rsidR="00901E1F" w:rsidRPr="00901E1F">
        <w:t>ein schwerbehinderter</w:t>
      </w:r>
      <w:r w:rsidR="00901E1F">
        <w:t xml:space="preserve"> </w:t>
      </w:r>
      <w:r w:rsidR="00901E1F" w:rsidRPr="00901E1F">
        <w:t>oder gleichgestellter behinderter Mensch beworben hat</w:t>
      </w:r>
      <w:r>
        <w:t>.</w:t>
      </w:r>
      <w:r w:rsidR="00901E1F">
        <w:rPr>
          <w:rStyle w:val="Funotenzeichen"/>
        </w:rPr>
        <w:footnoteReference w:id="69"/>
      </w:r>
      <w:r>
        <w:t xml:space="preserve"> </w:t>
      </w:r>
    </w:p>
    <w:p w14:paraId="30D5CAE2" w14:textId="7C2D940B" w:rsidR="003B642E" w:rsidRDefault="003B642E">
      <w:pPr>
        <w:pStyle w:val="Listenabsatz"/>
        <w:numPr>
          <w:ilvl w:val="0"/>
          <w:numId w:val="44"/>
        </w:numPr>
        <w:spacing w:after="0"/>
        <w:ind w:left="714" w:hanging="357"/>
      </w:pPr>
      <w:r>
        <w:t>Ein Einsichtsrecht der SBV in die Personalakte besteht dagegen nur, wenn der schwerbehinderte Mensch zuvor ausdrücklich hierin nach Maßgabe der DS-GVO eingewilligt hat (§ 178 Abs. 3 SGB IX).</w:t>
      </w:r>
    </w:p>
    <w:p w14:paraId="5ADD433F" w14:textId="1332F05F" w:rsidR="003B642E" w:rsidRDefault="003B642E" w:rsidP="003B642E">
      <w:r>
        <w:t>Auch in diesen Fällen ist für die Verarbeitung von personenbezogenen Daten durch eine SBV immer eine Einwilligung der jeweiligen von der Verarbeitung betroffenen Person erforderlich.</w:t>
      </w:r>
      <w:r w:rsidR="00640CEA">
        <w:t xml:space="preserve"> </w:t>
      </w:r>
      <w:r w:rsidR="00640CEA" w:rsidRPr="00640CEA">
        <w:t>Dies gilt ebenfalls für ein Einsichtsrecht der SBV in die Personalakte. Der schwerbehinderte Mensch hat zuvor ausdrücklich hierin nach Maßgabe der DS-GVO einzuwilligen (§ 178 Abs. 3 SGB IX).</w:t>
      </w:r>
    </w:p>
    <w:p w14:paraId="14D51D51" w14:textId="2FE080A1" w:rsidR="003B642E" w:rsidRDefault="003B642E" w:rsidP="003B642E">
      <w:r>
        <w:t xml:space="preserve">Möchte der Arbeitgeber Darlehen oder Zuschüsse für die Schaffung von Arbeits- und Ausbildungsplätze für schwerbehinderte Menschen gemäß § 15 SchwAV oder Leistungen zur behindertengerechten Einrichtung von Arbeits- und Ausbildungsplätzen für schwerbehinderte Menschen gemäß § 26 SchwAV stellen, so kann die Antragstellung beim Inklusionsamt und folglich die Weitergabe von personenbezogenen Daten (z.B. Arbeitsvertrag, Gehalts- und Lohnabrechnung, Kopie des Schwerbehindertenausweises, etc.) nur auf Basis einer Einwilligung durch den Beschäftigten erfolgen. </w:t>
      </w:r>
    </w:p>
    <w:p w14:paraId="2B23074A" w14:textId="4ED25E67" w:rsidR="003B642E" w:rsidRPr="00B62A63" w:rsidRDefault="003B642E" w:rsidP="003B642E">
      <w:r>
        <w:t>Das Führen einer Schwerbehindertendatei gehört nicht zu den gesetzlichen Aufgaben der SBV. Ohne besonderen Anlass ist diese in der Regel unzulässig. Sie kann somit regelmäßig nur angelegt und verwendet werden, wenn die betroffenen Personen hierzu vorab, freiwillig und (bei Gesundheitsdaten) ausdrücklich ihre Einwilligung erteilt haben.</w:t>
      </w:r>
    </w:p>
    <w:p w14:paraId="0083A50D" w14:textId="627E5B83" w:rsidR="00B62A63" w:rsidRDefault="00B62A63" w:rsidP="00687085">
      <w:pPr>
        <w:pStyle w:val="berschrift2"/>
      </w:pPr>
      <w:bookmarkStart w:id="158" w:name="_Toc169934828"/>
      <w:r>
        <w:t>Kirchenrecht</w:t>
      </w:r>
      <w:bookmarkEnd w:id="158"/>
    </w:p>
    <w:p w14:paraId="339A650E" w14:textId="30B023BA" w:rsidR="00145B51" w:rsidDel="008362B2" w:rsidRDefault="00145B51" w:rsidP="00145B51">
      <w:pPr>
        <w:pStyle w:val="berschrift3"/>
      </w:pPr>
      <w:bookmarkStart w:id="159" w:name="_Toc169680419"/>
      <w:bookmarkStart w:id="160" w:name="_Toc169680604"/>
      <w:bookmarkStart w:id="161" w:name="_Toc169934829"/>
      <w:r w:rsidDel="008362B2">
        <w:t>Landeskrankenhausrecht und Regelungen von Religionsgemeinschaften</w:t>
      </w:r>
      <w:bookmarkEnd w:id="159"/>
      <w:bookmarkEnd w:id="160"/>
      <w:bookmarkEnd w:id="161"/>
    </w:p>
    <w:p w14:paraId="0322828A" w14:textId="622A8439" w:rsidR="00145B51" w:rsidDel="008362B2" w:rsidRDefault="00D43304" w:rsidP="00145B51">
      <w:r w:rsidDel="008362B2">
        <w:t>Die Frage, ob für Krankenhäuser, welche von Religionsgemeinschaften wie beispielsweise der evangelischen oder katholischen Kirche betrieben werden, die Landesgesetze für Krankenhäuser ebenfalls gelten oder nicht, wird in der Praxis immer wieder gestellt.</w:t>
      </w:r>
    </w:p>
    <w:p w14:paraId="351317DF" w14:textId="379D61E4" w:rsidR="00D43304" w:rsidDel="008362B2" w:rsidRDefault="00D43304" w:rsidP="00D43304">
      <w:pPr>
        <w:spacing w:after="0"/>
      </w:pPr>
      <w:r w:rsidDel="008362B2">
        <w:t xml:space="preserve">Unabhängig von den Erläuterungen in Kap. </w:t>
      </w:r>
      <w:r w:rsidDel="008362B2">
        <w:fldChar w:fldCharType="begin"/>
      </w:r>
      <w:r w:rsidDel="008362B2">
        <w:instrText xml:space="preserve"> REF _Ref165877037 \r \h </w:instrText>
      </w:r>
      <w:r w:rsidDel="008362B2">
        <w:fldChar w:fldCharType="separate"/>
      </w:r>
      <w:r w:rsidR="00F43608">
        <w:t>6.7</w:t>
      </w:r>
      <w:r w:rsidDel="008362B2">
        <w:fldChar w:fldCharType="end"/>
      </w:r>
      <w:r w:rsidDel="008362B2">
        <w:t xml:space="preserve"> sind bei der Beantwortung dieser Fragestellung zwei Aspekte zu berücksichtigen:</w:t>
      </w:r>
    </w:p>
    <w:p w14:paraId="0EA6F12A" w14:textId="2788BD13" w:rsidR="00D43304" w:rsidDel="008362B2" w:rsidRDefault="00D43304" w:rsidP="00D43304">
      <w:pPr>
        <w:pStyle w:val="Listenabsatz"/>
        <w:numPr>
          <w:ilvl w:val="0"/>
          <w:numId w:val="50"/>
        </w:numPr>
      </w:pPr>
      <w:r w:rsidDel="008362B2">
        <w:t>Fallen die jeweiligen Krankenhäuser in den Geltungsbereich der entsprechenden Landesgesetze?</w:t>
      </w:r>
    </w:p>
    <w:p w14:paraId="35D5B6B6" w14:textId="40DBAB7C" w:rsidR="00D43304" w:rsidDel="008362B2" w:rsidRDefault="00D43304" w:rsidP="00D43304">
      <w:pPr>
        <w:pStyle w:val="Listenabsatz"/>
        <w:numPr>
          <w:ilvl w:val="0"/>
          <w:numId w:val="50"/>
        </w:numPr>
      </w:pPr>
      <w:r w:rsidDel="008362B2">
        <w:t>Enthalten die jeweiligen Landesgesetze Ausnahmetatbestände für Religionsgemeinschaften?</w:t>
      </w:r>
    </w:p>
    <w:p w14:paraId="10FC5743" w14:textId="46464699" w:rsidR="00D43304" w:rsidDel="008362B2" w:rsidRDefault="00D43304" w:rsidP="00D43304">
      <w:pPr>
        <w:pStyle w:val="berschrift4"/>
      </w:pPr>
      <w:bookmarkStart w:id="162" w:name="_Toc169680420"/>
      <w:bookmarkStart w:id="163" w:name="_Toc169680605"/>
      <w:bookmarkStart w:id="164" w:name="_Toc169934830"/>
      <w:r w:rsidDel="008362B2">
        <w:t>Geltungsbereich der Landeskrankenhausgesetze</w:t>
      </w:r>
      <w:bookmarkEnd w:id="162"/>
      <w:bookmarkEnd w:id="163"/>
      <w:bookmarkEnd w:id="164"/>
    </w:p>
    <w:p w14:paraId="5EF8FAD8" w14:textId="08BF22D7" w:rsidR="00D06980" w:rsidDel="008362B2" w:rsidRDefault="00D06980" w:rsidP="00D06980">
      <w:pPr>
        <w:spacing w:after="0"/>
      </w:pPr>
      <w:r w:rsidDel="008362B2">
        <w:t>Der Gel</w:t>
      </w:r>
      <w:r w:rsidR="00652A15" w:rsidDel="008362B2">
        <w:t>t</w:t>
      </w:r>
      <w:r w:rsidDel="008362B2">
        <w:t xml:space="preserve">ungsbereiche der Landeskrankenhausgesetze sind in Deutschland sehr unterschiedlich geregelt. Einige Gesetze gelten beispielsweise für Krankenhäuser, welche </w:t>
      </w:r>
      <w:r w:rsidRPr="00D06980" w:rsidDel="008362B2">
        <w:t>nach dem Krankenhausfinanzierungsgesetz</w:t>
      </w:r>
      <w:r w:rsidDel="008362B2">
        <w:t xml:space="preserve"> (KHG)</w:t>
      </w:r>
      <w:r w:rsidRPr="00D06980" w:rsidDel="008362B2">
        <w:t xml:space="preserve"> </w:t>
      </w:r>
      <w:r w:rsidDel="008362B2">
        <w:t xml:space="preserve">gefördert werden, einige beziehen sich auf die </w:t>
      </w:r>
      <w:r w:rsidR="00514004" w:rsidRPr="00514004" w:rsidDel="008362B2">
        <w:t>Definition</w:t>
      </w:r>
      <w:r w:rsidDel="008362B2">
        <w:t xml:space="preserve"> von Krankenhäusern im KHG, wieder andere beanspruchen, für alle Krankenhäuser des Bundeslandes zu gelten, wieder andere orientieren sich an im SGB V zu findenden Begriffsbestimmungen. Eine Übersicht gibt nachfolgende Tabelle:</w:t>
      </w:r>
    </w:p>
    <w:tbl>
      <w:tblPr>
        <w:tblStyle w:val="Tabellenraster"/>
        <w:tblW w:w="0" w:type="auto"/>
        <w:tblInd w:w="250" w:type="dxa"/>
        <w:tblLook w:val="04A0" w:firstRow="1" w:lastRow="0" w:firstColumn="1" w:lastColumn="0" w:noHBand="0" w:noVBand="1"/>
      </w:tblPr>
      <w:tblGrid>
        <w:gridCol w:w="2693"/>
        <w:gridCol w:w="1701"/>
        <w:gridCol w:w="1276"/>
        <w:gridCol w:w="1276"/>
        <w:gridCol w:w="1843"/>
      </w:tblGrid>
      <w:tr w:rsidR="00D06980" w:rsidDel="008362B2" w14:paraId="3B2D14A2" w14:textId="1DC60ED9" w:rsidTr="00652A15">
        <w:trPr>
          <w:tblHeader/>
        </w:trPr>
        <w:tc>
          <w:tcPr>
            <w:tcW w:w="2693" w:type="dxa"/>
          </w:tcPr>
          <w:p w14:paraId="6793EC22" w14:textId="7E87CB07" w:rsidR="00D06980" w:rsidRPr="00D06980" w:rsidDel="008362B2" w:rsidRDefault="00D06980" w:rsidP="00D06980">
            <w:pPr>
              <w:jc w:val="center"/>
              <w:rPr>
                <w:b/>
                <w:bCs/>
              </w:rPr>
            </w:pPr>
            <w:r w:rsidRPr="00D06980" w:rsidDel="008362B2">
              <w:rPr>
                <w:b/>
                <w:bCs/>
              </w:rPr>
              <w:t>Bundesland</w:t>
            </w:r>
          </w:p>
        </w:tc>
        <w:tc>
          <w:tcPr>
            <w:tcW w:w="1701" w:type="dxa"/>
          </w:tcPr>
          <w:p w14:paraId="30D6B3D0" w14:textId="14C281F7" w:rsidR="00D06980" w:rsidRPr="00D06980" w:rsidDel="008362B2" w:rsidRDefault="00D06980" w:rsidP="00D06980">
            <w:pPr>
              <w:jc w:val="center"/>
              <w:rPr>
                <w:b/>
                <w:bCs/>
              </w:rPr>
            </w:pPr>
            <w:r w:rsidRPr="00D06980" w:rsidDel="008362B2">
              <w:rPr>
                <w:b/>
                <w:bCs/>
              </w:rPr>
              <w:t>Regelung</w:t>
            </w:r>
          </w:p>
        </w:tc>
        <w:tc>
          <w:tcPr>
            <w:tcW w:w="1276" w:type="dxa"/>
          </w:tcPr>
          <w:p w14:paraId="37BD0CC7" w14:textId="5E4955A1" w:rsidR="00D06980" w:rsidRPr="00D06980" w:rsidDel="008362B2" w:rsidRDefault="00D06980" w:rsidP="00D06980">
            <w:pPr>
              <w:jc w:val="center"/>
              <w:rPr>
                <w:b/>
                <w:bCs/>
              </w:rPr>
            </w:pPr>
            <w:r w:rsidRPr="00D06980" w:rsidDel="008362B2">
              <w:rPr>
                <w:b/>
                <w:bCs/>
              </w:rPr>
              <w:t xml:space="preserve">Alle </w:t>
            </w:r>
            <w:r w:rsidRPr="00E73C55" w:rsidDel="008362B2">
              <w:rPr>
                <w:b/>
                <w:bCs/>
              </w:rPr>
              <w:t>Krkh</w:t>
            </w:r>
            <w:r w:rsidRPr="00D06980" w:rsidDel="008362B2">
              <w:rPr>
                <w:b/>
                <w:bCs/>
              </w:rPr>
              <w:t>.</w:t>
            </w:r>
          </w:p>
        </w:tc>
        <w:tc>
          <w:tcPr>
            <w:tcW w:w="1276" w:type="dxa"/>
          </w:tcPr>
          <w:p w14:paraId="6A9FFC71" w14:textId="0DE175B2" w:rsidR="00D06980" w:rsidRPr="00D06980" w:rsidDel="008362B2" w:rsidRDefault="00D06980" w:rsidP="00D06980">
            <w:pPr>
              <w:jc w:val="center"/>
              <w:rPr>
                <w:b/>
                <w:bCs/>
              </w:rPr>
            </w:pPr>
            <w:r w:rsidRPr="00D06980" w:rsidDel="008362B2">
              <w:rPr>
                <w:b/>
                <w:bCs/>
              </w:rPr>
              <w:t>KHG</w:t>
            </w:r>
          </w:p>
        </w:tc>
        <w:tc>
          <w:tcPr>
            <w:tcW w:w="1843" w:type="dxa"/>
          </w:tcPr>
          <w:p w14:paraId="16A46633" w14:textId="75FA48C1" w:rsidR="00D06980" w:rsidRPr="00D06980" w:rsidDel="008362B2" w:rsidRDefault="00D06980" w:rsidP="00D06980">
            <w:pPr>
              <w:jc w:val="center"/>
              <w:rPr>
                <w:b/>
                <w:bCs/>
              </w:rPr>
            </w:pPr>
            <w:r w:rsidRPr="00D06980" w:rsidDel="008362B2">
              <w:rPr>
                <w:b/>
                <w:bCs/>
              </w:rPr>
              <w:t>SGB V</w:t>
            </w:r>
          </w:p>
        </w:tc>
      </w:tr>
      <w:tr w:rsidR="00D06980" w:rsidDel="008362B2" w14:paraId="3EE4A9D3" w14:textId="2955BA90" w:rsidTr="00652A15">
        <w:tc>
          <w:tcPr>
            <w:tcW w:w="2693" w:type="dxa"/>
          </w:tcPr>
          <w:p w14:paraId="4B7D62E4" w14:textId="3EBADB32" w:rsidR="00D06980" w:rsidDel="008362B2" w:rsidRDefault="00D06980" w:rsidP="00D43304">
            <w:r w:rsidRPr="00D06980" w:rsidDel="008362B2">
              <w:t>Baden-Württemberg</w:t>
            </w:r>
          </w:p>
        </w:tc>
        <w:tc>
          <w:tcPr>
            <w:tcW w:w="1701" w:type="dxa"/>
          </w:tcPr>
          <w:p w14:paraId="2447AF14" w14:textId="0E92B24D" w:rsidR="00D06980" w:rsidDel="008362B2" w:rsidRDefault="00D06980" w:rsidP="00D43304">
            <w:r w:rsidDel="008362B2">
              <w:t>§ 2 LKHG</w:t>
            </w:r>
          </w:p>
        </w:tc>
        <w:tc>
          <w:tcPr>
            <w:tcW w:w="1276" w:type="dxa"/>
            <w:vAlign w:val="center"/>
          </w:tcPr>
          <w:p w14:paraId="6D145B78" w14:textId="2CCEDA90" w:rsidR="00D06980" w:rsidDel="008362B2" w:rsidRDefault="00D06980" w:rsidP="00D06980">
            <w:pPr>
              <w:jc w:val="center"/>
            </w:pPr>
          </w:p>
        </w:tc>
        <w:tc>
          <w:tcPr>
            <w:tcW w:w="1276" w:type="dxa"/>
            <w:vAlign w:val="center"/>
          </w:tcPr>
          <w:p w14:paraId="4105F631" w14:textId="4B8CB5F8" w:rsidR="00D06980" w:rsidDel="008362B2" w:rsidRDefault="00303763" w:rsidP="00D06980">
            <w:pPr>
              <w:jc w:val="center"/>
            </w:pPr>
            <w:r w:rsidDel="008362B2">
              <w:t>f</w:t>
            </w:r>
            <w:r w:rsidR="00652A15" w:rsidDel="008362B2">
              <w:t>örderfähig</w:t>
            </w:r>
          </w:p>
        </w:tc>
        <w:tc>
          <w:tcPr>
            <w:tcW w:w="1843" w:type="dxa"/>
            <w:vAlign w:val="center"/>
          </w:tcPr>
          <w:p w14:paraId="1CC28959" w14:textId="702DD51D" w:rsidR="00D06980" w:rsidDel="008362B2" w:rsidRDefault="00D06980" w:rsidP="00D06980">
            <w:pPr>
              <w:jc w:val="center"/>
            </w:pPr>
          </w:p>
        </w:tc>
      </w:tr>
      <w:tr w:rsidR="00D06980" w:rsidDel="008362B2" w14:paraId="60698E5C" w14:textId="0868ED73" w:rsidTr="00652A15">
        <w:tc>
          <w:tcPr>
            <w:tcW w:w="2693" w:type="dxa"/>
          </w:tcPr>
          <w:p w14:paraId="6553D8D8" w14:textId="165337CF" w:rsidR="00D06980" w:rsidDel="008362B2" w:rsidRDefault="00D06980" w:rsidP="00D43304">
            <w:r w:rsidDel="008362B2">
              <w:t>Bayern</w:t>
            </w:r>
          </w:p>
        </w:tc>
        <w:tc>
          <w:tcPr>
            <w:tcW w:w="1701" w:type="dxa"/>
          </w:tcPr>
          <w:p w14:paraId="5CB2C476" w14:textId="7B3C43AF" w:rsidR="00D06980" w:rsidDel="008362B2" w:rsidRDefault="00D06980" w:rsidP="00D43304">
            <w:r w:rsidDel="008362B2">
              <w:t xml:space="preserve">Art. 2 </w:t>
            </w:r>
            <w:r w:rsidRPr="00E73C55" w:rsidDel="008362B2">
              <w:t>BayKrG</w:t>
            </w:r>
          </w:p>
        </w:tc>
        <w:tc>
          <w:tcPr>
            <w:tcW w:w="1276" w:type="dxa"/>
            <w:vAlign w:val="center"/>
          </w:tcPr>
          <w:p w14:paraId="5127D595" w14:textId="51FD834A" w:rsidR="00D06980" w:rsidDel="008362B2" w:rsidRDefault="00D06980" w:rsidP="00D06980">
            <w:pPr>
              <w:jc w:val="center"/>
            </w:pPr>
          </w:p>
        </w:tc>
        <w:tc>
          <w:tcPr>
            <w:tcW w:w="1276" w:type="dxa"/>
            <w:vAlign w:val="center"/>
          </w:tcPr>
          <w:p w14:paraId="0039927E" w14:textId="4DDF8CE1" w:rsidR="00D06980" w:rsidDel="008362B2" w:rsidRDefault="00303763" w:rsidP="00D06980">
            <w:pPr>
              <w:jc w:val="center"/>
            </w:pPr>
            <w:r w:rsidDel="008362B2">
              <w:t>f</w:t>
            </w:r>
            <w:r w:rsidR="00652A15" w:rsidDel="008362B2">
              <w:t>örderfähig</w:t>
            </w:r>
          </w:p>
        </w:tc>
        <w:tc>
          <w:tcPr>
            <w:tcW w:w="1843" w:type="dxa"/>
            <w:vAlign w:val="center"/>
          </w:tcPr>
          <w:p w14:paraId="3BB5ABB0" w14:textId="142C73F3" w:rsidR="00D06980" w:rsidDel="008362B2" w:rsidRDefault="00D06980" w:rsidP="00D06980">
            <w:pPr>
              <w:jc w:val="center"/>
            </w:pPr>
          </w:p>
        </w:tc>
      </w:tr>
      <w:tr w:rsidR="00D06980" w:rsidDel="008362B2" w14:paraId="5BA2B586" w14:textId="70F4F5E9" w:rsidTr="00652A15">
        <w:tc>
          <w:tcPr>
            <w:tcW w:w="2693" w:type="dxa"/>
          </w:tcPr>
          <w:p w14:paraId="3D3C5AC9" w14:textId="49F9A0BA" w:rsidR="00D06980" w:rsidDel="008362B2" w:rsidRDefault="00D06980" w:rsidP="00D43304">
            <w:r w:rsidDel="008362B2">
              <w:t>Berlin</w:t>
            </w:r>
          </w:p>
        </w:tc>
        <w:tc>
          <w:tcPr>
            <w:tcW w:w="1701" w:type="dxa"/>
          </w:tcPr>
          <w:p w14:paraId="4F73AC95" w14:textId="78F9C8D3" w:rsidR="00D06980" w:rsidDel="008362B2" w:rsidRDefault="00D06980" w:rsidP="00D43304">
            <w:r w:rsidDel="008362B2">
              <w:t xml:space="preserve">§ 2 </w:t>
            </w:r>
            <w:r w:rsidRPr="00E73C55" w:rsidDel="008362B2">
              <w:t>LKG</w:t>
            </w:r>
          </w:p>
        </w:tc>
        <w:tc>
          <w:tcPr>
            <w:tcW w:w="1276" w:type="dxa"/>
            <w:vAlign w:val="center"/>
          </w:tcPr>
          <w:p w14:paraId="23B0A89F" w14:textId="35BCDB65" w:rsidR="00D06980" w:rsidDel="008362B2" w:rsidRDefault="00D06980" w:rsidP="00D06980">
            <w:pPr>
              <w:jc w:val="center"/>
            </w:pPr>
            <w:r w:rsidDel="008362B2">
              <w:t>X</w:t>
            </w:r>
          </w:p>
        </w:tc>
        <w:tc>
          <w:tcPr>
            <w:tcW w:w="1276" w:type="dxa"/>
            <w:vAlign w:val="center"/>
          </w:tcPr>
          <w:p w14:paraId="4B41A318" w14:textId="29397A39" w:rsidR="00D06980" w:rsidDel="008362B2" w:rsidRDefault="00D06980" w:rsidP="00D06980">
            <w:pPr>
              <w:jc w:val="center"/>
            </w:pPr>
          </w:p>
        </w:tc>
        <w:tc>
          <w:tcPr>
            <w:tcW w:w="1843" w:type="dxa"/>
            <w:vAlign w:val="center"/>
          </w:tcPr>
          <w:p w14:paraId="301AA690" w14:textId="1D12AFF4" w:rsidR="00D06980" w:rsidDel="008362B2" w:rsidRDefault="00D06980" w:rsidP="00D06980">
            <w:pPr>
              <w:jc w:val="center"/>
            </w:pPr>
          </w:p>
        </w:tc>
      </w:tr>
      <w:tr w:rsidR="00D06980" w:rsidDel="008362B2" w14:paraId="6B817CF9" w14:textId="5C44A318" w:rsidTr="00652A15">
        <w:tc>
          <w:tcPr>
            <w:tcW w:w="2693" w:type="dxa"/>
          </w:tcPr>
          <w:p w14:paraId="6BDFDAB8" w14:textId="69509A90" w:rsidR="00D06980" w:rsidDel="008362B2" w:rsidRDefault="00D06980" w:rsidP="00D43304">
            <w:r w:rsidRPr="00D06980" w:rsidDel="008362B2">
              <w:t>Brandenburg</w:t>
            </w:r>
          </w:p>
        </w:tc>
        <w:tc>
          <w:tcPr>
            <w:tcW w:w="1701" w:type="dxa"/>
          </w:tcPr>
          <w:p w14:paraId="05D6C174" w14:textId="5396AABE" w:rsidR="00D06980" w:rsidDel="008362B2" w:rsidRDefault="00D06980" w:rsidP="00D43304">
            <w:r w:rsidDel="008362B2">
              <w:t xml:space="preserve">§ 1 </w:t>
            </w:r>
            <w:r w:rsidRPr="00E73C55" w:rsidDel="008362B2">
              <w:t>BbgKHEG</w:t>
            </w:r>
          </w:p>
        </w:tc>
        <w:tc>
          <w:tcPr>
            <w:tcW w:w="1276" w:type="dxa"/>
            <w:vAlign w:val="center"/>
          </w:tcPr>
          <w:p w14:paraId="1AC83551" w14:textId="4C94E631" w:rsidR="00D06980" w:rsidDel="008362B2" w:rsidRDefault="00D06980" w:rsidP="00D06980">
            <w:pPr>
              <w:jc w:val="center"/>
            </w:pPr>
            <w:r w:rsidDel="008362B2">
              <w:t>X</w:t>
            </w:r>
          </w:p>
        </w:tc>
        <w:tc>
          <w:tcPr>
            <w:tcW w:w="1276" w:type="dxa"/>
            <w:vAlign w:val="center"/>
          </w:tcPr>
          <w:p w14:paraId="0DB2246B" w14:textId="074FC4D0" w:rsidR="00D06980" w:rsidDel="008362B2" w:rsidRDefault="00D06980" w:rsidP="00D06980">
            <w:pPr>
              <w:jc w:val="center"/>
            </w:pPr>
          </w:p>
        </w:tc>
        <w:tc>
          <w:tcPr>
            <w:tcW w:w="1843" w:type="dxa"/>
            <w:vAlign w:val="center"/>
          </w:tcPr>
          <w:p w14:paraId="062BD4FF" w14:textId="1A3E1F54" w:rsidR="00D06980" w:rsidDel="008362B2" w:rsidRDefault="00D06980" w:rsidP="00D06980">
            <w:pPr>
              <w:jc w:val="center"/>
            </w:pPr>
          </w:p>
        </w:tc>
      </w:tr>
      <w:tr w:rsidR="00D06980" w:rsidDel="008362B2" w14:paraId="537A9361" w14:textId="3B91C9D4" w:rsidTr="00652A15">
        <w:tc>
          <w:tcPr>
            <w:tcW w:w="2693" w:type="dxa"/>
          </w:tcPr>
          <w:p w14:paraId="4BD2D155" w14:textId="1E64CC0D" w:rsidR="00D06980" w:rsidRPr="00D06980" w:rsidDel="008362B2" w:rsidRDefault="00D06980" w:rsidP="00D43304">
            <w:r w:rsidDel="008362B2">
              <w:t>Bremen</w:t>
            </w:r>
          </w:p>
        </w:tc>
        <w:tc>
          <w:tcPr>
            <w:tcW w:w="1701" w:type="dxa"/>
          </w:tcPr>
          <w:p w14:paraId="71B57F25" w14:textId="60D81D8D" w:rsidR="00D06980" w:rsidDel="008362B2" w:rsidRDefault="00D06980" w:rsidP="00D43304">
            <w:r w:rsidDel="008362B2">
              <w:t xml:space="preserve">§ 1 </w:t>
            </w:r>
            <w:r w:rsidRPr="00E73C55" w:rsidDel="008362B2">
              <w:t>BremKrhG</w:t>
            </w:r>
          </w:p>
        </w:tc>
        <w:tc>
          <w:tcPr>
            <w:tcW w:w="1276" w:type="dxa"/>
            <w:vAlign w:val="center"/>
          </w:tcPr>
          <w:p w14:paraId="5ADBA367" w14:textId="3F22648F" w:rsidR="00D06980" w:rsidDel="008362B2" w:rsidRDefault="00D06980" w:rsidP="00D06980">
            <w:pPr>
              <w:jc w:val="center"/>
            </w:pPr>
            <w:r w:rsidDel="008362B2">
              <w:t>X</w:t>
            </w:r>
          </w:p>
        </w:tc>
        <w:tc>
          <w:tcPr>
            <w:tcW w:w="1276" w:type="dxa"/>
            <w:vAlign w:val="center"/>
          </w:tcPr>
          <w:p w14:paraId="37189517" w14:textId="25788E87" w:rsidR="00D06980" w:rsidDel="008362B2" w:rsidRDefault="00D06980" w:rsidP="00D06980">
            <w:pPr>
              <w:jc w:val="center"/>
            </w:pPr>
          </w:p>
        </w:tc>
        <w:tc>
          <w:tcPr>
            <w:tcW w:w="1843" w:type="dxa"/>
            <w:vAlign w:val="center"/>
          </w:tcPr>
          <w:p w14:paraId="451C51B2" w14:textId="1D009CF3" w:rsidR="00D06980" w:rsidDel="008362B2" w:rsidRDefault="00D06980" w:rsidP="00D06980">
            <w:pPr>
              <w:jc w:val="center"/>
            </w:pPr>
          </w:p>
        </w:tc>
      </w:tr>
      <w:tr w:rsidR="00D06980" w:rsidDel="008362B2" w14:paraId="2E3B7C45" w14:textId="03641141" w:rsidTr="00652A15">
        <w:tc>
          <w:tcPr>
            <w:tcW w:w="2693" w:type="dxa"/>
          </w:tcPr>
          <w:p w14:paraId="6E155650" w14:textId="7784DC4C" w:rsidR="00D06980" w:rsidDel="008362B2" w:rsidRDefault="00D06980" w:rsidP="00D43304">
            <w:r w:rsidDel="008362B2">
              <w:t>Hamburg</w:t>
            </w:r>
          </w:p>
        </w:tc>
        <w:tc>
          <w:tcPr>
            <w:tcW w:w="1701" w:type="dxa"/>
          </w:tcPr>
          <w:p w14:paraId="439D3C77" w14:textId="7E149B74" w:rsidR="00D06980" w:rsidDel="008362B2" w:rsidRDefault="00D06980" w:rsidP="00D43304">
            <w:r w:rsidDel="008362B2">
              <w:t xml:space="preserve">§ 2 </w:t>
            </w:r>
            <w:r w:rsidRPr="00E73C55" w:rsidDel="008362B2">
              <w:t>HmbKHG</w:t>
            </w:r>
          </w:p>
        </w:tc>
        <w:tc>
          <w:tcPr>
            <w:tcW w:w="1276" w:type="dxa"/>
            <w:vAlign w:val="center"/>
          </w:tcPr>
          <w:p w14:paraId="02256F63" w14:textId="52044670" w:rsidR="00D06980" w:rsidDel="008362B2" w:rsidRDefault="00D06980" w:rsidP="00D06980">
            <w:pPr>
              <w:jc w:val="center"/>
            </w:pPr>
            <w:r w:rsidDel="008362B2">
              <w:t>X</w:t>
            </w:r>
          </w:p>
        </w:tc>
        <w:tc>
          <w:tcPr>
            <w:tcW w:w="1276" w:type="dxa"/>
            <w:vAlign w:val="center"/>
          </w:tcPr>
          <w:p w14:paraId="712EC762" w14:textId="090F1BEB" w:rsidR="00D06980" w:rsidDel="008362B2" w:rsidRDefault="00D06980" w:rsidP="00D06980">
            <w:pPr>
              <w:jc w:val="center"/>
            </w:pPr>
          </w:p>
        </w:tc>
        <w:tc>
          <w:tcPr>
            <w:tcW w:w="1843" w:type="dxa"/>
            <w:vAlign w:val="center"/>
          </w:tcPr>
          <w:p w14:paraId="2AA3F111" w14:textId="23AEC90F" w:rsidR="00D06980" w:rsidDel="008362B2" w:rsidRDefault="00D06980" w:rsidP="00D06980">
            <w:pPr>
              <w:jc w:val="center"/>
            </w:pPr>
          </w:p>
        </w:tc>
      </w:tr>
      <w:tr w:rsidR="00D06980" w:rsidDel="008362B2" w14:paraId="78603F96" w14:textId="25930459" w:rsidTr="00652A15">
        <w:tc>
          <w:tcPr>
            <w:tcW w:w="2693" w:type="dxa"/>
          </w:tcPr>
          <w:p w14:paraId="0D97EEDB" w14:textId="0126FE01" w:rsidR="00D06980" w:rsidDel="008362B2" w:rsidRDefault="00D06980" w:rsidP="00D43304">
            <w:r w:rsidDel="008362B2">
              <w:t>Hessen</w:t>
            </w:r>
          </w:p>
        </w:tc>
        <w:tc>
          <w:tcPr>
            <w:tcW w:w="1701" w:type="dxa"/>
          </w:tcPr>
          <w:p w14:paraId="18B2EE86" w14:textId="67454ECF" w:rsidR="00D06980" w:rsidDel="008362B2" w:rsidRDefault="00D06980" w:rsidP="00D43304">
            <w:r w:rsidDel="008362B2">
              <w:t xml:space="preserve">§ 2 </w:t>
            </w:r>
            <w:r w:rsidRPr="00E73C55" w:rsidDel="008362B2">
              <w:t>HKHG</w:t>
            </w:r>
            <w:r w:rsidRPr="00D06980" w:rsidDel="008362B2">
              <w:t xml:space="preserve"> 2011</w:t>
            </w:r>
          </w:p>
        </w:tc>
        <w:tc>
          <w:tcPr>
            <w:tcW w:w="1276" w:type="dxa"/>
            <w:vAlign w:val="center"/>
          </w:tcPr>
          <w:p w14:paraId="23754F8A" w14:textId="70C1FF29" w:rsidR="00D06980" w:rsidDel="008362B2" w:rsidRDefault="00D06980" w:rsidP="00D06980">
            <w:pPr>
              <w:jc w:val="center"/>
            </w:pPr>
            <w:r w:rsidDel="008362B2">
              <w:t>X</w:t>
            </w:r>
          </w:p>
        </w:tc>
        <w:tc>
          <w:tcPr>
            <w:tcW w:w="1276" w:type="dxa"/>
            <w:vAlign w:val="center"/>
          </w:tcPr>
          <w:p w14:paraId="66793833" w14:textId="5D66CB8B" w:rsidR="00D06980" w:rsidDel="008362B2" w:rsidRDefault="00D06980" w:rsidP="00D06980">
            <w:pPr>
              <w:jc w:val="center"/>
            </w:pPr>
          </w:p>
        </w:tc>
        <w:tc>
          <w:tcPr>
            <w:tcW w:w="1843" w:type="dxa"/>
            <w:vAlign w:val="center"/>
          </w:tcPr>
          <w:p w14:paraId="536DD8EA" w14:textId="4B9B72E1" w:rsidR="00D06980" w:rsidDel="008362B2" w:rsidRDefault="00D06980" w:rsidP="00D06980">
            <w:pPr>
              <w:jc w:val="center"/>
            </w:pPr>
          </w:p>
        </w:tc>
      </w:tr>
      <w:tr w:rsidR="00D06980" w:rsidDel="008362B2" w14:paraId="3769976F" w14:textId="6111A442" w:rsidTr="00652A15">
        <w:tc>
          <w:tcPr>
            <w:tcW w:w="2693" w:type="dxa"/>
          </w:tcPr>
          <w:p w14:paraId="7BC20F46" w14:textId="5792BD49" w:rsidR="00D06980" w:rsidDel="008362B2" w:rsidRDefault="00D06980" w:rsidP="00D43304">
            <w:r w:rsidRPr="00D06980" w:rsidDel="008362B2">
              <w:t>Mecklenburg-Vorpommern</w:t>
            </w:r>
          </w:p>
        </w:tc>
        <w:tc>
          <w:tcPr>
            <w:tcW w:w="1701" w:type="dxa"/>
          </w:tcPr>
          <w:p w14:paraId="5ED0EF5B" w14:textId="40842113" w:rsidR="00D06980" w:rsidDel="008362B2" w:rsidRDefault="00D06980" w:rsidP="00D43304">
            <w:r w:rsidDel="008362B2">
              <w:t xml:space="preserve">§ 3 </w:t>
            </w:r>
            <w:r w:rsidRPr="00D06980" w:rsidDel="008362B2">
              <w:t>LKHG M-V</w:t>
            </w:r>
          </w:p>
        </w:tc>
        <w:tc>
          <w:tcPr>
            <w:tcW w:w="1276" w:type="dxa"/>
            <w:vAlign w:val="center"/>
          </w:tcPr>
          <w:p w14:paraId="107B6AE0" w14:textId="16CB848D" w:rsidR="00D06980" w:rsidDel="008362B2" w:rsidRDefault="00D06980" w:rsidP="00D06980">
            <w:pPr>
              <w:jc w:val="center"/>
            </w:pPr>
            <w:r w:rsidDel="008362B2">
              <w:t>X</w:t>
            </w:r>
          </w:p>
        </w:tc>
        <w:tc>
          <w:tcPr>
            <w:tcW w:w="1276" w:type="dxa"/>
            <w:vAlign w:val="center"/>
          </w:tcPr>
          <w:p w14:paraId="69BFCDAB" w14:textId="18A8E2DA" w:rsidR="00D06980" w:rsidDel="008362B2" w:rsidRDefault="00D06980" w:rsidP="00D06980">
            <w:pPr>
              <w:jc w:val="center"/>
            </w:pPr>
          </w:p>
        </w:tc>
        <w:tc>
          <w:tcPr>
            <w:tcW w:w="1843" w:type="dxa"/>
            <w:vAlign w:val="center"/>
          </w:tcPr>
          <w:p w14:paraId="7E41FF18" w14:textId="22137F91" w:rsidR="00D06980" w:rsidDel="008362B2" w:rsidRDefault="00D06980" w:rsidP="00D06980">
            <w:pPr>
              <w:jc w:val="center"/>
            </w:pPr>
          </w:p>
        </w:tc>
      </w:tr>
      <w:tr w:rsidR="00D06980" w:rsidDel="008362B2" w14:paraId="6B046BFA" w14:textId="15FED609" w:rsidTr="00652A15">
        <w:tc>
          <w:tcPr>
            <w:tcW w:w="2693" w:type="dxa"/>
          </w:tcPr>
          <w:p w14:paraId="3D755E71" w14:textId="6C05C99D" w:rsidR="00D06980" w:rsidRPr="00D06980" w:rsidDel="008362B2" w:rsidRDefault="00D06980" w:rsidP="00D43304">
            <w:r w:rsidDel="008362B2">
              <w:t>Niedersachsen</w:t>
            </w:r>
          </w:p>
        </w:tc>
        <w:tc>
          <w:tcPr>
            <w:tcW w:w="1701" w:type="dxa"/>
          </w:tcPr>
          <w:p w14:paraId="5AB4DA35" w14:textId="4E997F1F" w:rsidR="00D06980" w:rsidDel="008362B2" w:rsidRDefault="00D06980" w:rsidP="00D43304">
            <w:r w:rsidDel="008362B2">
              <w:t xml:space="preserve">§ 1 Abs. 2 </w:t>
            </w:r>
            <w:r w:rsidRPr="00E73C55" w:rsidDel="008362B2">
              <w:t>NKHG</w:t>
            </w:r>
          </w:p>
        </w:tc>
        <w:tc>
          <w:tcPr>
            <w:tcW w:w="1276" w:type="dxa"/>
            <w:vAlign w:val="center"/>
          </w:tcPr>
          <w:p w14:paraId="67241631" w14:textId="71AEB67B" w:rsidR="00D06980" w:rsidDel="008362B2" w:rsidRDefault="00D06980" w:rsidP="00D06980">
            <w:pPr>
              <w:jc w:val="center"/>
            </w:pPr>
          </w:p>
        </w:tc>
        <w:tc>
          <w:tcPr>
            <w:tcW w:w="1276" w:type="dxa"/>
            <w:vAlign w:val="center"/>
          </w:tcPr>
          <w:p w14:paraId="6E744810" w14:textId="23D587B3" w:rsidR="00D06980" w:rsidDel="008362B2" w:rsidRDefault="00D06980" w:rsidP="00D06980">
            <w:pPr>
              <w:jc w:val="center"/>
            </w:pPr>
            <w:r w:rsidRPr="00D06980" w:rsidDel="008362B2">
              <w:t>§ 2 Nr. 1</w:t>
            </w:r>
          </w:p>
        </w:tc>
        <w:tc>
          <w:tcPr>
            <w:tcW w:w="1843" w:type="dxa"/>
            <w:vAlign w:val="center"/>
          </w:tcPr>
          <w:p w14:paraId="7DFD8E16" w14:textId="5AD0C412" w:rsidR="00D06980" w:rsidDel="008362B2" w:rsidRDefault="00D06980" w:rsidP="00D06980">
            <w:pPr>
              <w:jc w:val="center"/>
            </w:pPr>
            <w:r w:rsidRPr="00D06980" w:rsidDel="008362B2">
              <w:t>107 Abs. 2</w:t>
            </w:r>
          </w:p>
        </w:tc>
      </w:tr>
      <w:tr w:rsidR="00D06980" w:rsidDel="008362B2" w14:paraId="35AC3B4F" w14:textId="0D32067E" w:rsidTr="00652A15">
        <w:tc>
          <w:tcPr>
            <w:tcW w:w="2693" w:type="dxa"/>
          </w:tcPr>
          <w:p w14:paraId="41393450" w14:textId="19BDC070" w:rsidR="00D06980" w:rsidDel="008362B2" w:rsidRDefault="00D06980" w:rsidP="00D43304">
            <w:r w:rsidRPr="00D06980" w:rsidDel="008362B2">
              <w:t>Nordrhein-Westfalen</w:t>
            </w:r>
          </w:p>
        </w:tc>
        <w:tc>
          <w:tcPr>
            <w:tcW w:w="1701" w:type="dxa"/>
          </w:tcPr>
          <w:p w14:paraId="4A98B355" w14:textId="48A7C9E1" w:rsidR="00D06980" w:rsidDel="008362B2" w:rsidRDefault="00D06980" w:rsidP="00D43304">
            <w:r w:rsidDel="008362B2">
              <w:t xml:space="preserve">§ 2 </w:t>
            </w:r>
            <w:r w:rsidRPr="00E73C55" w:rsidDel="008362B2">
              <w:t>GDSG</w:t>
            </w:r>
            <w:r w:rsidRPr="00D06980" w:rsidDel="008362B2">
              <w:t xml:space="preserve"> </w:t>
            </w:r>
            <w:r w:rsidRPr="00E73C55" w:rsidDel="008362B2">
              <w:t>NW</w:t>
            </w:r>
          </w:p>
        </w:tc>
        <w:tc>
          <w:tcPr>
            <w:tcW w:w="1276" w:type="dxa"/>
            <w:vAlign w:val="center"/>
          </w:tcPr>
          <w:p w14:paraId="5F24AEA6" w14:textId="67F88AD0" w:rsidR="00D06980" w:rsidDel="008362B2" w:rsidRDefault="00D06980" w:rsidP="00D06980">
            <w:pPr>
              <w:jc w:val="center"/>
            </w:pPr>
          </w:p>
        </w:tc>
        <w:tc>
          <w:tcPr>
            <w:tcW w:w="1276" w:type="dxa"/>
            <w:vAlign w:val="center"/>
          </w:tcPr>
          <w:p w14:paraId="1D4D104A" w14:textId="44F231BE" w:rsidR="00D06980" w:rsidDel="008362B2" w:rsidRDefault="00D06980" w:rsidP="00D06980">
            <w:pPr>
              <w:jc w:val="center"/>
            </w:pPr>
          </w:p>
        </w:tc>
        <w:tc>
          <w:tcPr>
            <w:tcW w:w="1843" w:type="dxa"/>
            <w:vAlign w:val="center"/>
          </w:tcPr>
          <w:p w14:paraId="3076B5A2" w14:textId="7C9C2485" w:rsidR="00D06980" w:rsidDel="008362B2" w:rsidRDefault="00D06980" w:rsidP="00D06980">
            <w:pPr>
              <w:jc w:val="center"/>
            </w:pPr>
            <w:r w:rsidRPr="00D06980" w:rsidDel="008362B2">
              <w:t>§ 107 Abs. 1</w:t>
            </w:r>
            <w:r w:rsidDel="008362B2">
              <w:t xml:space="preserve"> u. 2,</w:t>
            </w:r>
            <w:r w:rsidDel="008362B2">
              <w:br/>
            </w:r>
            <w:r w:rsidRPr="00D06980" w:rsidDel="008362B2">
              <w:t>§ 108</w:t>
            </w:r>
            <w:r w:rsidDel="008362B2">
              <w:t>, § 111</w:t>
            </w:r>
          </w:p>
        </w:tc>
      </w:tr>
      <w:tr w:rsidR="00D06980" w:rsidDel="008362B2" w14:paraId="71D9BBB9" w14:textId="693B9FD0" w:rsidTr="00652A15">
        <w:tc>
          <w:tcPr>
            <w:tcW w:w="2693" w:type="dxa"/>
          </w:tcPr>
          <w:p w14:paraId="36A78014" w14:textId="6CC3A481" w:rsidR="00D06980" w:rsidRPr="00D06980" w:rsidDel="008362B2" w:rsidRDefault="00D06980" w:rsidP="00D43304">
            <w:r w:rsidRPr="00D06980" w:rsidDel="008362B2">
              <w:t>Rheinland-Pfalz</w:t>
            </w:r>
          </w:p>
        </w:tc>
        <w:tc>
          <w:tcPr>
            <w:tcW w:w="1701" w:type="dxa"/>
          </w:tcPr>
          <w:p w14:paraId="52E94EEA" w14:textId="4716B00C" w:rsidR="00D06980" w:rsidDel="008362B2" w:rsidRDefault="00D06980" w:rsidP="00D43304">
            <w:r w:rsidDel="008362B2">
              <w:t xml:space="preserve">§ 3 </w:t>
            </w:r>
            <w:r w:rsidRPr="00E73C55" w:rsidDel="008362B2">
              <w:t>LKG</w:t>
            </w:r>
          </w:p>
        </w:tc>
        <w:tc>
          <w:tcPr>
            <w:tcW w:w="1276" w:type="dxa"/>
            <w:vAlign w:val="center"/>
          </w:tcPr>
          <w:p w14:paraId="5B854411" w14:textId="4C6C894F" w:rsidR="00D06980" w:rsidDel="008362B2" w:rsidRDefault="00D06980" w:rsidP="00D06980">
            <w:pPr>
              <w:jc w:val="center"/>
            </w:pPr>
          </w:p>
        </w:tc>
        <w:tc>
          <w:tcPr>
            <w:tcW w:w="1276" w:type="dxa"/>
            <w:vAlign w:val="center"/>
          </w:tcPr>
          <w:p w14:paraId="229130F2" w14:textId="79B7FCB8" w:rsidR="00D06980" w:rsidDel="008362B2" w:rsidRDefault="00D06980" w:rsidP="00D06980">
            <w:pPr>
              <w:jc w:val="center"/>
            </w:pPr>
            <w:r w:rsidRPr="00D06980" w:rsidDel="008362B2">
              <w:t>§ 2 Nr. 1</w:t>
            </w:r>
          </w:p>
        </w:tc>
        <w:tc>
          <w:tcPr>
            <w:tcW w:w="1843" w:type="dxa"/>
            <w:vAlign w:val="center"/>
          </w:tcPr>
          <w:p w14:paraId="370F758D" w14:textId="22671FCC" w:rsidR="00D06980" w:rsidRPr="00D06980" w:rsidDel="008362B2" w:rsidRDefault="00D06980" w:rsidP="00D06980">
            <w:pPr>
              <w:jc w:val="center"/>
            </w:pPr>
          </w:p>
        </w:tc>
      </w:tr>
      <w:tr w:rsidR="00D06980" w:rsidDel="008362B2" w14:paraId="3C053A18" w14:textId="50B40917" w:rsidTr="00652A15">
        <w:tc>
          <w:tcPr>
            <w:tcW w:w="2693" w:type="dxa"/>
          </w:tcPr>
          <w:p w14:paraId="127F531C" w14:textId="4897C2C1" w:rsidR="00D06980" w:rsidRPr="00D06980" w:rsidDel="008362B2" w:rsidRDefault="00D06980" w:rsidP="00D43304">
            <w:r w:rsidRPr="00D06980" w:rsidDel="008362B2">
              <w:t>Saarland</w:t>
            </w:r>
          </w:p>
        </w:tc>
        <w:tc>
          <w:tcPr>
            <w:tcW w:w="1701" w:type="dxa"/>
          </w:tcPr>
          <w:p w14:paraId="39A414CE" w14:textId="199094DF" w:rsidR="00D06980" w:rsidDel="008362B2" w:rsidRDefault="00D06980" w:rsidP="00D43304">
            <w:r w:rsidRPr="00D06980" w:rsidDel="008362B2">
              <w:t xml:space="preserve">§ 2 </w:t>
            </w:r>
            <w:r w:rsidRPr="00E73C55" w:rsidDel="008362B2">
              <w:t>SKHG</w:t>
            </w:r>
          </w:p>
        </w:tc>
        <w:tc>
          <w:tcPr>
            <w:tcW w:w="1276" w:type="dxa"/>
            <w:vAlign w:val="center"/>
          </w:tcPr>
          <w:p w14:paraId="66BF03E7" w14:textId="12AEBDF6" w:rsidR="00D06980" w:rsidDel="008362B2" w:rsidRDefault="00D06980" w:rsidP="00D06980">
            <w:pPr>
              <w:jc w:val="center"/>
            </w:pPr>
            <w:r w:rsidDel="008362B2">
              <w:t>X</w:t>
            </w:r>
          </w:p>
        </w:tc>
        <w:tc>
          <w:tcPr>
            <w:tcW w:w="1276" w:type="dxa"/>
            <w:vAlign w:val="center"/>
          </w:tcPr>
          <w:p w14:paraId="4905AE00" w14:textId="54BA3340" w:rsidR="00D06980" w:rsidRPr="00D06980" w:rsidDel="008362B2" w:rsidRDefault="00D06980" w:rsidP="00D06980">
            <w:pPr>
              <w:jc w:val="center"/>
            </w:pPr>
          </w:p>
        </w:tc>
        <w:tc>
          <w:tcPr>
            <w:tcW w:w="1843" w:type="dxa"/>
            <w:vAlign w:val="center"/>
          </w:tcPr>
          <w:p w14:paraId="79F12437" w14:textId="064CF086" w:rsidR="00D06980" w:rsidRPr="00D06980" w:rsidDel="008362B2" w:rsidRDefault="00D06980" w:rsidP="00D06980">
            <w:pPr>
              <w:jc w:val="center"/>
            </w:pPr>
          </w:p>
        </w:tc>
      </w:tr>
      <w:tr w:rsidR="00D06980" w:rsidDel="008362B2" w14:paraId="4262D00D" w14:textId="503F1DF9" w:rsidTr="00652A15">
        <w:tc>
          <w:tcPr>
            <w:tcW w:w="2693" w:type="dxa"/>
          </w:tcPr>
          <w:p w14:paraId="118E382D" w14:textId="59596792" w:rsidR="00D06980" w:rsidRPr="00D06980" w:rsidDel="008362B2" w:rsidRDefault="00D06980" w:rsidP="00D43304">
            <w:r w:rsidRPr="00D06980" w:rsidDel="008362B2">
              <w:t>Sachsen</w:t>
            </w:r>
          </w:p>
        </w:tc>
        <w:tc>
          <w:tcPr>
            <w:tcW w:w="1701" w:type="dxa"/>
          </w:tcPr>
          <w:p w14:paraId="180DC541" w14:textId="7BAD22E3" w:rsidR="00D06980" w:rsidRPr="00D06980" w:rsidDel="008362B2" w:rsidRDefault="00D06980" w:rsidP="00D43304">
            <w:r w:rsidRPr="00D06980" w:rsidDel="008362B2">
              <w:t xml:space="preserve">§ 2 </w:t>
            </w:r>
            <w:r w:rsidRPr="00E73C55" w:rsidDel="008362B2">
              <w:t>SächsKHG</w:t>
            </w:r>
          </w:p>
        </w:tc>
        <w:tc>
          <w:tcPr>
            <w:tcW w:w="1276" w:type="dxa"/>
            <w:vAlign w:val="center"/>
          </w:tcPr>
          <w:p w14:paraId="63551D36" w14:textId="3C20670F" w:rsidR="00D06980" w:rsidDel="008362B2" w:rsidRDefault="00D06980" w:rsidP="00D06980">
            <w:pPr>
              <w:jc w:val="center"/>
            </w:pPr>
          </w:p>
        </w:tc>
        <w:tc>
          <w:tcPr>
            <w:tcW w:w="1276" w:type="dxa"/>
            <w:vAlign w:val="center"/>
          </w:tcPr>
          <w:p w14:paraId="534E8F36" w14:textId="43714A34" w:rsidR="00D06980" w:rsidRPr="00D06980" w:rsidDel="008362B2" w:rsidRDefault="00D06980" w:rsidP="00D06980">
            <w:pPr>
              <w:jc w:val="center"/>
            </w:pPr>
            <w:r w:rsidRPr="00D06980" w:rsidDel="008362B2">
              <w:t xml:space="preserve">§ 8 </w:t>
            </w:r>
            <w:r w:rsidDel="008362B2">
              <w:t>Abs.</w:t>
            </w:r>
            <w:r w:rsidRPr="00D06980" w:rsidDel="008362B2">
              <w:t xml:space="preserve"> 1 S</w:t>
            </w:r>
            <w:r w:rsidDel="008362B2">
              <w:t>. 1</w:t>
            </w:r>
          </w:p>
        </w:tc>
        <w:tc>
          <w:tcPr>
            <w:tcW w:w="1843" w:type="dxa"/>
            <w:vAlign w:val="center"/>
          </w:tcPr>
          <w:p w14:paraId="07D8E85B" w14:textId="6C388B26" w:rsidR="00D06980" w:rsidRPr="00D06980" w:rsidDel="008362B2" w:rsidRDefault="00D06980" w:rsidP="00D06980">
            <w:pPr>
              <w:jc w:val="center"/>
            </w:pPr>
          </w:p>
        </w:tc>
      </w:tr>
      <w:tr w:rsidR="00D06980" w:rsidDel="008362B2" w14:paraId="5E7209C9" w14:textId="18F94D63" w:rsidTr="00652A15">
        <w:tc>
          <w:tcPr>
            <w:tcW w:w="2693" w:type="dxa"/>
          </w:tcPr>
          <w:p w14:paraId="7CA4B24D" w14:textId="2F445116" w:rsidR="00D06980" w:rsidRPr="00D06980" w:rsidDel="008362B2" w:rsidRDefault="00D06980" w:rsidP="00D43304">
            <w:r w:rsidRPr="00D06980" w:rsidDel="008362B2">
              <w:t>Sachsen-Anhalt</w:t>
            </w:r>
          </w:p>
        </w:tc>
        <w:tc>
          <w:tcPr>
            <w:tcW w:w="1701" w:type="dxa"/>
          </w:tcPr>
          <w:p w14:paraId="55591C59" w14:textId="12604124" w:rsidR="00D06980" w:rsidRPr="00D06980" w:rsidDel="008362B2" w:rsidRDefault="00D06980" w:rsidP="00D43304">
            <w:r w:rsidRPr="00D06980" w:rsidDel="008362B2">
              <w:t xml:space="preserve">§ 1 KHG </w:t>
            </w:r>
            <w:r w:rsidRPr="00E73C55" w:rsidDel="008362B2">
              <w:t>LSA</w:t>
            </w:r>
          </w:p>
        </w:tc>
        <w:tc>
          <w:tcPr>
            <w:tcW w:w="1276" w:type="dxa"/>
            <w:vAlign w:val="center"/>
          </w:tcPr>
          <w:p w14:paraId="56A15D38" w14:textId="11AFCCDC" w:rsidR="00D06980" w:rsidDel="008362B2" w:rsidRDefault="00D06980" w:rsidP="00D06980">
            <w:pPr>
              <w:jc w:val="center"/>
            </w:pPr>
          </w:p>
        </w:tc>
        <w:tc>
          <w:tcPr>
            <w:tcW w:w="1276" w:type="dxa"/>
            <w:vAlign w:val="center"/>
          </w:tcPr>
          <w:p w14:paraId="078213D9" w14:textId="2450935D" w:rsidR="00D06980" w:rsidRPr="00D06980" w:rsidDel="008362B2" w:rsidRDefault="00D06980" w:rsidP="00D06980">
            <w:pPr>
              <w:jc w:val="center"/>
            </w:pPr>
            <w:r w:rsidRPr="00D06980" w:rsidDel="008362B2">
              <w:t>§ 1 Abs. 1</w:t>
            </w:r>
          </w:p>
        </w:tc>
        <w:tc>
          <w:tcPr>
            <w:tcW w:w="1843" w:type="dxa"/>
            <w:vAlign w:val="center"/>
          </w:tcPr>
          <w:p w14:paraId="244031E4" w14:textId="4232266F" w:rsidR="00D06980" w:rsidRPr="00D06980" w:rsidDel="008362B2" w:rsidRDefault="00D06980" w:rsidP="00D06980">
            <w:pPr>
              <w:jc w:val="center"/>
            </w:pPr>
          </w:p>
        </w:tc>
      </w:tr>
      <w:tr w:rsidR="00D06980" w:rsidDel="008362B2" w14:paraId="58093F5B" w14:textId="1319D3A1" w:rsidTr="00652A15">
        <w:tc>
          <w:tcPr>
            <w:tcW w:w="2693" w:type="dxa"/>
          </w:tcPr>
          <w:p w14:paraId="4BB36725" w14:textId="2A7A9327" w:rsidR="00D06980" w:rsidRPr="00D06980" w:rsidDel="008362B2" w:rsidRDefault="00D06980" w:rsidP="00D43304">
            <w:r w:rsidRPr="00D06980" w:rsidDel="008362B2">
              <w:t>Schleswig-Holstein</w:t>
            </w:r>
          </w:p>
        </w:tc>
        <w:tc>
          <w:tcPr>
            <w:tcW w:w="1701" w:type="dxa"/>
          </w:tcPr>
          <w:p w14:paraId="3C88E543" w14:textId="37F4EDDB" w:rsidR="00D06980" w:rsidRPr="00D06980" w:rsidDel="008362B2" w:rsidRDefault="00D06980" w:rsidP="00D43304">
            <w:r w:rsidDel="008362B2">
              <w:t>§ 2 LKHG</w:t>
            </w:r>
          </w:p>
        </w:tc>
        <w:tc>
          <w:tcPr>
            <w:tcW w:w="1276" w:type="dxa"/>
            <w:vAlign w:val="center"/>
          </w:tcPr>
          <w:p w14:paraId="6AD0079D" w14:textId="4A55B2DD" w:rsidR="00D06980" w:rsidDel="008362B2" w:rsidRDefault="00D06980" w:rsidP="00D06980">
            <w:pPr>
              <w:jc w:val="center"/>
            </w:pPr>
          </w:p>
        </w:tc>
        <w:tc>
          <w:tcPr>
            <w:tcW w:w="1276" w:type="dxa"/>
            <w:vAlign w:val="center"/>
          </w:tcPr>
          <w:p w14:paraId="49C10ECA" w14:textId="3EE8448C" w:rsidR="00D06980" w:rsidRPr="00D06980" w:rsidDel="008362B2" w:rsidRDefault="00652A15" w:rsidP="00D06980">
            <w:pPr>
              <w:jc w:val="center"/>
            </w:pPr>
            <w:r w:rsidDel="008362B2">
              <w:t>Förderfähig</w:t>
            </w:r>
          </w:p>
        </w:tc>
        <w:tc>
          <w:tcPr>
            <w:tcW w:w="1843" w:type="dxa"/>
            <w:vAlign w:val="center"/>
          </w:tcPr>
          <w:p w14:paraId="0E6145DC" w14:textId="6F9A7224" w:rsidR="00D06980" w:rsidRPr="00D06980" w:rsidDel="008362B2" w:rsidRDefault="00D06980" w:rsidP="00D06980">
            <w:pPr>
              <w:jc w:val="center"/>
            </w:pPr>
          </w:p>
        </w:tc>
      </w:tr>
      <w:tr w:rsidR="00D06980" w:rsidDel="008362B2" w14:paraId="5DC29E10" w14:textId="4A8F0D17" w:rsidTr="00652A15">
        <w:tc>
          <w:tcPr>
            <w:tcW w:w="2693" w:type="dxa"/>
          </w:tcPr>
          <w:p w14:paraId="0292726C" w14:textId="6DCF51EF" w:rsidR="00D06980" w:rsidRPr="00D06980" w:rsidDel="008362B2" w:rsidRDefault="00D06980" w:rsidP="00D43304">
            <w:r w:rsidRPr="00D06980" w:rsidDel="008362B2">
              <w:t>Thüringen</w:t>
            </w:r>
          </w:p>
        </w:tc>
        <w:tc>
          <w:tcPr>
            <w:tcW w:w="1701" w:type="dxa"/>
          </w:tcPr>
          <w:p w14:paraId="473C42AB" w14:textId="19389A7A" w:rsidR="00D06980" w:rsidDel="008362B2" w:rsidRDefault="00D06980" w:rsidP="00D43304">
            <w:r w:rsidRPr="00D06980" w:rsidDel="008362B2">
              <w:t xml:space="preserve">§ 3 </w:t>
            </w:r>
            <w:r w:rsidRPr="00E73C55" w:rsidDel="008362B2">
              <w:t>ThürKHG</w:t>
            </w:r>
          </w:p>
        </w:tc>
        <w:tc>
          <w:tcPr>
            <w:tcW w:w="1276" w:type="dxa"/>
            <w:vAlign w:val="center"/>
          </w:tcPr>
          <w:p w14:paraId="6DD6851E" w14:textId="2B8AFC2F" w:rsidR="00D06980" w:rsidDel="008362B2" w:rsidRDefault="00D06980" w:rsidP="00D06980">
            <w:pPr>
              <w:jc w:val="center"/>
            </w:pPr>
          </w:p>
        </w:tc>
        <w:tc>
          <w:tcPr>
            <w:tcW w:w="1276" w:type="dxa"/>
            <w:vAlign w:val="center"/>
          </w:tcPr>
          <w:p w14:paraId="59BDCF6D" w14:textId="337C490E" w:rsidR="00D06980" w:rsidDel="008362B2" w:rsidRDefault="00D06980" w:rsidP="00D06980">
            <w:pPr>
              <w:jc w:val="center"/>
            </w:pPr>
            <w:r w:rsidRPr="00D06980" w:rsidDel="008362B2">
              <w:t>§ 2 Nr. 1</w:t>
            </w:r>
          </w:p>
        </w:tc>
        <w:tc>
          <w:tcPr>
            <w:tcW w:w="1843" w:type="dxa"/>
            <w:vAlign w:val="center"/>
          </w:tcPr>
          <w:p w14:paraId="61CB686E" w14:textId="420B6784" w:rsidR="00D06980" w:rsidRPr="00D06980" w:rsidDel="008362B2" w:rsidRDefault="00D06980" w:rsidP="00D06980">
            <w:pPr>
              <w:jc w:val="center"/>
            </w:pPr>
          </w:p>
        </w:tc>
      </w:tr>
    </w:tbl>
    <w:p w14:paraId="6216BCEC" w14:textId="38261ED3" w:rsidR="00D06980" w:rsidDel="008362B2" w:rsidRDefault="00652A15" w:rsidP="00D06980">
      <w:pPr>
        <w:spacing w:before="200"/>
      </w:pPr>
      <w:r w:rsidDel="008362B2">
        <w:t>Die Definitionen im KHG und im SGB V sind leider nicht übereinstimmend:</w:t>
      </w:r>
    </w:p>
    <w:p w14:paraId="463820B5" w14:textId="680D0DDA" w:rsidR="00652A15" w:rsidDel="008362B2" w:rsidRDefault="00652A15" w:rsidP="004456D4">
      <w:pPr>
        <w:pStyle w:val="Listenabsatz"/>
        <w:numPr>
          <w:ilvl w:val="0"/>
          <w:numId w:val="18"/>
        </w:numPr>
        <w:spacing w:before="200"/>
      </w:pPr>
      <w:r w:rsidRPr="00652A15" w:rsidDel="008362B2">
        <w:t>§ 2 Nr. 1</w:t>
      </w:r>
      <w:r w:rsidDel="008362B2">
        <w:t xml:space="preserve"> KHG: Krankenhäuser </w:t>
      </w:r>
      <w:r w:rsidRPr="00514004" w:rsidDel="008362B2">
        <w:t>=</w:t>
      </w:r>
      <w:r w:rsidDel="008362B2">
        <w:t xml:space="preserve"> Einrichtungen, in denen durch ärztliche und pflegerische Hilfeleistung Krankheiten, Leiden oder Körperschäden festgestellt, geheilt oder gelindert werden sollen oder Geburtshilfe geleistet wird und in denen die zu versorgenden Personen untergebracht und verpflegt werden </w:t>
      </w:r>
      <w:r w:rsidRPr="00514004" w:rsidDel="008362B2">
        <w:t>können</w:t>
      </w:r>
      <w:r w:rsidR="00514004" w:rsidRPr="00514004" w:rsidDel="008362B2">
        <w:t>.</w:t>
      </w:r>
    </w:p>
    <w:p w14:paraId="306B003D" w14:textId="464738C2" w:rsidR="00652A15" w:rsidDel="008362B2" w:rsidRDefault="00652A15" w:rsidP="004456D4">
      <w:pPr>
        <w:pStyle w:val="Listenabsatz"/>
        <w:numPr>
          <w:ilvl w:val="0"/>
          <w:numId w:val="18"/>
        </w:numPr>
        <w:spacing w:before="200"/>
      </w:pPr>
      <w:r w:rsidDel="008362B2">
        <w:t>§ 107 SGB V</w:t>
      </w:r>
    </w:p>
    <w:p w14:paraId="2F3DFF4D" w14:textId="10D9DED8" w:rsidR="00652A15" w:rsidDel="008362B2" w:rsidRDefault="00652A15" w:rsidP="00652A15">
      <w:pPr>
        <w:pStyle w:val="Listenabsatz"/>
        <w:numPr>
          <w:ilvl w:val="1"/>
          <w:numId w:val="18"/>
        </w:numPr>
        <w:spacing w:before="200"/>
      </w:pPr>
      <w:r w:rsidDel="008362B2">
        <w:t xml:space="preserve">Abs. 1 definiert Krankenhäuser, Abs. 2 </w:t>
      </w:r>
      <w:r w:rsidRPr="00652A15" w:rsidDel="008362B2">
        <w:t xml:space="preserve">Vorsorge- oder </w:t>
      </w:r>
      <w:r w:rsidRPr="00E73C55" w:rsidDel="008362B2">
        <w:t>Rehabilitationseinrichtungen</w:t>
      </w:r>
    </w:p>
    <w:p w14:paraId="356AC952" w14:textId="6DFF3C47" w:rsidR="00652A15" w:rsidDel="008362B2" w:rsidRDefault="00652A15" w:rsidP="00652A15">
      <w:pPr>
        <w:pStyle w:val="Listenabsatz"/>
        <w:numPr>
          <w:ilvl w:val="1"/>
          <w:numId w:val="18"/>
        </w:numPr>
        <w:spacing w:before="200"/>
      </w:pPr>
      <w:r w:rsidDel="008362B2">
        <w:t xml:space="preserve">Krankenhäuser sind Einrichtungen, </w:t>
      </w:r>
      <w:r w:rsidRPr="00E73C55" w:rsidDel="008362B2">
        <w:t>die</w:t>
      </w:r>
    </w:p>
    <w:p w14:paraId="59A43A25" w14:textId="4BB8EBED" w:rsidR="00652A15" w:rsidDel="008362B2" w:rsidRDefault="00652A15">
      <w:pPr>
        <w:pStyle w:val="Listenabsatz"/>
        <w:numPr>
          <w:ilvl w:val="2"/>
          <w:numId w:val="51"/>
        </w:numPr>
        <w:spacing w:before="200"/>
        <w:ind w:left="1985"/>
      </w:pPr>
      <w:r w:rsidRPr="00E73C55" w:rsidDel="008362B2">
        <w:t>der</w:t>
      </w:r>
      <w:r w:rsidDel="008362B2">
        <w:t xml:space="preserve"> Krankenhausbehandlung oder Geburtshilfe dienen,</w:t>
      </w:r>
    </w:p>
    <w:p w14:paraId="1705A31A" w14:textId="15EC1CDC" w:rsidR="00652A15" w:rsidDel="008362B2" w:rsidRDefault="00652A15">
      <w:pPr>
        <w:pStyle w:val="Listenabsatz"/>
        <w:numPr>
          <w:ilvl w:val="2"/>
          <w:numId w:val="51"/>
        </w:numPr>
        <w:spacing w:before="200"/>
        <w:ind w:left="1985"/>
      </w:pPr>
      <w:r w:rsidRPr="00E73C55" w:rsidDel="008362B2">
        <w:t>fachlich-medizinisch</w:t>
      </w:r>
      <w:r w:rsidDel="008362B2">
        <w:t xml:space="preserve"> unter ständiger ärztlicher Leitung stehen, über ausreichende, ihrem Versorgungsauftrag entsprechende diagnostische und therapeutische Möglichkeiten verfügen und nach wissenschaftlich anerkannten Methoden arbeiten,</w:t>
      </w:r>
    </w:p>
    <w:p w14:paraId="40A8211D" w14:textId="370331D5" w:rsidR="00652A15" w:rsidDel="008362B2" w:rsidRDefault="00652A15">
      <w:pPr>
        <w:pStyle w:val="Listenabsatz"/>
        <w:numPr>
          <w:ilvl w:val="2"/>
          <w:numId w:val="51"/>
        </w:numPr>
        <w:spacing w:before="200"/>
        <w:ind w:left="1985"/>
      </w:pPr>
      <w:r w:rsidRPr="00E73C55" w:rsidDel="008362B2">
        <w:t>mit Hilfe</w:t>
      </w:r>
      <w:r w:rsidDel="008362B2">
        <w:t xml:space="preserve"> von jederzeit verfügbarem ärztlichem, Pflege-, Funktions- und medizinisch-technischem Personal darauf eingerichtet sind, vorwiegend durch ärztliche und pflegerische Hilfeleistung Krankheiten der Patienten zu erkennen, zu heilen, ihre Verschlimmerung zu verhüten, Krankheitsbeschwerden zu lindern oder Geburtshilfe zu leisten,</w:t>
      </w:r>
    </w:p>
    <w:p w14:paraId="00A6CD3E" w14:textId="1FE2752C" w:rsidR="00652A15" w:rsidDel="008362B2" w:rsidRDefault="00652A15" w:rsidP="00652A15">
      <w:pPr>
        <w:pStyle w:val="Listenabsatz"/>
        <w:spacing w:before="200"/>
        <w:ind w:left="1625"/>
      </w:pPr>
      <w:r w:rsidRPr="00E73C55" w:rsidDel="008362B2">
        <w:t>und</w:t>
      </w:r>
      <w:r w:rsidDel="008362B2">
        <w:t xml:space="preserve"> in denen</w:t>
      </w:r>
    </w:p>
    <w:p w14:paraId="44A1C8DF" w14:textId="3DA0AA21" w:rsidR="00652A15" w:rsidDel="008362B2" w:rsidRDefault="00652A15">
      <w:pPr>
        <w:pStyle w:val="Listenabsatz"/>
        <w:numPr>
          <w:ilvl w:val="2"/>
          <w:numId w:val="51"/>
        </w:numPr>
        <w:spacing w:before="200"/>
        <w:ind w:left="1985"/>
      </w:pPr>
      <w:r w:rsidRPr="00E73C55" w:rsidDel="008362B2">
        <w:t>die</w:t>
      </w:r>
      <w:r w:rsidDel="008362B2">
        <w:t xml:space="preserve"> Patienten untergebracht und verpflegt werden können.</w:t>
      </w:r>
    </w:p>
    <w:p w14:paraId="4A990726" w14:textId="77A2483F" w:rsidR="00652A15" w:rsidDel="008362B2" w:rsidRDefault="00652A15" w:rsidP="00652A15">
      <w:pPr>
        <w:pStyle w:val="Listenabsatz"/>
        <w:numPr>
          <w:ilvl w:val="1"/>
          <w:numId w:val="18"/>
        </w:numPr>
        <w:spacing w:before="200"/>
      </w:pPr>
      <w:r w:rsidDel="008362B2">
        <w:t xml:space="preserve">Vorsorge- oder Rehabilitationseinrichtungen sind Einrichtungen, </w:t>
      </w:r>
      <w:r w:rsidRPr="00E73C55" w:rsidDel="008362B2">
        <w:t>die</w:t>
      </w:r>
    </w:p>
    <w:p w14:paraId="3C44D2EB" w14:textId="4EC4CEC6" w:rsidR="00652A15" w:rsidDel="008362B2" w:rsidRDefault="00652A15">
      <w:pPr>
        <w:pStyle w:val="Listenabsatz"/>
        <w:numPr>
          <w:ilvl w:val="0"/>
          <w:numId w:val="52"/>
        </w:numPr>
        <w:spacing w:before="200"/>
        <w:ind w:left="1985"/>
      </w:pPr>
      <w:r w:rsidRPr="00E73C55" w:rsidDel="008362B2">
        <w:t>der</w:t>
      </w:r>
      <w:r w:rsidDel="008362B2">
        <w:t xml:space="preserve"> stationären Behandlung der Patienten dienen, </w:t>
      </w:r>
      <w:r w:rsidRPr="00E73C55" w:rsidDel="008362B2">
        <w:t>um</w:t>
      </w:r>
    </w:p>
    <w:p w14:paraId="2E1BF80C" w14:textId="4F67EDEE" w:rsidR="00652A15" w:rsidDel="008362B2" w:rsidRDefault="00652A15">
      <w:pPr>
        <w:pStyle w:val="Listenabsatz"/>
        <w:numPr>
          <w:ilvl w:val="1"/>
          <w:numId w:val="53"/>
        </w:numPr>
        <w:spacing w:before="200"/>
        <w:ind w:left="2410"/>
      </w:pPr>
      <w:r w:rsidRPr="00E73C55" w:rsidDel="008362B2">
        <w:t>eine</w:t>
      </w:r>
      <w:r w:rsidDel="008362B2">
        <w:t xml:space="preserve"> Schwächung der Gesundheit, die in absehbarer Zeit voraussichtlich zu einer Krankheit führen würde, zu beseitigen oder einer Gefährdung der gesundheitlichen Entwicklung eines Kindes entgegenzuwirken (Vorsorge) </w:t>
      </w:r>
      <w:r w:rsidRPr="00E73C55" w:rsidDel="008362B2">
        <w:t>oder</w:t>
      </w:r>
    </w:p>
    <w:p w14:paraId="5015ABC3" w14:textId="47D440A5" w:rsidR="00652A15" w:rsidDel="008362B2" w:rsidRDefault="00652A15">
      <w:pPr>
        <w:pStyle w:val="Listenabsatz"/>
        <w:numPr>
          <w:ilvl w:val="1"/>
          <w:numId w:val="53"/>
        </w:numPr>
        <w:spacing w:before="200"/>
        <w:ind w:left="2410"/>
      </w:pPr>
      <w:r w:rsidRPr="00E73C55" w:rsidDel="008362B2">
        <w:t>eine</w:t>
      </w:r>
      <w:r w:rsidDel="008362B2">
        <w:t xml:space="preserve"> Krankheit zu heilen, ihre Verschlimmerung zu verhüten oder Krankheitsbeschwerden zu lindern oder im </w:t>
      </w:r>
      <w:r w:rsidR="00514004" w:rsidRPr="00514004" w:rsidDel="008362B2">
        <w:t>Anschluss</w:t>
      </w:r>
      <w:r w:rsidDel="008362B2">
        <w:t xml:space="preserve"> an Krankenhausbehandlung den dabei erzielten Behandlungserfolg zu sichern oder zu festigen, auch mit dem Ziel, eine drohende Behinderung oder Pflegebedürftigkeit abzuwenden, zu beseitigen, zu mindern, auszugleichen, ihre Verschlimmerung zu verhüten oder ihre Folgen zu mildern (Rehabilitation), wobei Leistungen der aktivierenden Pflege nicht von den Krankenkassen übernommen werden dürfen.</w:t>
      </w:r>
    </w:p>
    <w:p w14:paraId="2F911889" w14:textId="280E8224" w:rsidR="00652A15" w:rsidDel="008362B2" w:rsidRDefault="00652A15">
      <w:pPr>
        <w:pStyle w:val="Listenabsatz"/>
        <w:numPr>
          <w:ilvl w:val="0"/>
          <w:numId w:val="52"/>
        </w:numPr>
        <w:spacing w:before="200"/>
        <w:ind w:left="1985"/>
      </w:pPr>
      <w:r w:rsidRPr="00E73C55" w:rsidDel="008362B2">
        <w:t>fachlich-medizinisch</w:t>
      </w:r>
      <w:r w:rsidDel="008362B2">
        <w:t xml:space="preserve"> unter ständiger ärztlicher Verantwortung und unter Mitwirkung von besonders geschultem Personal darauf eingerichtet sind, den Gesundheitszustand der Patienten nach einem ärztlichen Behandlungsplan vorwiegend durch Anwendung von Heilmitteln einschließlich Krankengymnastik, Bewegungstherapie, Sprachtherapie oder Arbeits- und Beschäftigungstherapie, ferner durch andere geeignete Hilfen, auch durch geistige und seelische Einwirkungen, zu verbessern und den Patienten bei der Entwicklung eigener Abwehr- und Heilungskräfte zu helfen,</w:t>
      </w:r>
    </w:p>
    <w:p w14:paraId="49EC8BBE" w14:textId="11B06D5C" w:rsidR="00652A15" w:rsidDel="008362B2" w:rsidRDefault="00652A15" w:rsidP="00652A15">
      <w:pPr>
        <w:pStyle w:val="Listenabsatz"/>
        <w:spacing w:before="200"/>
        <w:ind w:left="1440"/>
      </w:pPr>
      <w:r w:rsidRPr="00E73C55" w:rsidDel="008362B2">
        <w:t>und</w:t>
      </w:r>
      <w:r w:rsidDel="008362B2">
        <w:t xml:space="preserve"> in denen</w:t>
      </w:r>
    </w:p>
    <w:p w14:paraId="096E4B5D" w14:textId="5A3CC455" w:rsidR="00652A15" w:rsidDel="008362B2" w:rsidRDefault="00652A15">
      <w:pPr>
        <w:pStyle w:val="Listenabsatz"/>
        <w:numPr>
          <w:ilvl w:val="0"/>
          <w:numId w:val="52"/>
        </w:numPr>
        <w:spacing w:before="200"/>
        <w:ind w:left="1985"/>
      </w:pPr>
      <w:r w:rsidRPr="00E73C55" w:rsidDel="008362B2">
        <w:t>die</w:t>
      </w:r>
      <w:r w:rsidDel="008362B2">
        <w:t xml:space="preserve"> Patienten untergebracht und verpflegt werden können.</w:t>
      </w:r>
    </w:p>
    <w:p w14:paraId="588D70A0" w14:textId="11C7F8A2" w:rsidR="00652A15" w:rsidDel="008362B2" w:rsidRDefault="00652A15" w:rsidP="00652A15">
      <w:pPr>
        <w:spacing w:before="200"/>
      </w:pPr>
      <w:r w:rsidDel="008362B2">
        <w:t>§ 8 Abs. 1 S. 1 KHG beschreibt, welche Krankenhäuser förderfähig sind, zielt also ebenfalls auf die Förderfähigkeit ab. § 108 SGB V beinhaltet die Vorgaben, welche Krankenhausbehandlung von gesetzlichen Krankenkassen bezahlt werden dürfen und § 111 SGB V adressiert V</w:t>
      </w:r>
      <w:r w:rsidRPr="00652A15" w:rsidDel="008362B2">
        <w:t xml:space="preserve">ersorgungsverträge </w:t>
      </w:r>
      <w:r w:rsidDel="008362B2">
        <w:t xml:space="preserve">zwischen Krankenkassen und </w:t>
      </w:r>
      <w:r w:rsidRPr="00652A15" w:rsidDel="008362B2">
        <w:t>Vorsorge- oder Rehabilitationseinrichtungen</w:t>
      </w:r>
      <w:r w:rsidDel="008362B2">
        <w:t>.</w:t>
      </w:r>
    </w:p>
    <w:p w14:paraId="58E96175" w14:textId="14F48FBC" w:rsidR="00652A15" w:rsidDel="008362B2" w:rsidRDefault="00652A15" w:rsidP="00652A15">
      <w:pPr>
        <w:spacing w:before="200"/>
      </w:pPr>
      <w:r w:rsidDel="008362B2">
        <w:t>Alle von Religionseinrichtungen betriebenen Krankenhäuser werden entsprechend KHG gefördert und entsprechen den Begriffsbestimmungen bzgl. Krankenhäuser sowohl im KHG als auch im SGB V, sodass die jeweiligen Landesgesetze auch für von Religionseinrichtungen betriebenen Krankenhäuser gelten.</w:t>
      </w:r>
    </w:p>
    <w:p w14:paraId="0D22A6F0" w14:textId="28F15563" w:rsidR="00652A15" w:rsidDel="008362B2" w:rsidRDefault="00652A15" w:rsidP="00652A15">
      <w:pPr>
        <w:pStyle w:val="berschrift4"/>
      </w:pPr>
      <w:bookmarkStart w:id="165" w:name="_Toc169680421"/>
      <w:bookmarkStart w:id="166" w:name="_Toc169680606"/>
      <w:bookmarkStart w:id="167" w:name="_Toc169934831"/>
      <w:r w:rsidDel="008362B2">
        <w:t>Ausnahmetatbestände in Landeskrankenhausgesetzen</w:t>
      </w:r>
      <w:bookmarkEnd w:id="165"/>
      <w:bookmarkEnd w:id="166"/>
      <w:bookmarkEnd w:id="167"/>
    </w:p>
    <w:p w14:paraId="7E7FCAB2" w14:textId="498848AC" w:rsidR="00D06980" w:rsidDel="008362B2" w:rsidRDefault="00652A15" w:rsidP="00652A15">
      <w:pPr>
        <w:spacing w:after="0"/>
      </w:pPr>
      <w:r w:rsidDel="008362B2">
        <w:t>Diverse Landeskrankenhausgesetze enthalten Ausnahmetatbestände für Religionsgemeins</w:t>
      </w:r>
      <w:r w:rsidR="00F93265">
        <w:t>chaf</w:t>
      </w:r>
      <w:r w:rsidDel="008362B2">
        <w:t>ten. Diese betreffen in folgenden Bundesländern jedoch nicht die für Krankenhäuser geltenden datenschutzrechtlichen Regelungen:</w:t>
      </w:r>
    </w:p>
    <w:p w14:paraId="719955E0" w14:textId="64FB4CE1" w:rsidR="00652A15" w:rsidDel="008362B2" w:rsidRDefault="00652A15">
      <w:pPr>
        <w:pStyle w:val="Listenabsatz"/>
        <w:numPr>
          <w:ilvl w:val="0"/>
          <w:numId w:val="53"/>
        </w:numPr>
      </w:pPr>
      <w:r w:rsidRPr="00652A15" w:rsidDel="008362B2">
        <w:t>Baden-Württemberg</w:t>
      </w:r>
      <w:r w:rsidR="00514004" w:rsidDel="008362B2">
        <w:t>,</w:t>
      </w:r>
    </w:p>
    <w:p w14:paraId="3BFC53FB" w14:textId="370BAEEF" w:rsidR="00514004" w:rsidDel="008362B2" w:rsidRDefault="00514004">
      <w:pPr>
        <w:pStyle w:val="Listenabsatz"/>
        <w:numPr>
          <w:ilvl w:val="0"/>
          <w:numId w:val="53"/>
        </w:numPr>
      </w:pPr>
      <w:r w:rsidRPr="00514004" w:rsidDel="008362B2">
        <w:t>Brandenburg</w:t>
      </w:r>
      <w:r w:rsidDel="008362B2">
        <w:t>,</w:t>
      </w:r>
    </w:p>
    <w:p w14:paraId="151397A2" w14:textId="5FD11E7F" w:rsidR="00514004" w:rsidDel="008362B2" w:rsidRDefault="00514004">
      <w:pPr>
        <w:pStyle w:val="Listenabsatz"/>
        <w:numPr>
          <w:ilvl w:val="0"/>
          <w:numId w:val="53"/>
        </w:numPr>
      </w:pPr>
      <w:r w:rsidDel="008362B2">
        <w:t>Hessen,</w:t>
      </w:r>
    </w:p>
    <w:p w14:paraId="43E670AA" w14:textId="66664062" w:rsidR="00514004" w:rsidDel="008362B2" w:rsidRDefault="00514004">
      <w:pPr>
        <w:pStyle w:val="Listenabsatz"/>
        <w:numPr>
          <w:ilvl w:val="0"/>
          <w:numId w:val="53"/>
        </w:numPr>
      </w:pPr>
      <w:r w:rsidRPr="00514004" w:rsidDel="008362B2">
        <w:t>Mecklenburg-Vorpommern</w:t>
      </w:r>
      <w:r w:rsidDel="008362B2">
        <w:t>,</w:t>
      </w:r>
    </w:p>
    <w:p w14:paraId="78C67A09" w14:textId="71E09DBC" w:rsidR="00514004" w:rsidDel="008362B2" w:rsidRDefault="00514004">
      <w:pPr>
        <w:pStyle w:val="Listenabsatz"/>
        <w:numPr>
          <w:ilvl w:val="0"/>
          <w:numId w:val="53"/>
        </w:numPr>
      </w:pPr>
      <w:r w:rsidRPr="00514004" w:rsidDel="008362B2">
        <w:t>Rheinland-Pfalz</w:t>
      </w:r>
      <w:r w:rsidDel="008362B2">
        <w:t>,</w:t>
      </w:r>
    </w:p>
    <w:p w14:paraId="4124DB78" w14:textId="731B411D" w:rsidR="00514004" w:rsidDel="008362B2" w:rsidRDefault="00514004">
      <w:pPr>
        <w:pStyle w:val="Listenabsatz"/>
        <w:numPr>
          <w:ilvl w:val="0"/>
          <w:numId w:val="53"/>
        </w:numPr>
      </w:pPr>
      <w:r w:rsidDel="008362B2">
        <w:t>Sachsen,</w:t>
      </w:r>
    </w:p>
    <w:p w14:paraId="6EEAF650" w14:textId="7F28E52A" w:rsidR="00514004" w:rsidDel="008362B2" w:rsidRDefault="00514004">
      <w:pPr>
        <w:pStyle w:val="Listenabsatz"/>
        <w:numPr>
          <w:ilvl w:val="0"/>
          <w:numId w:val="53"/>
        </w:numPr>
      </w:pPr>
      <w:r w:rsidDel="008362B2">
        <w:t>Thüringen.</w:t>
      </w:r>
    </w:p>
    <w:p w14:paraId="171D1572" w14:textId="2F8CA258" w:rsidR="00652A15" w:rsidDel="008362B2" w:rsidRDefault="00652A15" w:rsidP="00652A15">
      <w:pPr>
        <w:spacing w:after="0"/>
      </w:pPr>
      <w:r w:rsidDel="008362B2">
        <w:t>Keine Ausnahmen beinhalten die Regelungen der folgenden Bundesländer:</w:t>
      </w:r>
    </w:p>
    <w:p w14:paraId="6A03DFE9" w14:textId="48F85F3F" w:rsidR="00652A15" w:rsidDel="008362B2" w:rsidRDefault="00652A15">
      <w:pPr>
        <w:pStyle w:val="Listenabsatz"/>
        <w:numPr>
          <w:ilvl w:val="0"/>
          <w:numId w:val="53"/>
        </w:numPr>
      </w:pPr>
      <w:r w:rsidDel="008362B2">
        <w:t>Bayern</w:t>
      </w:r>
      <w:r w:rsidR="00514004" w:rsidDel="008362B2">
        <w:t>,</w:t>
      </w:r>
    </w:p>
    <w:p w14:paraId="3D0B027D" w14:textId="778A124E" w:rsidR="00652A15" w:rsidDel="008362B2" w:rsidRDefault="00652A15">
      <w:pPr>
        <w:pStyle w:val="Listenabsatz"/>
        <w:numPr>
          <w:ilvl w:val="0"/>
          <w:numId w:val="53"/>
        </w:numPr>
      </w:pPr>
      <w:r w:rsidDel="008362B2">
        <w:t>Berlin</w:t>
      </w:r>
      <w:r w:rsidR="00514004" w:rsidDel="008362B2">
        <w:t>,</w:t>
      </w:r>
    </w:p>
    <w:p w14:paraId="188B4C88" w14:textId="55BAB427" w:rsidR="00514004" w:rsidDel="008362B2" w:rsidRDefault="00514004">
      <w:pPr>
        <w:pStyle w:val="Listenabsatz"/>
        <w:numPr>
          <w:ilvl w:val="0"/>
          <w:numId w:val="53"/>
        </w:numPr>
      </w:pPr>
      <w:r w:rsidDel="008362B2">
        <w:t>Niedersachsen,</w:t>
      </w:r>
    </w:p>
    <w:p w14:paraId="0546857E" w14:textId="56B8F291" w:rsidR="00514004" w:rsidDel="008362B2" w:rsidRDefault="00514004">
      <w:pPr>
        <w:pStyle w:val="Listenabsatz"/>
        <w:numPr>
          <w:ilvl w:val="0"/>
          <w:numId w:val="53"/>
        </w:numPr>
      </w:pPr>
      <w:r w:rsidRPr="00514004" w:rsidDel="008362B2">
        <w:t>Sachsen-Anhalt</w:t>
      </w:r>
      <w:r w:rsidDel="008362B2">
        <w:t>.</w:t>
      </w:r>
    </w:p>
    <w:p w14:paraId="7C6A24E1" w14:textId="4CF20CCD" w:rsidR="00652A15" w:rsidDel="008362B2" w:rsidRDefault="00514004" w:rsidP="00514004">
      <w:pPr>
        <w:spacing w:after="0"/>
      </w:pPr>
      <w:r w:rsidDel="008362B2">
        <w:t xml:space="preserve">Einige Landeskrankenhausgesetze enthalten Regelungen, welche Religionsgemeinschaften erlauben, eigene Datenschutzregelungen für die Verarbeitung von Patientendaten zu erlassen. Ist dies erfolgt, sind diese anwendbar. Entsprechende Öffnungstatbestände weisen folgende Landesgesetz auf: </w:t>
      </w:r>
    </w:p>
    <w:p w14:paraId="34C08498" w14:textId="72D79B4F" w:rsidR="00514004" w:rsidDel="008362B2" w:rsidRDefault="00514004">
      <w:pPr>
        <w:pStyle w:val="Listenabsatz"/>
        <w:numPr>
          <w:ilvl w:val="0"/>
          <w:numId w:val="53"/>
        </w:numPr>
      </w:pPr>
      <w:r w:rsidDel="008362B2">
        <w:t xml:space="preserve">Bremen: § 36 </w:t>
      </w:r>
      <w:r w:rsidRPr="00E73C55" w:rsidDel="008362B2">
        <w:t>BremKrhG</w:t>
      </w:r>
      <w:r w:rsidDel="008362B2">
        <w:t>,</w:t>
      </w:r>
    </w:p>
    <w:p w14:paraId="2F9F1550" w14:textId="22EB5AD6" w:rsidR="00514004" w:rsidDel="008362B2" w:rsidRDefault="00514004">
      <w:pPr>
        <w:pStyle w:val="Listenabsatz"/>
        <w:numPr>
          <w:ilvl w:val="0"/>
          <w:numId w:val="53"/>
        </w:numPr>
      </w:pPr>
      <w:r w:rsidDel="008362B2">
        <w:t xml:space="preserve">Hamburg: § 7 Abs. 4 </w:t>
      </w:r>
      <w:r w:rsidRPr="00E73C55" w:rsidDel="008362B2">
        <w:t>HmbKHG</w:t>
      </w:r>
      <w:r w:rsidDel="008362B2">
        <w:t>,</w:t>
      </w:r>
    </w:p>
    <w:p w14:paraId="6586E0A7" w14:textId="6223F351" w:rsidR="00514004" w:rsidDel="008362B2" w:rsidRDefault="00514004">
      <w:pPr>
        <w:pStyle w:val="Listenabsatz"/>
        <w:numPr>
          <w:ilvl w:val="0"/>
          <w:numId w:val="53"/>
        </w:numPr>
      </w:pPr>
      <w:r w:rsidDel="008362B2">
        <w:t xml:space="preserve">Nordrhein-Westfalen: § 2 Abs. 3 </w:t>
      </w:r>
      <w:r w:rsidRPr="00E73C55" w:rsidDel="008362B2">
        <w:t>GDSG</w:t>
      </w:r>
      <w:r w:rsidDel="008362B2">
        <w:t xml:space="preserve"> </w:t>
      </w:r>
      <w:r w:rsidRPr="00E73C55" w:rsidDel="008362B2">
        <w:t>NW</w:t>
      </w:r>
      <w:r w:rsidDel="008362B2">
        <w:t>,</w:t>
      </w:r>
    </w:p>
    <w:p w14:paraId="4303062E" w14:textId="3EA187A8" w:rsidR="00514004" w:rsidDel="008362B2" w:rsidRDefault="00514004">
      <w:pPr>
        <w:pStyle w:val="Listenabsatz"/>
        <w:numPr>
          <w:ilvl w:val="0"/>
          <w:numId w:val="53"/>
        </w:numPr>
      </w:pPr>
      <w:r w:rsidDel="008362B2">
        <w:t xml:space="preserve">Saarland: § 2 Abs. 2 </w:t>
      </w:r>
      <w:r w:rsidRPr="00514004" w:rsidDel="008362B2">
        <w:t>Saarländisches Krankenhausgesetz</w:t>
      </w:r>
      <w:r w:rsidDel="008362B2">
        <w:t>,</w:t>
      </w:r>
    </w:p>
    <w:p w14:paraId="3BA90ABB" w14:textId="5CCA5063" w:rsidR="00514004" w:rsidDel="008362B2" w:rsidRDefault="00514004">
      <w:pPr>
        <w:pStyle w:val="Listenabsatz"/>
        <w:numPr>
          <w:ilvl w:val="0"/>
          <w:numId w:val="53"/>
        </w:numPr>
        <w:spacing w:after="0"/>
        <w:ind w:left="714" w:hanging="357"/>
      </w:pPr>
      <w:r w:rsidRPr="00514004" w:rsidDel="008362B2">
        <w:t>Schleswig-Holstein</w:t>
      </w:r>
      <w:r w:rsidDel="008362B2">
        <w:t>: § 2 Abs. 4 LKHG.</w:t>
      </w:r>
    </w:p>
    <w:p w14:paraId="6658844A" w14:textId="793C8692" w:rsidR="00514004" w:rsidDel="008362B2" w:rsidRDefault="00514004" w:rsidP="00514004">
      <w:r w:rsidDel="008362B2">
        <w:t>Die Landeskrankenhausgesetze erlauben i. d. R. jedoch nur „gleichwertige“ Regelungen von Religionsgemeinschaften, d. h. Regelungen, welche den Umgang mit Patientendaten im Krankenhaus adressieren.</w:t>
      </w:r>
    </w:p>
    <w:p w14:paraId="415A284F" w14:textId="71148302" w:rsidR="00D43304" w:rsidDel="008362B2" w:rsidRDefault="00D43304" w:rsidP="00D43304">
      <w:pPr>
        <w:pStyle w:val="berschrift4"/>
      </w:pPr>
      <w:bookmarkStart w:id="168" w:name="_Toc169680422"/>
      <w:bookmarkStart w:id="169" w:name="_Toc169680607"/>
      <w:bookmarkStart w:id="170" w:name="_Toc169934832"/>
      <w:r w:rsidRPr="00D43304" w:rsidDel="008362B2">
        <w:t>Ergebnis</w:t>
      </w:r>
      <w:bookmarkEnd w:id="168"/>
      <w:bookmarkEnd w:id="169"/>
      <w:bookmarkEnd w:id="170"/>
    </w:p>
    <w:p w14:paraId="424EC8A8" w14:textId="794EBB07" w:rsidR="00D43304" w:rsidRPr="00145B51" w:rsidDel="008362B2" w:rsidRDefault="00D43304" w:rsidP="00D43304">
      <w:r w:rsidDel="008362B2">
        <w:t xml:space="preserve">Wenn man im jeweiligen Bundesland nach Erwägung aller Umstände zum Ergebnis kommt, dass die datenschutzrechtlichen Landesregelungen für Krankenhäuser auch für von Religionsgemeinschaften betriebenen Krankenhäuser gelten, so gelten neben allen anderen Vorgaben selbstverständlich auch die Erlaubnistatbestände zur Verarbeitung von personenbezogenen Daten (siehe Kap. </w:t>
      </w:r>
      <w:r w:rsidDel="008362B2">
        <w:fldChar w:fldCharType="begin"/>
      </w:r>
      <w:r w:rsidDel="008362B2">
        <w:instrText xml:space="preserve"> REF _Ref165877494 \r \h </w:instrText>
      </w:r>
      <w:r w:rsidDel="008362B2">
        <w:fldChar w:fldCharType="separate"/>
      </w:r>
      <w:r w:rsidR="00F43608">
        <w:t>7.2.2</w:t>
      </w:r>
      <w:r w:rsidDel="008362B2">
        <w:fldChar w:fldCharType="end"/>
      </w:r>
      <w:r w:rsidDel="008362B2">
        <w:t>) für diese Einrichtungen.</w:t>
      </w:r>
    </w:p>
    <w:p w14:paraId="5C35C4C3" w14:textId="7B8E18FB" w:rsidR="00C626A9" w:rsidRDefault="00C626A9" w:rsidP="00C626A9">
      <w:pPr>
        <w:pStyle w:val="berschrift3"/>
      </w:pPr>
      <w:bookmarkStart w:id="171" w:name="_Toc169934833"/>
      <w:bookmarkStart w:id="172" w:name="_Ref165877494"/>
      <w:r>
        <w:t>Erlaubnistatbest</w:t>
      </w:r>
      <w:r w:rsidR="00CD4845">
        <w:t>ä</w:t>
      </w:r>
      <w:r>
        <w:t xml:space="preserve">nde der </w:t>
      </w:r>
      <w:r w:rsidRPr="00E73C55">
        <w:t>ev</w:t>
      </w:r>
      <w:r>
        <w:t>. Kirche in Bezug auf Patientenversorgung</w:t>
      </w:r>
      <w:bookmarkEnd w:id="171"/>
    </w:p>
    <w:p w14:paraId="4AC6D239" w14:textId="17E6FA08" w:rsidR="00C626A9" w:rsidRDefault="00C626A9" w:rsidP="00C626A9">
      <w:r>
        <w:t>Die evangelische Kirche unterteilt sich in Deutschland in verschiedene Regionen, ähnlich wie Deutschland selbst sich auch in die Bundesländer aufteilt. Einige erließen spezielle Regelungen zur Patientenversorgung, andere wiederum nicht.</w:t>
      </w:r>
    </w:p>
    <w:p w14:paraId="2C0E6D2A" w14:textId="02968859" w:rsidR="00C626A9" w:rsidRDefault="00C626A9" w:rsidP="00C626A9">
      <w:pPr>
        <w:pStyle w:val="berschrift4"/>
      </w:pPr>
      <w:bookmarkStart w:id="173" w:name="_Toc169934834"/>
      <w:r w:rsidRPr="00E73C55">
        <w:t>Bremische evangelische</w:t>
      </w:r>
      <w:r w:rsidRPr="00C626A9">
        <w:t xml:space="preserve"> Kirche</w:t>
      </w:r>
      <w:bookmarkEnd w:id="173"/>
    </w:p>
    <w:p w14:paraId="7E7349BF" w14:textId="40F81E85" w:rsidR="00C626A9" w:rsidRDefault="00C626A9" w:rsidP="00C626A9">
      <w:r>
        <w:t xml:space="preserve">Die </w:t>
      </w:r>
      <w:r w:rsidR="00E73C55" w:rsidRPr="00E73C55">
        <w:t>b</w:t>
      </w:r>
      <w:r w:rsidRPr="00E73C55">
        <w:t>remische evangelische</w:t>
      </w:r>
      <w:r w:rsidRPr="00C626A9">
        <w:t xml:space="preserve"> Kirche </w:t>
      </w:r>
      <w:r>
        <w:t xml:space="preserve">erließ 2021 eine </w:t>
      </w:r>
      <w:r w:rsidRPr="00C626A9">
        <w:t>Patientendatenverordnung</w:t>
      </w:r>
      <w:r>
        <w:t xml:space="preserve"> (</w:t>
      </w:r>
      <w:r w:rsidRPr="00E73C55">
        <w:t>PatientendatenVO</w:t>
      </w:r>
      <w:r>
        <w:t>)</w:t>
      </w:r>
      <w:r>
        <w:rPr>
          <w:rStyle w:val="Funotenzeichen"/>
        </w:rPr>
        <w:footnoteReference w:id="70"/>
      </w:r>
      <w:r>
        <w:t xml:space="preserve">. Diese gilt gemäß § 1 Abs. 1 </w:t>
      </w:r>
      <w:r w:rsidRPr="00E73C55">
        <w:t>PatientendatenVO</w:t>
      </w:r>
      <w:r w:rsidRPr="00C626A9">
        <w:t xml:space="preserve"> für die Verarbeitung von Patientendaten durch Krankenhäuser in Trägerschaft einer kirchlichen Stelle der Bremischen Evangelischen Kirche</w:t>
      </w:r>
      <w:r>
        <w:t xml:space="preserve">, wobei Krankenhäuser entsprechend § 1 Abs. 2 </w:t>
      </w:r>
      <w:r w:rsidRPr="00E73C55">
        <w:t>PatientendatenVO</w:t>
      </w:r>
      <w:r>
        <w:t xml:space="preserve"> gemäß § 2 Nr. 1 </w:t>
      </w:r>
      <w:r w:rsidRPr="00C626A9">
        <w:t>Krankenhausfinanzierungsgesetz</w:t>
      </w:r>
      <w:r>
        <w:t xml:space="preserve"> definiert werden.</w:t>
      </w:r>
    </w:p>
    <w:p w14:paraId="3F02D7FE" w14:textId="2C329AA3" w:rsidR="00C626A9" w:rsidRDefault="00C626A9" w:rsidP="00C626A9">
      <w:r>
        <w:t xml:space="preserve">§ 36 Abs. 3 </w:t>
      </w:r>
      <w:r w:rsidRPr="00E73C55">
        <w:t>BremKrhG</w:t>
      </w:r>
      <w:r>
        <w:t xml:space="preserve"> enthält die Öffnungsklausel, dass bei </w:t>
      </w:r>
      <w:r w:rsidRPr="00C626A9">
        <w:t xml:space="preserve">Krankenhäusern, die von kirchlichen oder religiösen Vereinigungen oder Gemeinschaften oder diesen zuzuordnenden Einrichtungen betrieben werden, die Vorschriften </w:t>
      </w:r>
      <w:r>
        <w:t xml:space="preserve">des achten </w:t>
      </w:r>
      <w:r w:rsidRPr="00C626A9">
        <w:t xml:space="preserve">Abschnitts </w:t>
      </w:r>
      <w:r>
        <w:t xml:space="preserve">des </w:t>
      </w:r>
      <w:r w:rsidRPr="00E73C55">
        <w:t>BremKrhG</w:t>
      </w:r>
      <w:r>
        <w:t xml:space="preserve"> („Datenschutz“) </w:t>
      </w:r>
      <w:r w:rsidRPr="00C626A9">
        <w:t xml:space="preserve">nur </w:t>
      </w:r>
      <w:r>
        <w:t xml:space="preserve">gelten, wenn </w:t>
      </w:r>
      <w:r w:rsidRPr="00C626A9">
        <w:t xml:space="preserve">die kirchlichen oder religiösen Vereinigungen oder Gemeinschaften keine Regeln </w:t>
      </w:r>
      <w:r>
        <w:t>entsprechenden erließen</w:t>
      </w:r>
      <w:r w:rsidRPr="00C626A9">
        <w:t xml:space="preserve">, </w:t>
      </w:r>
      <w:r>
        <w:t>welche</w:t>
      </w:r>
      <w:r w:rsidRPr="00C626A9">
        <w:t xml:space="preserve"> den Anforderungen des </w:t>
      </w:r>
      <w:r>
        <w:t>Art. </w:t>
      </w:r>
      <w:r w:rsidRPr="00C626A9">
        <w:t xml:space="preserve">91 </w:t>
      </w:r>
      <w:r>
        <w:t xml:space="preserve">DS-GVO </w:t>
      </w:r>
      <w:r w:rsidRPr="00C626A9">
        <w:t>genügen.</w:t>
      </w:r>
      <w:r>
        <w:t xml:space="preserve"> Bzgl. </w:t>
      </w:r>
      <w:r w:rsidRPr="00E73C55">
        <w:t>Anforderungen</w:t>
      </w:r>
      <w:r w:rsidR="00E73C55" w:rsidRPr="00E73C55">
        <w:t xml:space="preserve"> </w:t>
      </w:r>
      <w:r>
        <w:t xml:space="preserve">aus dem Europarecht an Regelungen </w:t>
      </w:r>
      <w:r w:rsidR="00E73C55">
        <w:t xml:space="preserve">der Religionsgemeinschaften </w:t>
      </w:r>
      <w:r>
        <w:t xml:space="preserve">wird auf Kap. </w:t>
      </w:r>
      <w:r>
        <w:fldChar w:fldCharType="begin"/>
      </w:r>
      <w:r>
        <w:instrText xml:space="preserve"> REF _Ref165877037 \r \h </w:instrText>
      </w:r>
      <w:r>
        <w:fldChar w:fldCharType="separate"/>
      </w:r>
      <w:r w:rsidR="00F43608">
        <w:t>6.7</w:t>
      </w:r>
      <w:r>
        <w:fldChar w:fldCharType="end"/>
      </w:r>
      <w:r>
        <w:t xml:space="preserve"> verwiesen.</w:t>
      </w:r>
    </w:p>
    <w:p w14:paraId="158615C1" w14:textId="5C42B993" w:rsidR="00C626A9" w:rsidRDefault="00C626A9" w:rsidP="00C626A9">
      <w:r>
        <w:t xml:space="preserve">Mit der </w:t>
      </w:r>
      <w:r w:rsidRPr="00E73C55">
        <w:t>PatientendatenVO</w:t>
      </w:r>
      <w:r>
        <w:t xml:space="preserve"> existiert für das Bundesland </w:t>
      </w:r>
      <w:r w:rsidR="00E73C55" w:rsidRPr="00E73C55">
        <w:t>B</w:t>
      </w:r>
      <w:r w:rsidRPr="00E73C55">
        <w:t>remen</w:t>
      </w:r>
      <w:r>
        <w:t xml:space="preserve"> eine eigene Regelung, sodass die Datenschutzvorgaben des </w:t>
      </w:r>
      <w:r w:rsidRPr="00E73C55">
        <w:t>BremKrhG</w:t>
      </w:r>
      <w:r>
        <w:t xml:space="preserve"> für die Verarbeitung von Patientendaten nicht anwendbar sind, sondern die der </w:t>
      </w:r>
      <w:r w:rsidRPr="00E73C55">
        <w:t>PatientendatenVO</w:t>
      </w:r>
      <w:r>
        <w:t>.</w:t>
      </w:r>
    </w:p>
    <w:p w14:paraId="4EFDE4F3" w14:textId="77D60B64" w:rsidR="00C626A9" w:rsidRDefault="00C626A9" w:rsidP="00C626A9">
      <w:pPr>
        <w:spacing w:after="0"/>
      </w:pPr>
      <w:r>
        <w:t xml:space="preserve">§ 3 </w:t>
      </w:r>
      <w:r w:rsidRPr="00E73C55">
        <w:t>PatientendatenVO</w:t>
      </w:r>
      <w:r>
        <w:t xml:space="preserve"> benennt Erlaubnistatbestände zur Verarbeitung von Patientendaten ohne Einwilligung:</w:t>
      </w:r>
    </w:p>
    <w:p w14:paraId="4022A2FD" w14:textId="7955B81F" w:rsidR="00C626A9" w:rsidRPr="00C626A9" w:rsidRDefault="00C626A9">
      <w:pPr>
        <w:pStyle w:val="Listenabsatz"/>
        <w:numPr>
          <w:ilvl w:val="0"/>
          <w:numId w:val="53"/>
        </w:numPr>
      </w:pPr>
      <w:r>
        <w:t xml:space="preserve">§ 3 Abs. 1 Nr. 1 </w:t>
      </w:r>
      <w:r w:rsidRPr="00E73C55">
        <w:t>PatientendatenVO</w:t>
      </w:r>
      <w:r>
        <w:t xml:space="preserve">: Hier wird die </w:t>
      </w:r>
      <w:r w:rsidR="004C7733">
        <w:t xml:space="preserve">Verarbeitung von Patientendaten in dem Umfang erlaubt, welcher zur Erfüllung der Pflichten des Behandlungsvertrages erforderlich ist. Damit korrespondiert diese Vorschrift mit Art. 9 Abs. 2 lit. h DS-GVO, d. h. u. a. müssen die Vorgaben von Art. 9 Abs. 3 DS-GVO erfüllt werden. Durch den Verweis auf den </w:t>
      </w:r>
      <w:r w:rsidR="00E73C55" w:rsidRPr="00E73C55">
        <w:t>B</w:t>
      </w:r>
      <w:r w:rsidR="004C7733" w:rsidRPr="00E73C55">
        <w:t>ehandlungsvertrag</w:t>
      </w:r>
      <w:r w:rsidR="004C7733">
        <w:t xml:space="preserve"> wird hier Art. 6 Abs. 1 lit. b DS-GVO als der entsprechende Rechtfertigungstatbestand anwendbar sein.</w:t>
      </w:r>
    </w:p>
    <w:p w14:paraId="7135CC83" w14:textId="351F229F" w:rsidR="00C626A9" w:rsidRDefault="00C626A9">
      <w:pPr>
        <w:pStyle w:val="Listenabsatz"/>
        <w:numPr>
          <w:ilvl w:val="0"/>
          <w:numId w:val="53"/>
        </w:numPr>
      </w:pPr>
      <w:r>
        <w:t xml:space="preserve">§ 3 Abs. 1 Nr. 2 </w:t>
      </w:r>
      <w:r w:rsidRPr="00E73C55">
        <w:t>PatientendatenVO</w:t>
      </w:r>
      <w:r>
        <w:t>:</w:t>
      </w:r>
      <w:r w:rsidR="004C7733">
        <w:t xml:space="preserve"> Diese Regelung adressiert § 115 SGB V, d. h. d</w:t>
      </w:r>
      <w:r w:rsidR="004C7733" w:rsidRPr="004C7733">
        <w:t>reiseitige Verträge und Rahmenempfehlungen zwischen Krankenkassen, Krankenhäusern und Vertragsärzten</w:t>
      </w:r>
      <w:r w:rsidR="004C7733">
        <w:t xml:space="preserve">. Existieren in </w:t>
      </w:r>
      <w:r w:rsidR="00E73C55" w:rsidRPr="00E73C55">
        <w:t>B</w:t>
      </w:r>
      <w:r w:rsidR="004C7733" w:rsidRPr="00E73C55">
        <w:t>remen</w:t>
      </w:r>
      <w:r w:rsidR="004C7733">
        <w:t xml:space="preserve"> </w:t>
      </w:r>
      <w:r w:rsidR="004C7733" w:rsidRPr="00E73C55">
        <w:t>entsprech</w:t>
      </w:r>
      <w:r w:rsidR="00E73C55" w:rsidRPr="00E73C55">
        <w:t>e</w:t>
      </w:r>
      <w:r w:rsidR="004C7733" w:rsidRPr="00E73C55">
        <w:t>nde</w:t>
      </w:r>
      <w:r w:rsidR="004C7733">
        <w:t xml:space="preserve"> Verträge zwischen Leistungsträgern, Kassenärztlicher Vereinigung und Landeskrankenhausgesellschaft, so wird mit dieser Regelung die Verarbeitung der Patientendaten erlaubt.</w:t>
      </w:r>
    </w:p>
    <w:p w14:paraId="1AF01E69" w14:textId="52E20CEF" w:rsidR="004C7733" w:rsidRDefault="004C7733" w:rsidP="004C7733">
      <w:pPr>
        <w:pStyle w:val="Listenabsatz"/>
      </w:pPr>
      <w:r>
        <w:t xml:space="preserve">Diese Regelung dient zwar der Versorgung von </w:t>
      </w:r>
      <w:r w:rsidRPr="00E73C55">
        <w:t>Patiente</w:t>
      </w:r>
      <w:r w:rsidR="00E73C55" w:rsidRPr="00E73C55">
        <w:t>n</w:t>
      </w:r>
      <w:r>
        <w:t xml:space="preserve">, adressiert jedoch nicht den </w:t>
      </w:r>
      <w:r w:rsidR="00E73C55" w:rsidRPr="00E73C55">
        <w:t>B</w:t>
      </w:r>
      <w:r w:rsidRPr="00E73C55">
        <w:t>ehandlungsvertrag</w:t>
      </w:r>
      <w:r>
        <w:t>. Entsprechend § 115 Abs. 2 SGB V soll die Versorgungsstruktur verbessert werden. § 115 SGB V adressiert nicht die Versorgung des jeweiligen Patienten, sondern – ähnlich wie ein Krankenhausbedarfsplan – strukturelle Formen der Versorgung.</w:t>
      </w:r>
    </w:p>
    <w:p w14:paraId="491A10D5" w14:textId="77777777" w:rsidR="004C7733" w:rsidRDefault="004C7733" w:rsidP="004C7733">
      <w:pPr>
        <w:pStyle w:val="Listenabsatz"/>
      </w:pPr>
      <w:r>
        <w:t>Daher kann Art. 9 Abs. 2 lit. h DS-GVO hier nicht herangezogen werden. Art. 9 Abs. 2 lit. i DS-GVO erlaubt die Verarbeitung personenbezogener Daten zur „</w:t>
      </w:r>
      <w:r w:rsidRPr="004C7733">
        <w:t>Gewährleistung hoher Qualitäts- und Sicherheitsstandards bei der Gesundheitsversorgung</w:t>
      </w:r>
      <w:r>
        <w:t>“, was durch § 115 SGB V erreicht werden soll.</w:t>
      </w:r>
    </w:p>
    <w:p w14:paraId="3CB54214" w14:textId="6D129C4C" w:rsidR="004C7733" w:rsidRDefault="004C7733" w:rsidP="004C7733">
      <w:pPr>
        <w:pStyle w:val="Listenabsatz"/>
      </w:pPr>
      <w:r>
        <w:t xml:space="preserve">Somit beruht § 3 Abs. 1 Nr. 2 </w:t>
      </w:r>
      <w:r w:rsidRPr="00E73C55">
        <w:t>PatientendatenVO</w:t>
      </w:r>
      <w:r>
        <w:t xml:space="preserve"> auf Art. 9 Abs. 2 lit. i DS-GVO, korrespondierender Rechtfertigungstatbestand ist Art. 6 Abs. 1 lit. e DS-GVO.</w:t>
      </w:r>
    </w:p>
    <w:p w14:paraId="50D94625" w14:textId="10AEB582" w:rsidR="004C7733" w:rsidRDefault="004C7733" w:rsidP="004C7733">
      <w:pPr>
        <w:pStyle w:val="Listenabsatz"/>
      </w:pPr>
      <w:r>
        <w:t>Art. 6 Abs. 1 lit. e DS-GVO bedingt, dass die Vorgaben von Art. 6 Abs. 3 DS-GVO erfüllt sind. Diese sind:</w:t>
      </w:r>
    </w:p>
    <w:p w14:paraId="060D2E2D" w14:textId="6E73782D" w:rsidR="004C7733" w:rsidRDefault="004C7733">
      <w:pPr>
        <w:pStyle w:val="Listenabsatz"/>
        <w:numPr>
          <w:ilvl w:val="1"/>
          <w:numId w:val="53"/>
        </w:numPr>
      </w:pPr>
      <w:r>
        <w:t xml:space="preserve">Zweck der Verarbeitung muss in der Rechtsgrundlage festgehalten sein. Die Rechtsgrundlage ist § 115 SGB V, worin die Zwecke allerdings </w:t>
      </w:r>
      <w:r w:rsidRPr="00E73C55">
        <w:t>offenbleiben</w:t>
      </w:r>
      <w:r>
        <w:t>; § 115 Abs. 2 SGB V ist nur eine beispielhafte, aber keine abschließende Aufzählung. Da die Zwecke in der Rechtsgrundlage angegeben werden müssen, ist eine Festlegung im jeweiligen auf § 115 SGB V beruhenden Vertrag unzureichend.</w:t>
      </w:r>
    </w:p>
    <w:p w14:paraId="1AAD6C5D" w14:textId="16F9119B" w:rsidR="004C7733" w:rsidRPr="00C626A9" w:rsidRDefault="004C7733">
      <w:pPr>
        <w:pStyle w:val="Listenabsatz"/>
        <w:numPr>
          <w:ilvl w:val="1"/>
          <w:numId w:val="53"/>
        </w:numPr>
      </w:pPr>
      <w:r>
        <w:t xml:space="preserve">Erforderlichkeit der Verarbeitung der Patientendaten kann aufgrund der fehlenden Zweckangabe in der Rechtsgrundlage ebenfalls nicht bewertet werden. Jedoch sollten Rechtsanwender zumindest prüfen, ob im auf den </w:t>
      </w:r>
      <w:r w:rsidR="008362B2">
        <w:t>V</w:t>
      </w:r>
      <w:r>
        <w:t>orgaben von § 115 SGB V beruhenden Vertrag nur erforderliche Verarbeitungen und erforderliche Patientendaten gefordert werden.</w:t>
      </w:r>
    </w:p>
    <w:p w14:paraId="19183BB6" w14:textId="2DB3216B" w:rsidR="00C626A9" w:rsidRPr="00C626A9" w:rsidRDefault="00C626A9">
      <w:pPr>
        <w:pStyle w:val="Listenabsatz"/>
        <w:numPr>
          <w:ilvl w:val="0"/>
          <w:numId w:val="53"/>
        </w:numPr>
      </w:pPr>
      <w:r>
        <w:t xml:space="preserve">§ 3 Abs. 1 Nr. 3 </w:t>
      </w:r>
      <w:r w:rsidRPr="00E73C55">
        <w:t>PatientendatenVO</w:t>
      </w:r>
      <w:r>
        <w:t>:</w:t>
      </w:r>
      <w:r w:rsidR="004C7733">
        <w:t xml:space="preserve"> Patientendaten dürfen entsprechend dieser Regelung </w:t>
      </w:r>
      <w:r w:rsidR="004C7733" w:rsidRPr="004C7733">
        <w:t>zur Erkennung, Verhütung und Bekämpfung von Krankenhausinfektionen</w:t>
      </w:r>
      <w:r w:rsidR="004C7733">
        <w:t xml:space="preserve"> genutzt werden. Auch diese Regelung korrespondiert mit </w:t>
      </w:r>
      <w:r w:rsidR="004C7733" w:rsidRPr="004C7733">
        <w:t>Art.</w:t>
      </w:r>
      <w:r w:rsidR="004C7733">
        <w:t> </w:t>
      </w:r>
      <w:r w:rsidR="004C7733" w:rsidRPr="004C7733">
        <w:t>9 Abs.</w:t>
      </w:r>
      <w:r w:rsidR="004C7733">
        <w:t> </w:t>
      </w:r>
      <w:r w:rsidR="004C7733" w:rsidRPr="004C7733">
        <w:t>2 lit.</w:t>
      </w:r>
      <w:r w:rsidR="004C7733">
        <w:t> </w:t>
      </w:r>
      <w:r w:rsidR="004C7733" w:rsidRPr="004C7733">
        <w:t>i DS-GVO</w:t>
      </w:r>
      <w:r w:rsidR="004C7733">
        <w:t xml:space="preserve">, Art. 6 Abs. 1 lit. e DS-GVO ist der entsprechende Rechtfertigungstatbestand. Daher muss hier ebenfalls beachtet werden, ob die Vorgaben von Art. 6 Abs. 3 DS-GVO erfüllt sind (s. Hinweise zu § 3 Abs. 1 Nr. 2 </w:t>
      </w:r>
      <w:r w:rsidR="004C7733" w:rsidRPr="00E73C55">
        <w:t>PatientendatenVO</w:t>
      </w:r>
      <w:r w:rsidR="004C7733">
        <w:t>).</w:t>
      </w:r>
    </w:p>
    <w:p w14:paraId="162C785E" w14:textId="10DC0F49" w:rsidR="00C626A9" w:rsidRDefault="00C626A9">
      <w:pPr>
        <w:pStyle w:val="Listenabsatz"/>
        <w:numPr>
          <w:ilvl w:val="0"/>
          <w:numId w:val="53"/>
        </w:numPr>
      </w:pPr>
      <w:r>
        <w:t xml:space="preserve">§ 3 Abs. 1 Nr. 4 </w:t>
      </w:r>
      <w:r w:rsidRPr="00E73C55">
        <w:t>PatientendatenVO</w:t>
      </w:r>
      <w:r>
        <w:t>:</w:t>
      </w:r>
      <w:r w:rsidR="004C7733">
        <w:t xml:space="preserve"> Gemäß dieser Regelung dürfen Patientendaten </w:t>
      </w:r>
      <w:r w:rsidR="004C7733" w:rsidRPr="00E73C55">
        <w:t>zur</w:t>
      </w:r>
      <w:r w:rsidR="004C7733" w:rsidRPr="004C7733">
        <w:t xml:space="preserve"> </w:t>
      </w:r>
      <w:r w:rsidR="004C7733" w:rsidRPr="00E73C55">
        <w:t>Aus</w:t>
      </w:r>
      <w:r w:rsidR="004C7733" w:rsidRPr="004C7733">
        <w:t xml:space="preserve">-, Fort- oder Weiterbildung eines Heilberufs oder </w:t>
      </w:r>
      <w:r w:rsidR="00E73C55" w:rsidRPr="00E73C55">
        <w:t xml:space="preserve">eines </w:t>
      </w:r>
      <w:r w:rsidR="004C7733" w:rsidRPr="00E73C55">
        <w:t>Gesundheitsfachberufs</w:t>
      </w:r>
      <w:r w:rsidR="004C7733" w:rsidRPr="004C7733">
        <w:t xml:space="preserve"> im Krankenhaus</w:t>
      </w:r>
      <w:r w:rsidR="004C7733">
        <w:t xml:space="preserve"> verarbeitet werden.</w:t>
      </w:r>
    </w:p>
    <w:p w14:paraId="37E98264" w14:textId="0A40EB53" w:rsidR="004C7733" w:rsidRPr="00C626A9" w:rsidRDefault="004C7733" w:rsidP="004C7733">
      <w:pPr>
        <w:pStyle w:val="Listenabsatz"/>
      </w:pPr>
      <w:r w:rsidRPr="004C7733">
        <w:t>Diese Regelung findet keine Entsprechung in Art. 9 Abs. 2 DS-GVO.</w:t>
      </w:r>
    </w:p>
    <w:p w14:paraId="334CA68F" w14:textId="042A6887" w:rsidR="00C626A9" w:rsidRPr="00C626A9" w:rsidRDefault="00C626A9">
      <w:pPr>
        <w:pStyle w:val="Listenabsatz"/>
        <w:numPr>
          <w:ilvl w:val="0"/>
          <w:numId w:val="53"/>
        </w:numPr>
      </w:pPr>
      <w:r>
        <w:t xml:space="preserve">§ 3 Abs. 1 Nr. 5 </w:t>
      </w:r>
      <w:r w:rsidRPr="00E73C55">
        <w:t>PatientendatenVO</w:t>
      </w:r>
      <w:r>
        <w:t>:</w:t>
      </w:r>
      <w:r w:rsidR="004C7733">
        <w:t xml:space="preserve"> Patientendaten können entsprechend dieser Regelung zu Zwecken der </w:t>
      </w:r>
      <w:r w:rsidR="004C7733" w:rsidRPr="004C7733">
        <w:t xml:space="preserve">Qualitätssicherung der Behandlung im Krankenhaus und zur Durchführung </w:t>
      </w:r>
      <w:r w:rsidR="004C7733" w:rsidRPr="00E73C55">
        <w:t>qualitätssichernder</w:t>
      </w:r>
      <w:r w:rsidR="004C7733" w:rsidRPr="004C7733">
        <w:t xml:space="preserve"> Maßnahmen</w:t>
      </w:r>
      <w:r w:rsidR="004C7733">
        <w:t xml:space="preserve"> verarbeitet werden. Diese Regelung beruht auf </w:t>
      </w:r>
      <w:r w:rsidR="004C7733" w:rsidRPr="004C7733">
        <w:t>Art.</w:t>
      </w:r>
      <w:r w:rsidR="004C7733">
        <w:t> </w:t>
      </w:r>
      <w:r w:rsidR="004C7733" w:rsidRPr="004C7733">
        <w:t>9 Abs.</w:t>
      </w:r>
      <w:r w:rsidR="004C7733">
        <w:t> </w:t>
      </w:r>
      <w:r w:rsidR="004C7733" w:rsidRPr="004C7733">
        <w:t>2 lit.</w:t>
      </w:r>
      <w:r w:rsidR="004C7733">
        <w:t> </w:t>
      </w:r>
      <w:r w:rsidR="004C7733" w:rsidRPr="004C7733">
        <w:t>i DS-GVO</w:t>
      </w:r>
      <w:r w:rsidR="004C7733">
        <w:t xml:space="preserve">, folglich ist auch hier Art. 6 Abs. 1 lit. e DS-GVO der entsprechende Rechtfertigungstatbestand. Auch hier muss daher beachtet werden, ob die Vorgaben von Art. 6 Abs. 3 DS-GVO erfüllt sind (s. Hinweise zu § 3 Abs. 1 Nr. 2 </w:t>
      </w:r>
      <w:r w:rsidR="004C7733" w:rsidRPr="00E73C55">
        <w:t>PatientendatenVO</w:t>
      </w:r>
      <w:r w:rsidR="004C7733">
        <w:t>).</w:t>
      </w:r>
    </w:p>
    <w:p w14:paraId="36F6DCC1" w14:textId="7223E733" w:rsidR="00C626A9" w:rsidRDefault="00C626A9">
      <w:pPr>
        <w:pStyle w:val="Listenabsatz"/>
        <w:numPr>
          <w:ilvl w:val="0"/>
          <w:numId w:val="53"/>
        </w:numPr>
      </w:pPr>
      <w:r>
        <w:t xml:space="preserve">§ 3 Abs. 1 Nr. 6 </w:t>
      </w:r>
      <w:r w:rsidRPr="00E73C55">
        <w:t>PatientendatenVO</w:t>
      </w:r>
      <w:r>
        <w:t>:</w:t>
      </w:r>
      <w:r w:rsidR="004C7733">
        <w:t xml:space="preserve"> Diese Regelung erlaubt die Verarbeitung von </w:t>
      </w:r>
      <w:r w:rsidR="004C7733" w:rsidRPr="00E73C55">
        <w:t>Patientendaten</w:t>
      </w:r>
      <w:r w:rsidR="004C7733">
        <w:t xml:space="preserve"> „</w:t>
      </w:r>
      <w:r w:rsidR="004C7733" w:rsidRPr="004C7733">
        <w:t>zur verwaltungsmäßigen Abwicklung des Behandlungsverhältnisses, insbesondere zur Abrechnung der erbrachten Leistungen, einschließlich belegärztlicher und wahlärztlicher Leistungen</w:t>
      </w:r>
      <w:r w:rsidR="004C7733">
        <w:t xml:space="preserve">“. Diese Regelung findet ihre </w:t>
      </w:r>
      <w:r w:rsidR="004C7733" w:rsidRPr="004C7733">
        <w:t>Entsprechung in Art.</w:t>
      </w:r>
      <w:r w:rsidR="004C7733">
        <w:t> </w:t>
      </w:r>
      <w:r w:rsidR="004C7733" w:rsidRPr="004C7733">
        <w:t>9 Abs.</w:t>
      </w:r>
      <w:r w:rsidR="004C7733">
        <w:t> </w:t>
      </w:r>
      <w:r w:rsidR="004C7733" w:rsidRPr="004C7733">
        <w:t>2 lit.</w:t>
      </w:r>
      <w:r w:rsidR="004C7733">
        <w:t> </w:t>
      </w:r>
      <w:r w:rsidR="004C7733" w:rsidRPr="004C7733">
        <w:t>f DS-GVO, denn die Berechnung erbrachter Gesundheitsleistungen wie auch die Überprüfung dieser Abrechnungen ist Bestandteil der Geltendmachung, Ausübung oder Verteidigung von Rechtsansprüchen</w:t>
      </w:r>
      <w:r w:rsidR="004C7733">
        <w:t>. Bzgl. Rechtfertigungstatbestand aus Art. 6 DS-GVO wird auf Kap. </w:t>
      </w:r>
      <w:r w:rsidR="004C7733">
        <w:fldChar w:fldCharType="begin"/>
      </w:r>
      <w:r w:rsidR="004C7733">
        <w:instrText xml:space="preserve"> REF _Ref166138657 \r \h </w:instrText>
      </w:r>
      <w:r w:rsidR="004C7733">
        <w:fldChar w:fldCharType="separate"/>
      </w:r>
      <w:r w:rsidR="00F43608">
        <w:t>5.6</w:t>
      </w:r>
      <w:r w:rsidR="004C7733">
        <w:fldChar w:fldCharType="end"/>
      </w:r>
      <w:r w:rsidR="004C7733">
        <w:t xml:space="preserve"> verw</w:t>
      </w:r>
      <w:r w:rsidR="009C5427">
        <w:t>ie</w:t>
      </w:r>
      <w:r w:rsidR="004C7733">
        <w:t>sen.</w:t>
      </w:r>
    </w:p>
    <w:p w14:paraId="762B5EA7" w14:textId="3C56B0A8" w:rsidR="00CD4845" w:rsidRDefault="00CD4845" w:rsidP="00CD4845">
      <w:pPr>
        <w:pStyle w:val="berschrift3"/>
      </w:pPr>
      <w:bookmarkStart w:id="174" w:name="_Toc169934835"/>
      <w:r>
        <w:t>Erlaubnistatbestände der kath. Kirche in Bezug auf Patientenversorgung</w:t>
      </w:r>
      <w:bookmarkEnd w:id="174"/>
    </w:p>
    <w:p w14:paraId="08C7DCE4" w14:textId="6B5B8531" w:rsidR="00CD4845" w:rsidRDefault="00CD4845" w:rsidP="00CD4845">
      <w:pPr>
        <w:pStyle w:val="berschrift4"/>
      </w:pPr>
      <w:bookmarkStart w:id="175" w:name="_Toc169934836"/>
      <w:r>
        <w:t>Seelsorge im Krankenhaus</w:t>
      </w:r>
      <w:bookmarkEnd w:id="175"/>
    </w:p>
    <w:p w14:paraId="256C47BD" w14:textId="6D4BC072" w:rsidR="004C7733" w:rsidRDefault="00CD4845" w:rsidP="004C7733">
      <w:r>
        <w:t>Das „G</w:t>
      </w:r>
      <w:r w:rsidRPr="00CD4845">
        <w:t>esetz zum Schutz von Patientendaten bei der Seelsorge in katholischen Einrichtungen des Gesundheitswesens in der (Erz-)Diözese</w:t>
      </w:r>
      <w:r>
        <w:rPr>
          <w:rStyle w:val="Funotenzeichen"/>
        </w:rPr>
        <w:footnoteReference w:id="71"/>
      </w:r>
      <w:r>
        <w:t>“ (</w:t>
      </w:r>
      <w:r w:rsidRPr="00E73C55">
        <w:t>SeelsorgePatDSG</w:t>
      </w:r>
      <w:r>
        <w:t>) gilt gemäß § </w:t>
      </w:r>
      <w:r w:rsidRPr="00E73C55">
        <w:t>1</w:t>
      </w:r>
      <w:r w:rsidR="00E73C55" w:rsidRPr="00E73C55">
        <w:t xml:space="preserve"> </w:t>
      </w:r>
      <w:r w:rsidRPr="00E73C55">
        <w:t>Abs.</w:t>
      </w:r>
      <w:r>
        <w:t xml:space="preserve"> 1 </w:t>
      </w:r>
      <w:bookmarkStart w:id="176" w:name="_Hlk166303685"/>
      <w:r w:rsidRPr="00E73C55">
        <w:t>SeelsorgePatDSG</w:t>
      </w:r>
      <w:r w:rsidRPr="00CD4845">
        <w:t xml:space="preserve"> </w:t>
      </w:r>
      <w:bookmarkEnd w:id="176"/>
      <w:r w:rsidRPr="00CD4845">
        <w:t>für die Verarbeitung von Patientendaten bei der Seelsorge in katholischen Einrichtungen des Gesundheitswesens</w:t>
      </w:r>
      <w:r>
        <w:t xml:space="preserve">. </w:t>
      </w:r>
      <w:r w:rsidR="005418DC">
        <w:t xml:space="preserve">Das </w:t>
      </w:r>
      <w:r>
        <w:t xml:space="preserve">Krankenhaus selbst wird in der Regelung nicht definiert, wohl aber Patientendaten (§ 2 Abs. 1 lit. b </w:t>
      </w:r>
      <w:r w:rsidRPr="00E73C55">
        <w:t>SeelsorgePatDSG</w:t>
      </w:r>
      <w:r>
        <w:t>).</w:t>
      </w:r>
    </w:p>
    <w:p w14:paraId="1F2D03F1" w14:textId="2B54C689" w:rsidR="00E46391" w:rsidRDefault="00E46391" w:rsidP="00E46391">
      <w:r>
        <w:t xml:space="preserve">Der Begriff der Patientendaten wird im </w:t>
      </w:r>
      <w:r w:rsidRPr="00E73C55">
        <w:t>SeelsorgePatDSG</w:t>
      </w:r>
      <w:r w:rsidRPr="00CD4845">
        <w:t xml:space="preserve"> </w:t>
      </w:r>
      <w:r>
        <w:t xml:space="preserve">weit gefasst: Gemäß § 2 Abs. 1 lit. b Seelsorge-PatDSG sind </w:t>
      </w:r>
      <w:r w:rsidRPr="007A49D5">
        <w:t>Patientendaten</w:t>
      </w:r>
      <w:r>
        <w:t xml:space="preserve"> </w:t>
      </w:r>
      <w:r w:rsidRPr="007A49D5">
        <w:t>alle personenbezogenen Daten von Patienten der katholischen Einrichtung des Gesundheitswesens</w:t>
      </w:r>
      <w:r>
        <w:t xml:space="preserve"> sowie zudem</w:t>
      </w:r>
      <w:r w:rsidRPr="007A49D5">
        <w:t xml:space="preserve"> personenbezogene Daten von Angehörigen, Begleitpersonen oder anderen Bezugspersonen des Patienten sowie sonstiger Dritter, soweit sie der katholischen Einrichtung des Gesundheitswesens im Zusammenhang mit der Behandlung des Patienten bekannt werden.</w:t>
      </w:r>
      <w:r>
        <w:t xml:space="preserve"> </w:t>
      </w:r>
      <w:r w:rsidRPr="007A49D5">
        <w:t>Dies gilt ungeachtet ihrer Eigenschaft als „Dritte“ im Sinne des §</w:t>
      </w:r>
      <w:r>
        <w:t> </w:t>
      </w:r>
      <w:r w:rsidRPr="007A49D5">
        <w:t>4 Nr.</w:t>
      </w:r>
      <w:r>
        <w:t> </w:t>
      </w:r>
      <w:r w:rsidRPr="007A49D5">
        <w:t>12 KDG</w:t>
      </w:r>
      <w:r>
        <w:t xml:space="preserve"> (analog Art. 4 Nr. 10 DS-GVO).</w:t>
      </w:r>
      <w:r w:rsidRPr="007A49D5">
        <w:t xml:space="preserve"> Patientendaten sind „Gesundheitsdaten“ im Sinne des §</w:t>
      </w:r>
      <w:r>
        <w:t> </w:t>
      </w:r>
      <w:r w:rsidRPr="007A49D5">
        <w:t>4 Nr.</w:t>
      </w:r>
      <w:r>
        <w:t> </w:t>
      </w:r>
      <w:r w:rsidRPr="007A49D5">
        <w:t>17 KDG</w:t>
      </w:r>
      <w:r>
        <w:t xml:space="preserve"> (analog Art. 4 Nr. 15 DS-GVO) und fallen unter die</w:t>
      </w:r>
      <w:r w:rsidRPr="007A49D5">
        <w:t xml:space="preserve"> besonderen Kategorien personenbezogener Daten</w:t>
      </w:r>
      <w:r>
        <w:t>.</w:t>
      </w:r>
    </w:p>
    <w:p w14:paraId="29D14008" w14:textId="0C597349" w:rsidR="00CD4845" w:rsidRDefault="00CD4845" w:rsidP="004C7733">
      <w:r>
        <w:t xml:space="preserve">Inwieweit diese Regelung in Krankenhäusern Anwendung finden </w:t>
      </w:r>
      <w:r w:rsidRPr="00CD4845">
        <w:rPr>
          <w:u w:val="single"/>
        </w:rPr>
        <w:t>muss</w:t>
      </w:r>
      <w:r>
        <w:t xml:space="preserve">, regelt sich nach den Vorgaben im jeweiligen Landeskrankenhausgesetz. Die in diesem Gesetz enthaltenen Regelungen stellen keine Alternative zu den Datenschutzregelungen in den Landeskrankenhausgesetzen dar, </w:t>
      </w:r>
      <w:r w:rsidRPr="00E73C55">
        <w:t>sodass</w:t>
      </w:r>
      <w:r>
        <w:t xml:space="preserve"> es vielleicht eher als Ergänzung der jeweiligen Landesregelung angesehen werden kann.</w:t>
      </w:r>
    </w:p>
    <w:p w14:paraId="44999B1B" w14:textId="6351565B" w:rsidR="00E46391" w:rsidRDefault="00CD4845" w:rsidP="004C7733">
      <w:r>
        <w:t xml:space="preserve">§ 3 Abs. 1 </w:t>
      </w:r>
      <w:r w:rsidRPr="00E73C55">
        <w:t>SeelsorgePatDSG</w:t>
      </w:r>
      <w:r>
        <w:t xml:space="preserve"> gestattet die </w:t>
      </w:r>
      <w:r w:rsidRPr="00CD4845">
        <w:t>Verarbeitung von Patientendaten durch einen Krankenhausseelsorger</w:t>
      </w:r>
      <w:r w:rsidR="00E46391" w:rsidRPr="00E46391">
        <w:t xml:space="preserve"> </w:t>
      </w:r>
      <w:r w:rsidR="00E46391">
        <w:t>im Rahmen des § 11 Abs. 2 KDG (analog Art. 9 Abs. 2 DS-GVO)</w:t>
      </w:r>
      <w:r>
        <w:t>, „</w:t>
      </w:r>
      <w:r w:rsidRPr="00CD4845">
        <w:t>wenn im Rahmen des Behandlungsvertrages auf die konzeptionelle Implementierung von Krankenhausseelsorge und die damit einhergehende Einbindung eines Krankenhausseelsorgers in das Behandlungsteam in angemessener Form hingewiesen wird</w:t>
      </w:r>
      <w:r>
        <w:t>“.</w:t>
      </w:r>
    </w:p>
    <w:p w14:paraId="62B5510C" w14:textId="303514D0" w:rsidR="00E46391" w:rsidRDefault="00E46391" w:rsidP="004C7733">
      <w:r>
        <w:t>Gemäß § 4 Seelsorge-PatDSG darf ein</w:t>
      </w:r>
      <w:r w:rsidRPr="00C03A05">
        <w:t xml:space="preserve"> Patient beim Abschluss des Behandlungsvertrages unter Hinweis auf die Freiwilligkeit und die Folgen seiner Angabe zum Zwecke der Seelsorge nach seiner Religion/Konfession befragt werden. Ist die Seelsorge vom Verantwortlichen nicht im System der katholischen Einrichtung des Gesundheitswesens konzeptionell implementiert, dürfen einer mit Seelsorgeauftrag der zuständigen kirchlichen Stelle ausgestatteten Person auch bei fehlender ausdrücklicher Einwilligung zum Zwecke der Seelsorge ausschließlich Vor- und Nachname des Patienten, seine Religion/Konfession, sein Aufenthaltsort in der katholischen Einrichtung des Gesundheitswesens sowie das Aufnahmedatum offengelegt werden, soweit der Patient eine Religion/Konfession angegeben hat</w:t>
      </w:r>
      <w:r>
        <w:t xml:space="preserve">. </w:t>
      </w:r>
      <w:r w:rsidRPr="00E46391">
        <w:t>Dies gilt</w:t>
      </w:r>
      <w:r>
        <w:t xml:space="preserve"> allerdings</w:t>
      </w:r>
      <w:r w:rsidRPr="00E46391">
        <w:t xml:space="preserve"> nicht, wenn </w:t>
      </w:r>
      <w:r>
        <w:t>ein</w:t>
      </w:r>
      <w:r w:rsidRPr="00E46391">
        <w:t xml:space="preserve"> Patient deutlich gemacht hat, dass keine Seelsorge </w:t>
      </w:r>
      <w:r>
        <w:t>ge</w:t>
      </w:r>
      <w:r w:rsidRPr="00E46391">
        <w:t>wünscht</w:t>
      </w:r>
      <w:r>
        <w:t xml:space="preserve"> wird.</w:t>
      </w:r>
    </w:p>
    <w:p w14:paraId="5A8D1C9E" w14:textId="3DDDE77E" w:rsidR="00CD4845" w:rsidRDefault="00E46391" w:rsidP="004C7733">
      <w:r>
        <w:t xml:space="preserve">Dieses Kirchengesetz regelt die Erlaubnis in katholischen Einrichtungen, Patientendaten für die Seelsorge, als unmittelbarer Ausdruck des Auftrags der Kirche zum Dienst am Menschen, zu nutzen. Seelsorge versteht sich in diesem Kontext ohne Ansehung der Religions- bzw. Konfessionszugehörigkeit des Patienten in Ergänzung zur medizinischen, pflegerischen und sozialen Behandlung als spiritueller und ethischer Beitrag zu einer ganzheitlichen Behandlung („spiritual care“). </w:t>
      </w:r>
      <w:r w:rsidR="00CD4845">
        <w:t>Damit wird die Verarbeitung von Patientendaten ohne Einwilligung erlaubt, daher kann die Regelung nur aus Art. 9 Abs. 2 lit. d DS-GVO abgeleitet werden.</w:t>
      </w:r>
    </w:p>
    <w:p w14:paraId="1EFAD20F" w14:textId="7AAEB0AD" w:rsidR="00CD4845" w:rsidRDefault="00CD4845" w:rsidP="004C7733">
      <w:r>
        <w:t xml:space="preserve">Art. 9 Abs. 2 lit. d DS-GVO verlangt, dass entsprechende Regelungen sich ausschließlich </w:t>
      </w:r>
      <w:r w:rsidRPr="00CD4845">
        <w:t xml:space="preserve">auf die Mitglieder oder ehemalige Mitglieder </w:t>
      </w:r>
      <w:r>
        <w:t xml:space="preserve">beziehen. D. h. diese Regelungen darf aufgrund europarechtlicher Vorgaben nur auf Mitglieder der katholischen Kirche angewendet werden. Da ggf. auch Nicht-Mitglieder der katholischen Kirche religiösen </w:t>
      </w:r>
      <w:r w:rsidR="00E73C55" w:rsidRPr="00E73C55">
        <w:t>B</w:t>
      </w:r>
      <w:r w:rsidRPr="00E73C55">
        <w:t>ei</w:t>
      </w:r>
      <w:r w:rsidR="00E73C55" w:rsidRPr="00E73C55">
        <w:t>s</w:t>
      </w:r>
      <w:r w:rsidRPr="00E73C55">
        <w:t>tand</w:t>
      </w:r>
      <w:r>
        <w:t xml:space="preserve"> </w:t>
      </w:r>
      <w:r w:rsidR="00E73C55">
        <w:t>wünschen</w:t>
      </w:r>
      <w:r>
        <w:t>, z. B. Mitglieder der evangelischen Kirche, könnte ein Krankenhaus – falls von diesem gewünscht – hier eine entsprechende Möglichkeit auf Grundlage einer Einwilligung der betroffenen Person schaffen.</w:t>
      </w:r>
    </w:p>
    <w:p w14:paraId="2E58BC57" w14:textId="6FCC0B79" w:rsidR="00E73C55" w:rsidRPr="00C626A9" w:rsidRDefault="00CD4845" w:rsidP="004C7733">
      <w:r>
        <w:t xml:space="preserve">§ 3 Abs. 1 </w:t>
      </w:r>
      <w:r w:rsidRPr="00E73C55">
        <w:t>SeelsorgePatDSG</w:t>
      </w:r>
      <w:r>
        <w:t xml:space="preserve"> beruht auf Art. 9 Abs. 2 lit. d DS-GVO</w:t>
      </w:r>
      <w:r w:rsidR="00E73C55">
        <w:t xml:space="preserve">, dazu findet sich keine direkte Entsprechung in Art. 6 Abs. 1 DS-GVO. Gleichwohl darf die Verarbeitung nicht ohne entsprechenden Rechtfertigungstatbestand erfolgen. Die seelische Betreuung ist eine Kernaufgabe der katholischen Kirche, die allen Mitgliedern der katholischen Kirche gewährt werden muss. Entsprechend wird man für Mitglieder der katholischen Kirche Art. 6 Abs. 1 lit. b </w:t>
      </w:r>
      <w:r w:rsidR="00E73C55" w:rsidRPr="00CD1BC8">
        <w:t>DS-GVO</w:t>
      </w:r>
      <w:r w:rsidR="00E73C55">
        <w:t xml:space="preserve"> (Erfüllung vertraglicher Pflichten) als Rechtfertigungstatbestand heranziehen können.</w:t>
      </w:r>
      <w:r w:rsidR="00E46391">
        <w:t xml:space="preserve"> Jedoch ist zu beachten, dass das Europarecht nur „erforderliche“ Verarbeitungen erlaubt; die Begrenzung auf die Erforderlichkeit fehlt in der kirchlichen Regelung.</w:t>
      </w:r>
    </w:p>
    <w:p w14:paraId="5A2400A6" w14:textId="3FBEE8CD" w:rsidR="00C626A9" w:rsidRDefault="00C626A9" w:rsidP="00687085">
      <w:pPr>
        <w:pStyle w:val="berschrift2"/>
      </w:pPr>
      <w:bookmarkStart w:id="177" w:name="_Toc169934837"/>
      <w:r>
        <w:t>Landesrecht</w:t>
      </w:r>
      <w:bookmarkEnd w:id="177"/>
    </w:p>
    <w:p w14:paraId="625E1457" w14:textId="5B04970F" w:rsidR="00687085" w:rsidRDefault="00687085" w:rsidP="00C626A9">
      <w:pPr>
        <w:pStyle w:val="berschrift3"/>
      </w:pPr>
      <w:bookmarkStart w:id="178" w:name="_Toc169934838"/>
      <w:r>
        <w:t>Landeskrankenhausgesetze</w:t>
      </w:r>
      <w:bookmarkEnd w:id="172"/>
      <w:bookmarkEnd w:id="178"/>
    </w:p>
    <w:p w14:paraId="64DEE543" w14:textId="1164035B" w:rsidR="000835B4" w:rsidRDefault="00E343E3" w:rsidP="00C626A9">
      <w:pPr>
        <w:pStyle w:val="berschrift4"/>
      </w:pPr>
      <w:bookmarkStart w:id="179" w:name="_Ref162082119"/>
      <w:bookmarkStart w:id="180" w:name="_Toc169934839"/>
      <w:r>
        <w:t>Patientenbehandlung</w:t>
      </w:r>
      <w:bookmarkEnd w:id="179"/>
      <w:bookmarkEnd w:id="180"/>
    </w:p>
    <w:p w14:paraId="52A3E09D" w14:textId="481FD9E0" w:rsidR="00E343E3" w:rsidRDefault="00E343E3" w:rsidP="00E343E3">
      <w:pPr>
        <w:spacing w:after="0"/>
      </w:pPr>
      <w:r>
        <w:t>Diverse Landeskrankenhausgesetze enthalten die Erlaubnis, Patientendaten zur Behandlung zu nutzen:</w:t>
      </w:r>
    </w:p>
    <w:p w14:paraId="10C4B71C" w14:textId="380DBD78" w:rsidR="00B74DE5" w:rsidRDefault="005F5895" w:rsidP="00ED6DE3">
      <w:pPr>
        <w:pStyle w:val="Listenabsatz"/>
        <w:numPr>
          <w:ilvl w:val="0"/>
          <w:numId w:val="18"/>
        </w:numPr>
        <w:jc w:val="left"/>
      </w:pPr>
      <w:r>
        <w:t>§ </w:t>
      </w:r>
      <w:r w:rsidR="00B74DE5">
        <w:t xml:space="preserve">45 </w:t>
      </w:r>
      <w:r>
        <w:t>Abs. </w:t>
      </w:r>
      <w:r w:rsidR="00B74DE5">
        <w:t xml:space="preserve">1 </w:t>
      </w:r>
      <w:r w:rsidRPr="005F5895">
        <w:t>Ziff. </w:t>
      </w:r>
      <w:r w:rsidR="00B74DE5">
        <w:t xml:space="preserve">1 LKHG </w:t>
      </w:r>
      <w:r w:rsidR="00B74DE5" w:rsidRPr="00B74DE5">
        <w:t>Baden-Württemberg</w:t>
      </w:r>
    </w:p>
    <w:p w14:paraId="0445875A" w14:textId="4F2B7270" w:rsidR="00B74DE5" w:rsidRDefault="005F5895" w:rsidP="00ED6DE3">
      <w:pPr>
        <w:pStyle w:val="Listenabsatz"/>
        <w:numPr>
          <w:ilvl w:val="0"/>
          <w:numId w:val="18"/>
        </w:numPr>
        <w:jc w:val="left"/>
      </w:pPr>
      <w:r>
        <w:t>Art. </w:t>
      </w:r>
      <w:r w:rsidR="00B74DE5">
        <w:t xml:space="preserve">27 </w:t>
      </w:r>
      <w:r>
        <w:t>Abs. </w:t>
      </w:r>
      <w:r w:rsidR="00B74DE5">
        <w:t xml:space="preserve">4 S. 1 </w:t>
      </w:r>
      <w:r w:rsidR="00B74DE5" w:rsidRPr="005F5895">
        <w:t>BayKrG</w:t>
      </w:r>
    </w:p>
    <w:p w14:paraId="0B1085C0" w14:textId="33C1DC3B" w:rsidR="00B74DE5" w:rsidRDefault="005F5895" w:rsidP="00ED6DE3">
      <w:pPr>
        <w:pStyle w:val="Listenabsatz"/>
        <w:numPr>
          <w:ilvl w:val="0"/>
          <w:numId w:val="18"/>
        </w:numPr>
        <w:jc w:val="left"/>
      </w:pPr>
      <w:r>
        <w:t>§ </w:t>
      </w:r>
      <w:r w:rsidR="00B74DE5">
        <w:t xml:space="preserve">24 </w:t>
      </w:r>
      <w:r>
        <w:t>Abs. </w:t>
      </w:r>
      <w:r w:rsidR="00B74DE5">
        <w:t xml:space="preserve">4 </w:t>
      </w:r>
      <w:r w:rsidRPr="005F5895">
        <w:t>Ziff. </w:t>
      </w:r>
      <w:r w:rsidR="00B74DE5">
        <w:t xml:space="preserve">2 </w:t>
      </w:r>
      <w:r w:rsidR="00B74DE5" w:rsidRPr="005F5895">
        <w:t>LKG</w:t>
      </w:r>
      <w:r w:rsidR="00B74DE5">
        <w:t xml:space="preserve"> Berlin</w:t>
      </w:r>
    </w:p>
    <w:p w14:paraId="54129566" w14:textId="0C6E2252" w:rsidR="00ED6DE3" w:rsidRDefault="005F5895" w:rsidP="00ED6DE3">
      <w:pPr>
        <w:pStyle w:val="Listenabsatz"/>
        <w:numPr>
          <w:ilvl w:val="0"/>
          <w:numId w:val="18"/>
        </w:numPr>
        <w:jc w:val="left"/>
      </w:pPr>
      <w:r>
        <w:t>§ </w:t>
      </w:r>
      <w:r w:rsidR="00ED6DE3">
        <w:t xml:space="preserve">28 </w:t>
      </w:r>
      <w:r>
        <w:t>Abs. </w:t>
      </w:r>
      <w:r w:rsidR="00ED6DE3">
        <w:t xml:space="preserve">1 </w:t>
      </w:r>
      <w:r w:rsidRPr="005F5895">
        <w:t>Ziff. </w:t>
      </w:r>
      <w:r w:rsidR="00ED6DE3">
        <w:t xml:space="preserve">1 </w:t>
      </w:r>
      <w:r w:rsidR="00ED6DE3" w:rsidRPr="005F5895">
        <w:t>BbgKHEG</w:t>
      </w:r>
    </w:p>
    <w:p w14:paraId="0930984B" w14:textId="19F7EA1C" w:rsidR="00F3228A" w:rsidRDefault="005F5895" w:rsidP="00ED6DE3">
      <w:pPr>
        <w:pStyle w:val="Listenabsatz"/>
        <w:numPr>
          <w:ilvl w:val="0"/>
          <w:numId w:val="18"/>
        </w:numPr>
        <w:jc w:val="left"/>
      </w:pPr>
      <w:r>
        <w:t>§ </w:t>
      </w:r>
      <w:r w:rsidR="00F3228A">
        <w:t xml:space="preserve">38 </w:t>
      </w:r>
      <w:r>
        <w:t>Abs. </w:t>
      </w:r>
      <w:r w:rsidR="00F3228A">
        <w:t xml:space="preserve">1 </w:t>
      </w:r>
      <w:r w:rsidRPr="005F5895">
        <w:t>Ziff. </w:t>
      </w:r>
      <w:r w:rsidR="00F3228A">
        <w:t xml:space="preserve">1 </w:t>
      </w:r>
      <w:r w:rsidR="00F3228A" w:rsidRPr="005F5895">
        <w:t>BremKrhG</w:t>
      </w:r>
    </w:p>
    <w:p w14:paraId="610A9CC5" w14:textId="73989E02" w:rsidR="00F3228A" w:rsidRDefault="005F5895" w:rsidP="00ED6DE3">
      <w:pPr>
        <w:pStyle w:val="Listenabsatz"/>
        <w:numPr>
          <w:ilvl w:val="0"/>
          <w:numId w:val="18"/>
        </w:numPr>
        <w:jc w:val="left"/>
      </w:pPr>
      <w:r>
        <w:t>§ </w:t>
      </w:r>
      <w:r w:rsidR="00F3228A">
        <w:t xml:space="preserve">10 </w:t>
      </w:r>
      <w:r>
        <w:t>Abs. </w:t>
      </w:r>
      <w:r w:rsidR="00F3228A">
        <w:t xml:space="preserve">1 </w:t>
      </w:r>
      <w:r w:rsidRPr="005F5895">
        <w:t>Ziff. </w:t>
      </w:r>
      <w:r w:rsidR="00F3228A">
        <w:t xml:space="preserve">1, 2 </w:t>
      </w:r>
      <w:r w:rsidR="00F3228A" w:rsidRPr="005F5895">
        <w:t>HmbKHG</w:t>
      </w:r>
    </w:p>
    <w:p w14:paraId="718C4388" w14:textId="38E6F04C" w:rsidR="00C039C3" w:rsidRDefault="005F5895" w:rsidP="00ED6DE3">
      <w:pPr>
        <w:pStyle w:val="Listenabsatz"/>
        <w:numPr>
          <w:ilvl w:val="0"/>
          <w:numId w:val="18"/>
        </w:numPr>
        <w:jc w:val="left"/>
      </w:pPr>
      <w:r>
        <w:t>§ </w:t>
      </w:r>
      <w:r w:rsidR="00C039C3">
        <w:t xml:space="preserve">33 </w:t>
      </w:r>
      <w:r>
        <w:t>Abs. </w:t>
      </w:r>
      <w:r w:rsidR="00C039C3">
        <w:t xml:space="preserve">1 </w:t>
      </w:r>
      <w:r w:rsidR="00C039C3" w:rsidRPr="00C039C3">
        <w:t>LKHG M-V</w:t>
      </w:r>
    </w:p>
    <w:p w14:paraId="408A6172" w14:textId="45E4A453" w:rsidR="00C039C3" w:rsidRDefault="005F5895" w:rsidP="00ED6DE3">
      <w:pPr>
        <w:pStyle w:val="Listenabsatz"/>
        <w:numPr>
          <w:ilvl w:val="0"/>
          <w:numId w:val="18"/>
        </w:numPr>
        <w:jc w:val="left"/>
      </w:pPr>
      <w:r>
        <w:t>§ </w:t>
      </w:r>
      <w:r w:rsidR="00C039C3">
        <w:t xml:space="preserve">10 </w:t>
      </w:r>
      <w:r>
        <w:t>Abs. </w:t>
      </w:r>
      <w:r w:rsidR="00C039C3">
        <w:t xml:space="preserve">1 </w:t>
      </w:r>
      <w:r>
        <w:t>Buchst. </w:t>
      </w:r>
      <w:r w:rsidR="00C039C3">
        <w:t xml:space="preserve">a </w:t>
      </w:r>
      <w:r w:rsidR="00C039C3" w:rsidRPr="005F5895">
        <w:t>GDSG</w:t>
      </w:r>
      <w:r w:rsidR="00C039C3">
        <w:t xml:space="preserve"> </w:t>
      </w:r>
      <w:r w:rsidR="00C039C3" w:rsidRPr="005F5895">
        <w:t>NW</w:t>
      </w:r>
    </w:p>
    <w:p w14:paraId="2EF4290E" w14:textId="3CAED802" w:rsidR="00C039C3" w:rsidRDefault="005F5895" w:rsidP="00C039C3">
      <w:pPr>
        <w:pStyle w:val="Listenabsatz"/>
        <w:numPr>
          <w:ilvl w:val="0"/>
          <w:numId w:val="18"/>
        </w:numPr>
        <w:jc w:val="left"/>
      </w:pPr>
      <w:r>
        <w:t>§ </w:t>
      </w:r>
      <w:r w:rsidR="00C039C3">
        <w:t xml:space="preserve">36 </w:t>
      </w:r>
      <w:r>
        <w:t>Abs. </w:t>
      </w:r>
      <w:r w:rsidR="00C039C3">
        <w:t xml:space="preserve">2 </w:t>
      </w:r>
      <w:r w:rsidRPr="005F5895">
        <w:t>Ziff. </w:t>
      </w:r>
      <w:r w:rsidR="00C039C3">
        <w:t xml:space="preserve">1 </w:t>
      </w:r>
      <w:r w:rsidR="00C039C3" w:rsidRPr="005F5895">
        <w:t>LKG</w:t>
      </w:r>
      <w:r w:rsidR="00C039C3">
        <w:t xml:space="preserve"> RP</w:t>
      </w:r>
    </w:p>
    <w:p w14:paraId="652210CD" w14:textId="44613CF4" w:rsidR="004F6D36" w:rsidRDefault="005F5895" w:rsidP="00ED6DE3">
      <w:pPr>
        <w:pStyle w:val="Listenabsatz"/>
        <w:numPr>
          <w:ilvl w:val="0"/>
          <w:numId w:val="18"/>
        </w:numPr>
        <w:jc w:val="left"/>
      </w:pPr>
      <w:r>
        <w:t>§ </w:t>
      </w:r>
      <w:r w:rsidR="004F6D36">
        <w:t xml:space="preserve">13 </w:t>
      </w:r>
      <w:r>
        <w:t>Abs. </w:t>
      </w:r>
      <w:r w:rsidR="004F6D36">
        <w:t xml:space="preserve">2 </w:t>
      </w:r>
      <w:r w:rsidR="004F6D36" w:rsidRPr="005F5895">
        <w:t>SKHG</w:t>
      </w:r>
    </w:p>
    <w:p w14:paraId="2C264251" w14:textId="0E47EBCF" w:rsidR="004F6D36" w:rsidRDefault="005F5895" w:rsidP="00ED6DE3">
      <w:pPr>
        <w:pStyle w:val="Listenabsatz"/>
        <w:numPr>
          <w:ilvl w:val="0"/>
          <w:numId w:val="18"/>
        </w:numPr>
        <w:jc w:val="left"/>
      </w:pPr>
      <w:r>
        <w:t>§ </w:t>
      </w:r>
      <w:r w:rsidR="004F6D36">
        <w:t xml:space="preserve">28 </w:t>
      </w:r>
      <w:r>
        <w:t>Abs. </w:t>
      </w:r>
      <w:r w:rsidR="004F6D36">
        <w:t xml:space="preserve">3 </w:t>
      </w:r>
      <w:r w:rsidRPr="005F5895">
        <w:t>Ziff. </w:t>
      </w:r>
      <w:r w:rsidR="004F6D36">
        <w:t xml:space="preserve">1 </w:t>
      </w:r>
      <w:r w:rsidR="004F6D36" w:rsidRPr="005F5895">
        <w:t>SächsKHG</w:t>
      </w:r>
    </w:p>
    <w:p w14:paraId="6BDF5AB4" w14:textId="1C3ACEEB" w:rsidR="004F6D36" w:rsidRDefault="005F5895" w:rsidP="004F6D36">
      <w:pPr>
        <w:pStyle w:val="Listenabsatz"/>
        <w:numPr>
          <w:ilvl w:val="0"/>
          <w:numId w:val="18"/>
        </w:numPr>
        <w:jc w:val="left"/>
      </w:pPr>
      <w:r>
        <w:t>§ </w:t>
      </w:r>
      <w:r w:rsidR="004F6D36">
        <w:t xml:space="preserve">16 </w:t>
      </w:r>
      <w:r>
        <w:t>Abs. </w:t>
      </w:r>
      <w:r w:rsidR="004F6D36">
        <w:t xml:space="preserve">3 </w:t>
      </w:r>
      <w:r w:rsidRPr="005F5895">
        <w:t>Ziff. </w:t>
      </w:r>
      <w:r w:rsidR="004F6D36">
        <w:t xml:space="preserve">2 </w:t>
      </w:r>
      <w:r w:rsidR="004F6D36" w:rsidRPr="004F6D36">
        <w:t xml:space="preserve">KHG </w:t>
      </w:r>
      <w:r w:rsidR="004F6D36" w:rsidRPr="005F5895">
        <w:t>LSA</w:t>
      </w:r>
    </w:p>
    <w:p w14:paraId="6F2E0F48" w14:textId="5F9B8A9B"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1 und 2 </w:t>
      </w:r>
      <w:r w:rsidR="00E343E3" w:rsidRPr="00E343E3">
        <w:t>LKHG</w:t>
      </w:r>
      <w:r w:rsidR="00E343E3">
        <w:t xml:space="preserve"> </w:t>
      </w:r>
      <w:r w:rsidR="00E343E3" w:rsidRPr="00E343E3">
        <w:t>Schleswig-Holstein</w:t>
      </w:r>
    </w:p>
    <w:p w14:paraId="3CAD6E5C" w14:textId="2EC25A7F" w:rsidR="00E343E3" w:rsidRDefault="005F5895" w:rsidP="004F6D36">
      <w:pPr>
        <w:pStyle w:val="Listenabsatz"/>
        <w:numPr>
          <w:ilvl w:val="0"/>
          <w:numId w:val="18"/>
        </w:numPr>
        <w:jc w:val="left"/>
      </w:pPr>
      <w:r>
        <w:t>§ </w:t>
      </w:r>
      <w:r w:rsidR="004F6D36" w:rsidRPr="004F6D36">
        <w:t xml:space="preserve">27 </w:t>
      </w:r>
      <w:r>
        <w:t>Abs. </w:t>
      </w:r>
      <w:r w:rsidR="004F6D36">
        <w:t xml:space="preserve">3 </w:t>
      </w:r>
      <w:r w:rsidRPr="005F5895">
        <w:t>Ziff. </w:t>
      </w:r>
      <w:r w:rsidR="004F6D36" w:rsidRPr="004F6D36">
        <w:t xml:space="preserve">1 </w:t>
      </w:r>
      <w:r w:rsidR="004F6D36" w:rsidRPr="005F5895">
        <w:t>ThürKHG</w:t>
      </w:r>
    </w:p>
    <w:p w14:paraId="63A5D69C" w14:textId="05837721" w:rsidR="00E343E3" w:rsidRDefault="00E343E3" w:rsidP="00E343E3">
      <w:pPr>
        <w:spacing w:after="0"/>
      </w:pPr>
      <w:r>
        <w:t xml:space="preserve">Diese Regelungen stellen das jeweilige in </w:t>
      </w:r>
      <w:r w:rsidR="005F5895">
        <w:t>Art. </w:t>
      </w:r>
      <w:r>
        <w:t xml:space="preserve">9 </w:t>
      </w:r>
      <w:r w:rsidR="005F5895">
        <w:t>Abs. </w:t>
      </w:r>
      <w:r>
        <w:t xml:space="preserve">2 </w:t>
      </w:r>
      <w:r w:rsidR="005F5895">
        <w:t>lit. </w:t>
      </w:r>
      <w:r>
        <w:t>h DS-GVO aufgeführte „</w:t>
      </w:r>
      <w:r w:rsidRPr="00E343E3">
        <w:t>Recht eines Mitgliedstaats</w:t>
      </w:r>
      <w:r>
        <w:t xml:space="preserve">“ dar. Zu beachten ist hier, dass dieses nationale Recht nur unter den Voraussetzungen von </w:t>
      </w:r>
      <w:r w:rsidR="005F5895">
        <w:t>Art. </w:t>
      </w:r>
      <w:r>
        <w:t xml:space="preserve">9 </w:t>
      </w:r>
      <w:r w:rsidR="005F5895">
        <w:t>Abs. </w:t>
      </w:r>
      <w:r>
        <w:t>3 DS-GVO Anwendung finden darf, d. h.</w:t>
      </w:r>
    </w:p>
    <w:p w14:paraId="1B0FF63B" w14:textId="77777777" w:rsidR="00E343E3" w:rsidRDefault="00E343E3" w:rsidP="00E343E3">
      <w:pPr>
        <w:pStyle w:val="Listenabsatz"/>
        <w:numPr>
          <w:ilvl w:val="0"/>
          <w:numId w:val="18"/>
        </w:numPr>
      </w:pPr>
      <w:r w:rsidRPr="005F5895">
        <w:t>diese</w:t>
      </w:r>
      <w:r w:rsidRPr="00E343E3">
        <w:t xml:space="preserve"> Daten </w:t>
      </w:r>
      <w:r>
        <w:t xml:space="preserve">müssen </w:t>
      </w:r>
      <w:r w:rsidRPr="00E343E3">
        <w:t xml:space="preserve">von Fachpersonal oder unter dessen Verantwortung verarbeitet werden </w:t>
      </w:r>
      <w:r w:rsidRPr="005F5895">
        <w:t>und</w:t>
      </w:r>
      <w:r w:rsidRPr="00E343E3">
        <w:t xml:space="preserve"> </w:t>
      </w:r>
    </w:p>
    <w:p w14:paraId="4C805E13" w14:textId="469B85FA" w:rsidR="00E343E3" w:rsidRDefault="00E343E3" w:rsidP="00E343E3">
      <w:pPr>
        <w:pStyle w:val="Listenabsatz"/>
        <w:numPr>
          <w:ilvl w:val="0"/>
          <w:numId w:val="18"/>
        </w:numPr>
      </w:pPr>
      <w:r w:rsidRPr="005F5895">
        <w:t>dieses</w:t>
      </w:r>
      <w:r w:rsidRPr="00E343E3">
        <w:t xml:space="preserve"> Fachpersonal </w:t>
      </w:r>
      <w:r>
        <w:t xml:space="preserve">muss </w:t>
      </w:r>
      <w:r w:rsidRPr="00E343E3">
        <w:t>nach dem Unionsrecht oder dem Recht eines Mitgliedstaats oder den Vorschriften nationaler zuständiger Stellen dem Berufsgeheimnis unterlieg</w:t>
      </w:r>
      <w:r w:rsidR="00482549">
        <w:t>en</w:t>
      </w:r>
      <w:r w:rsidRPr="00E343E3">
        <w:t>, oder wenn die Verarbeitung durch eine andere Person erfolgt, die ebenfalls nach dem Unionsrecht oder dem Recht eines Mitgliedstaats oder den Vorschriften nationaler zuständiger Stellen einer Geheimhaltungspflicht unterliegt.</w:t>
      </w:r>
    </w:p>
    <w:p w14:paraId="02C4A650" w14:textId="058BE54C" w:rsidR="00E343E3" w:rsidRPr="00E343E3" w:rsidRDefault="00E343E3" w:rsidP="00E343E3">
      <w:pPr>
        <w:pStyle w:val="Listenabsatz"/>
        <w:ind w:left="0"/>
      </w:pPr>
      <w:r>
        <w:t xml:space="preserve">In Deutschland wird dies erfüllt, wenn die Vorgaben von </w:t>
      </w:r>
      <w:r w:rsidR="005F5895">
        <w:t>§ </w:t>
      </w:r>
      <w:r>
        <w:t>203 StGB erfüllt sind, bei ärztlichem Personal</w:t>
      </w:r>
      <w:r w:rsidR="00562420">
        <w:t xml:space="preserve"> gelten</w:t>
      </w:r>
      <w:r>
        <w:t xml:space="preserve"> ergänzend die Vorgaben zur Schweigepflicht in der jeweiligen Landesberufsordnung für Ärztinnen und Ärzte.</w:t>
      </w:r>
    </w:p>
    <w:p w14:paraId="43ED7F5A" w14:textId="38F11FBC" w:rsidR="00687085" w:rsidRDefault="00E343E3" w:rsidP="00687085">
      <w:r>
        <w:t xml:space="preserve">In all diesen Fällen liegt entsprechend deutschem Recht immer auch ein Behandlungsvertrag vor, sodass der in </w:t>
      </w:r>
      <w:r w:rsidR="005F5895">
        <w:t>Art. </w:t>
      </w:r>
      <w:r>
        <w:t xml:space="preserve">6 </w:t>
      </w:r>
      <w:r w:rsidR="005F5895">
        <w:t>Abs. </w:t>
      </w:r>
      <w:r>
        <w:t xml:space="preserve">1 </w:t>
      </w:r>
      <w:r w:rsidR="005F5895">
        <w:t>lit. </w:t>
      </w:r>
      <w:r>
        <w:t>b DS-GVO enthaltene Rechtfertigungstatbestand anwendbar ist.</w:t>
      </w:r>
    </w:p>
    <w:p w14:paraId="28EE565F" w14:textId="5B389CEA" w:rsidR="00E343E3" w:rsidRDefault="00E343E3" w:rsidP="00C626A9">
      <w:pPr>
        <w:pStyle w:val="berschrift4"/>
      </w:pPr>
      <w:bookmarkStart w:id="181" w:name="_Toc169934840"/>
      <w:r>
        <w:t>Forschung</w:t>
      </w:r>
      <w:bookmarkEnd w:id="181"/>
    </w:p>
    <w:p w14:paraId="594C4CBA" w14:textId="7BE61DB2" w:rsidR="00E343E3" w:rsidRDefault="00E343E3" w:rsidP="00E343E3">
      <w:pPr>
        <w:spacing w:after="0"/>
      </w:pPr>
      <w:r>
        <w:t>Diverse Landeskrankenhausgesetze enthalten die Erlaubnis, Patientendaten zur Forschung</w:t>
      </w:r>
      <w:r w:rsidRPr="00E343E3">
        <w:t xml:space="preserve"> </w:t>
      </w:r>
      <w:r>
        <w:t>zu nutzen:</w:t>
      </w:r>
    </w:p>
    <w:p w14:paraId="38427E80" w14:textId="4CF12D61" w:rsidR="00B74DE5" w:rsidRDefault="005F5895" w:rsidP="00ED6DE3">
      <w:pPr>
        <w:pStyle w:val="Listenabsatz"/>
        <w:numPr>
          <w:ilvl w:val="0"/>
          <w:numId w:val="18"/>
        </w:numPr>
        <w:jc w:val="left"/>
      </w:pPr>
      <w:r>
        <w:t>Art. </w:t>
      </w:r>
      <w:r w:rsidR="00B74DE5">
        <w:t xml:space="preserve">27 </w:t>
      </w:r>
      <w:r>
        <w:t>Abs. </w:t>
      </w:r>
      <w:r w:rsidR="00B74DE5">
        <w:t xml:space="preserve">4 S. 1 </w:t>
      </w:r>
      <w:r w:rsidR="00B74DE5" w:rsidRPr="005F5895">
        <w:t>BayKrG</w:t>
      </w:r>
    </w:p>
    <w:p w14:paraId="580CD93F" w14:textId="024ADAE1" w:rsidR="00B74DE5" w:rsidRDefault="005F5895" w:rsidP="00ED6DE3">
      <w:pPr>
        <w:pStyle w:val="Listenabsatz"/>
        <w:numPr>
          <w:ilvl w:val="0"/>
          <w:numId w:val="18"/>
        </w:numPr>
        <w:jc w:val="left"/>
      </w:pPr>
      <w:r>
        <w:t>§ </w:t>
      </w:r>
      <w:r w:rsidR="00B74DE5">
        <w:t xml:space="preserve">25 </w:t>
      </w:r>
      <w:r>
        <w:t>Abs. </w:t>
      </w:r>
      <w:r w:rsidR="00B74DE5">
        <w:t xml:space="preserve">1 </w:t>
      </w:r>
      <w:r w:rsidR="00B74DE5" w:rsidRPr="005F5895">
        <w:t>LKG</w:t>
      </w:r>
      <w:r w:rsidR="00B74DE5">
        <w:t xml:space="preserve"> Berlin</w:t>
      </w:r>
    </w:p>
    <w:p w14:paraId="3E87942F" w14:textId="7B71442E" w:rsidR="00D71A87" w:rsidRDefault="00D71A87" w:rsidP="00D71A87">
      <w:pPr>
        <w:pStyle w:val="Listenabsatz"/>
        <w:numPr>
          <w:ilvl w:val="0"/>
          <w:numId w:val="18"/>
        </w:numPr>
        <w:jc w:val="left"/>
      </w:pPr>
      <w:r>
        <w:t>§ 31 BbgKHEG</w:t>
      </w:r>
    </w:p>
    <w:p w14:paraId="7474BCD9" w14:textId="124672C8" w:rsidR="00F3228A" w:rsidRDefault="005F5895" w:rsidP="00F3228A">
      <w:pPr>
        <w:pStyle w:val="Listenabsatz"/>
        <w:numPr>
          <w:ilvl w:val="0"/>
          <w:numId w:val="18"/>
        </w:numPr>
        <w:jc w:val="left"/>
      </w:pPr>
      <w:r>
        <w:t>§ </w:t>
      </w:r>
      <w:r w:rsidR="00F3228A">
        <w:t xml:space="preserve">39 </w:t>
      </w:r>
      <w:r>
        <w:t>Abs. </w:t>
      </w:r>
      <w:r w:rsidR="00F3228A">
        <w:t xml:space="preserve">1 </w:t>
      </w:r>
      <w:r w:rsidRPr="005F5895">
        <w:t>Ziff. </w:t>
      </w:r>
      <w:r w:rsidR="00F3228A">
        <w:t xml:space="preserve">1 und </w:t>
      </w:r>
      <w:r>
        <w:t>Abs. </w:t>
      </w:r>
      <w:r w:rsidR="00F3228A">
        <w:t xml:space="preserve">2 </w:t>
      </w:r>
      <w:r w:rsidR="00F3228A" w:rsidRPr="005F5895">
        <w:t>BremKrhG</w:t>
      </w:r>
    </w:p>
    <w:p w14:paraId="559E1B62" w14:textId="3A3A190A" w:rsidR="00F3228A" w:rsidRDefault="005F5895" w:rsidP="00F3228A">
      <w:pPr>
        <w:pStyle w:val="Listenabsatz"/>
        <w:numPr>
          <w:ilvl w:val="0"/>
          <w:numId w:val="18"/>
        </w:numPr>
        <w:jc w:val="left"/>
      </w:pPr>
      <w:r>
        <w:t>§ </w:t>
      </w:r>
      <w:r w:rsidR="00F3228A">
        <w:t xml:space="preserve">12 </w:t>
      </w:r>
      <w:r>
        <w:t>Abs. </w:t>
      </w:r>
      <w:r w:rsidR="00F3228A">
        <w:t xml:space="preserve">1 </w:t>
      </w:r>
      <w:r w:rsidR="00F3228A" w:rsidRPr="005F5895">
        <w:t>HmbKHG</w:t>
      </w:r>
    </w:p>
    <w:p w14:paraId="3345F526" w14:textId="52158B52" w:rsidR="00C039C3" w:rsidRDefault="005F5895" w:rsidP="00C039C3">
      <w:pPr>
        <w:pStyle w:val="Listenabsatz"/>
        <w:numPr>
          <w:ilvl w:val="0"/>
          <w:numId w:val="18"/>
        </w:numPr>
        <w:jc w:val="left"/>
      </w:pPr>
      <w:r>
        <w:t>§ </w:t>
      </w:r>
      <w:r w:rsidR="00C039C3">
        <w:t xml:space="preserve">37 </w:t>
      </w:r>
      <w:r>
        <w:t>Abs. </w:t>
      </w:r>
      <w:r w:rsidR="00C039C3">
        <w:t xml:space="preserve">1, 2 </w:t>
      </w:r>
      <w:r w:rsidR="00C039C3" w:rsidRPr="00C039C3">
        <w:t>LKHG M-V</w:t>
      </w:r>
    </w:p>
    <w:p w14:paraId="048D5F0D" w14:textId="465DD5FB" w:rsidR="00C039C3" w:rsidRDefault="005F5895" w:rsidP="00C039C3">
      <w:pPr>
        <w:pStyle w:val="Listenabsatz"/>
        <w:numPr>
          <w:ilvl w:val="0"/>
          <w:numId w:val="18"/>
        </w:numPr>
        <w:jc w:val="left"/>
      </w:pPr>
      <w:r>
        <w:t>§ </w:t>
      </w:r>
      <w:r w:rsidR="00C039C3">
        <w:t xml:space="preserve">34 </w:t>
      </w:r>
      <w:r>
        <w:t>Abs. </w:t>
      </w:r>
      <w:r w:rsidR="00C039C3">
        <w:t xml:space="preserve">1 </w:t>
      </w:r>
      <w:r w:rsidRPr="005F5895">
        <w:t>Ziff. </w:t>
      </w:r>
      <w:r w:rsidR="00C039C3">
        <w:t xml:space="preserve">1 </w:t>
      </w:r>
      <w:r w:rsidR="00C039C3" w:rsidRPr="00C039C3">
        <w:t>LKHG M-V</w:t>
      </w:r>
      <w:r w:rsidR="00C039C3">
        <w:t xml:space="preserve"> i. V. m. </w:t>
      </w:r>
      <w:r>
        <w:t>§ </w:t>
      </w:r>
      <w:r w:rsidR="00C039C3">
        <w:t>37 LKHG M-V</w:t>
      </w:r>
    </w:p>
    <w:p w14:paraId="5BBBCBF2" w14:textId="698A4067" w:rsidR="00C039C3" w:rsidRDefault="005F5895" w:rsidP="00C039C3">
      <w:pPr>
        <w:pStyle w:val="Listenabsatz"/>
        <w:numPr>
          <w:ilvl w:val="0"/>
          <w:numId w:val="18"/>
        </w:numPr>
        <w:jc w:val="left"/>
      </w:pPr>
      <w:r>
        <w:t>§ </w:t>
      </w:r>
      <w:r w:rsidR="00C039C3">
        <w:t xml:space="preserve">6 </w:t>
      </w:r>
      <w:r>
        <w:t>Abs. </w:t>
      </w:r>
      <w:r w:rsidR="00C039C3">
        <w:t xml:space="preserve">1, 2 </w:t>
      </w:r>
      <w:r w:rsidR="00C039C3" w:rsidRPr="005F5895">
        <w:t>GDSG</w:t>
      </w:r>
      <w:r w:rsidR="00C039C3">
        <w:t xml:space="preserve"> </w:t>
      </w:r>
      <w:r w:rsidR="00C039C3" w:rsidRPr="005F5895">
        <w:t>NW</w:t>
      </w:r>
    </w:p>
    <w:p w14:paraId="4ED25A90" w14:textId="5A3E09C3" w:rsidR="00C039C3" w:rsidRDefault="005F5895" w:rsidP="00ED6DE3">
      <w:pPr>
        <w:pStyle w:val="Listenabsatz"/>
        <w:numPr>
          <w:ilvl w:val="0"/>
          <w:numId w:val="18"/>
        </w:numPr>
        <w:jc w:val="left"/>
      </w:pPr>
      <w:r>
        <w:t>§ </w:t>
      </w:r>
      <w:r w:rsidR="00C039C3">
        <w:t xml:space="preserve">37 </w:t>
      </w:r>
      <w:r>
        <w:t>Abs. </w:t>
      </w:r>
      <w:r w:rsidR="00C039C3">
        <w:t xml:space="preserve">1, 2, 3 </w:t>
      </w:r>
      <w:r w:rsidR="00C039C3" w:rsidRPr="005F5895">
        <w:t>LKG</w:t>
      </w:r>
      <w:r w:rsidR="00C039C3">
        <w:t xml:space="preserve"> RP</w:t>
      </w:r>
    </w:p>
    <w:p w14:paraId="281F6953" w14:textId="18A8E68A" w:rsidR="004F6D36" w:rsidRDefault="005F5895" w:rsidP="004F6D36">
      <w:pPr>
        <w:pStyle w:val="Listenabsatz"/>
        <w:numPr>
          <w:ilvl w:val="0"/>
          <w:numId w:val="18"/>
        </w:numPr>
        <w:jc w:val="left"/>
      </w:pPr>
      <w:r>
        <w:t>§ </w:t>
      </w:r>
      <w:r w:rsidR="004F6D36">
        <w:t xml:space="preserve">14 </w:t>
      </w:r>
      <w:r>
        <w:t>Abs. </w:t>
      </w:r>
      <w:r w:rsidR="004F6D36">
        <w:t xml:space="preserve">1, 2, 3 </w:t>
      </w:r>
      <w:r w:rsidR="004F6D36" w:rsidRPr="005F5895">
        <w:t>SKHG</w:t>
      </w:r>
    </w:p>
    <w:p w14:paraId="19765BB4" w14:textId="12B349BE" w:rsidR="004F6D36" w:rsidRDefault="005F5895" w:rsidP="004F6D36">
      <w:pPr>
        <w:pStyle w:val="Listenabsatz"/>
        <w:numPr>
          <w:ilvl w:val="0"/>
          <w:numId w:val="18"/>
        </w:numPr>
        <w:jc w:val="left"/>
      </w:pPr>
      <w:r>
        <w:t>§ </w:t>
      </w:r>
      <w:r w:rsidR="004F6D36">
        <w:t xml:space="preserve">29 </w:t>
      </w:r>
      <w:r>
        <w:t>Abs. </w:t>
      </w:r>
      <w:r w:rsidR="004F6D36">
        <w:t xml:space="preserve">1, 2, 3 </w:t>
      </w:r>
      <w:r w:rsidR="004F6D36" w:rsidRPr="005F5895">
        <w:t>SächsKHG</w:t>
      </w:r>
    </w:p>
    <w:p w14:paraId="5ABB102F" w14:textId="1BF522C1" w:rsidR="004F6D36" w:rsidRDefault="005F5895" w:rsidP="004F6D36">
      <w:pPr>
        <w:pStyle w:val="Listenabsatz"/>
        <w:numPr>
          <w:ilvl w:val="0"/>
          <w:numId w:val="18"/>
        </w:numPr>
        <w:jc w:val="left"/>
      </w:pPr>
      <w:r>
        <w:t>§ </w:t>
      </w:r>
      <w:r w:rsidR="004F6D36">
        <w:t xml:space="preserve">17 </w:t>
      </w:r>
      <w:r>
        <w:t>Abs. </w:t>
      </w:r>
      <w:r w:rsidR="004F6D36">
        <w:t xml:space="preserve">1, 2, 3 </w:t>
      </w:r>
      <w:r w:rsidR="004F6D36" w:rsidRPr="004F6D36">
        <w:t xml:space="preserve">KHG </w:t>
      </w:r>
      <w:r w:rsidR="004F6D36" w:rsidRPr="005F5895">
        <w:t>LSA</w:t>
      </w:r>
    </w:p>
    <w:p w14:paraId="5F286B70" w14:textId="76C38C9C" w:rsidR="00E343E3" w:rsidRDefault="005F5895" w:rsidP="00ED6DE3">
      <w:pPr>
        <w:pStyle w:val="Listenabsatz"/>
        <w:numPr>
          <w:ilvl w:val="0"/>
          <w:numId w:val="18"/>
        </w:numPr>
        <w:jc w:val="left"/>
      </w:pPr>
      <w:r>
        <w:t>§ </w:t>
      </w:r>
      <w:r w:rsidR="00E343E3">
        <w:t xml:space="preserve">38 </w:t>
      </w:r>
      <w:r>
        <w:t>Abs. </w:t>
      </w:r>
      <w:r w:rsidR="00E343E3">
        <w:t xml:space="preserve">1 </w:t>
      </w:r>
      <w:r w:rsidR="00E343E3" w:rsidRPr="00E343E3">
        <w:t>LKHG</w:t>
      </w:r>
      <w:r w:rsidR="00E343E3">
        <w:t xml:space="preserve"> </w:t>
      </w:r>
      <w:r w:rsidR="00E343E3" w:rsidRPr="00E343E3">
        <w:t>Schleswig-Holstein</w:t>
      </w:r>
    </w:p>
    <w:p w14:paraId="2CAE88CC" w14:textId="6DE9E5E5" w:rsidR="00E343E3" w:rsidRDefault="005F5895" w:rsidP="00ED6DE3">
      <w:pPr>
        <w:pStyle w:val="Listenabsatz"/>
        <w:numPr>
          <w:ilvl w:val="0"/>
          <w:numId w:val="18"/>
        </w:numPr>
        <w:jc w:val="left"/>
      </w:pPr>
      <w:r>
        <w:t>§ </w:t>
      </w:r>
      <w:r w:rsidR="004F6D36" w:rsidRPr="004F6D36">
        <w:t xml:space="preserve">27 </w:t>
      </w:r>
      <w:r>
        <w:t>Abs. </w:t>
      </w:r>
      <w:r w:rsidR="004F6D36" w:rsidRPr="004F6D36">
        <w:t xml:space="preserve">4 S. 1 </w:t>
      </w:r>
      <w:r w:rsidR="004F6D36" w:rsidRPr="005F5895">
        <w:t>ThürKHG</w:t>
      </w:r>
      <w:r w:rsidR="004F6D36">
        <w:br/>
      </w:r>
      <w:r>
        <w:t>§ </w:t>
      </w:r>
      <w:r w:rsidR="004F6D36">
        <w:t xml:space="preserve">27a </w:t>
      </w:r>
      <w:r>
        <w:t>Abs. </w:t>
      </w:r>
      <w:r w:rsidR="004F6D36">
        <w:t xml:space="preserve">1, 2 </w:t>
      </w:r>
      <w:r w:rsidR="004F6D36" w:rsidRPr="005F5895">
        <w:t>ThürKHG</w:t>
      </w:r>
    </w:p>
    <w:p w14:paraId="02604095" w14:textId="67D86EFE" w:rsidR="00E343E3" w:rsidRDefault="00E343E3" w:rsidP="00E343E3">
      <w:pPr>
        <w:spacing w:after="0"/>
      </w:pPr>
      <w:r>
        <w:t xml:space="preserve">Sofern die Regelung im jeweiligen Landesgesetz auf eine erforderliche Verarbeitung begrenzt ist, findet diese Regelung ihre Entsprechung in </w:t>
      </w:r>
      <w:r w:rsidR="005F5895">
        <w:t>Art. </w:t>
      </w:r>
      <w:r>
        <w:t xml:space="preserve">9 </w:t>
      </w:r>
      <w:r w:rsidR="005F5895">
        <w:t>Abs. </w:t>
      </w:r>
      <w:r>
        <w:t xml:space="preserve">2 </w:t>
      </w:r>
      <w:r w:rsidR="005F5895">
        <w:t>lit. </w:t>
      </w:r>
      <w:r>
        <w:t>j DS-GVO („f</w:t>
      </w:r>
      <w:r w:rsidRPr="00E343E3">
        <w:t>ür wissenschaftliche oder historische Forschungszwecke</w:t>
      </w:r>
      <w:r>
        <w:t>“). Zu beachten ist hierbei:</w:t>
      </w:r>
    </w:p>
    <w:p w14:paraId="419A4EF3" w14:textId="70EBF922" w:rsidR="00E343E3" w:rsidRDefault="005F5895" w:rsidP="00E343E3">
      <w:pPr>
        <w:pStyle w:val="Listenabsatz"/>
        <w:numPr>
          <w:ilvl w:val="0"/>
          <w:numId w:val="30"/>
        </w:numPr>
        <w:spacing w:after="0"/>
      </w:pPr>
      <w:r>
        <w:t>Art. </w:t>
      </w:r>
      <w:r w:rsidR="00E343E3">
        <w:t xml:space="preserve">9 </w:t>
      </w:r>
      <w:r>
        <w:t>Abs. </w:t>
      </w:r>
      <w:r w:rsidR="00E343E3">
        <w:t xml:space="preserve">2 </w:t>
      </w:r>
      <w:r>
        <w:t>lit. </w:t>
      </w:r>
      <w:r w:rsidR="00E343E3">
        <w:t xml:space="preserve">j DS-GVO verlangt, dass das nationale </w:t>
      </w:r>
      <w:r w:rsidR="00E343E3" w:rsidRPr="005F5895">
        <w:t>Recht</w:t>
      </w:r>
    </w:p>
    <w:p w14:paraId="57D38A4F" w14:textId="77777777" w:rsidR="00E343E3" w:rsidRDefault="00E343E3" w:rsidP="00E343E3">
      <w:pPr>
        <w:pStyle w:val="Listenabsatz"/>
        <w:numPr>
          <w:ilvl w:val="1"/>
          <w:numId w:val="30"/>
        </w:numPr>
        <w:spacing w:after="0"/>
      </w:pPr>
      <w:r w:rsidRPr="005F5895">
        <w:t>in</w:t>
      </w:r>
      <w:r w:rsidRPr="00E343E3">
        <w:t xml:space="preserve"> angemessenem Verhältnis zu dem verfolgten Ziel steht,</w:t>
      </w:r>
    </w:p>
    <w:p w14:paraId="696DD4DC" w14:textId="77777777" w:rsidR="00E343E3" w:rsidRDefault="00E343E3" w:rsidP="00E343E3">
      <w:pPr>
        <w:pStyle w:val="Listenabsatz"/>
        <w:numPr>
          <w:ilvl w:val="1"/>
          <w:numId w:val="30"/>
        </w:numPr>
        <w:spacing w:after="0"/>
      </w:pPr>
      <w:r w:rsidRPr="005F5895">
        <w:t>den</w:t>
      </w:r>
      <w:r w:rsidRPr="00E343E3">
        <w:t xml:space="preserve"> Wesensgehalt des Rechts auf Datenschutz wahrt </w:t>
      </w:r>
      <w:r w:rsidRPr="005F5895">
        <w:t>und</w:t>
      </w:r>
      <w:r w:rsidRPr="00E343E3">
        <w:t xml:space="preserve"> </w:t>
      </w:r>
    </w:p>
    <w:p w14:paraId="358BE5CC" w14:textId="77777777" w:rsidR="00E343E3" w:rsidRDefault="00E343E3" w:rsidP="00E343E3">
      <w:pPr>
        <w:pStyle w:val="Listenabsatz"/>
        <w:numPr>
          <w:ilvl w:val="1"/>
          <w:numId w:val="30"/>
        </w:numPr>
        <w:spacing w:after="0"/>
      </w:pPr>
      <w:r w:rsidRPr="005F5895">
        <w:t>angemessene</w:t>
      </w:r>
      <w:r w:rsidRPr="00E343E3">
        <w:t xml:space="preserve"> und spezifische Maßnahmen zur Wahrung der Grundrechte und Interessen der betroffenen Person vorsieht</w:t>
      </w:r>
      <w:r>
        <w:t>;</w:t>
      </w:r>
    </w:p>
    <w:p w14:paraId="52FB8FD6" w14:textId="77777777" w:rsidR="00E343E3" w:rsidRDefault="00E343E3" w:rsidP="00E343E3">
      <w:pPr>
        <w:pStyle w:val="Listenabsatz"/>
        <w:spacing w:after="0"/>
      </w:pPr>
      <w:r w:rsidRPr="005F5895">
        <w:t>dies</w:t>
      </w:r>
      <w:r>
        <w:t xml:space="preserve"> ist im jeweiligen Landesrecht zu prüfen.</w:t>
      </w:r>
    </w:p>
    <w:p w14:paraId="17C9DE96" w14:textId="16ACDDA4" w:rsidR="00E343E3" w:rsidRDefault="00E343E3" w:rsidP="00E343E3">
      <w:pPr>
        <w:pStyle w:val="Listenabsatz"/>
        <w:numPr>
          <w:ilvl w:val="0"/>
          <w:numId w:val="30"/>
        </w:numPr>
        <w:spacing w:after="0"/>
      </w:pPr>
      <w:r>
        <w:t xml:space="preserve">Ergänzend muss </w:t>
      </w:r>
      <w:r w:rsidR="005F5895">
        <w:t>Art. </w:t>
      </w:r>
      <w:r>
        <w:t xml:space="preserve">89 </w:t>
      </w:r>
      <w:r w:rsidR="005F5895">
        <w:t>Abs. </w:t>
      </w:r>
      <w:r>
        <w:t xml:space="preserve">1 DS-GVO beachtet werden. Dies bedeutet, dass das nationale </w:t>
      </w:r>
      <w:r w:rsidRPr="005F5895">
        <w:t>Recht</w:t>
      </w:r>
    </w:p>
    <w:p w14:paraId="366CCBCD" w14:textId="77777777" w:rsidR="00E343E3" w:rsidRDefault="00E343E3" w:rsidP="00E343E3">
      <w:pPr>
        <w:pStyle w:val="Listenabsatz"/>
        <w:numPr>
          <w:ilvl w:val="1"/>
          <w:numId w:val="30"/>
        </w:numPr>
        <w:spacing w:after="0"/>
      </w:pPr>
      <w:r w:rsidRPr="005F5895">
        <w:t>geeigneten</w:t>
      </w:r>
      <w:r w:rsidRPr="00E343E3">
        <w:t xml:space="preserve"> Garantien für die Rechte und Freiheiten der betroffenen Person gemäß</w:t>
      </w:r>
      <w:r>
        <w:t xml:space="preserve"> der DS-GVO vorsieht </w:t>
      </w:r>
      <w:r w:rsidRPr="005F5895">
        <w:t>und</w:t>
      </w:r>
    </w:p>
    <w:p w14:paraId="06D350DE" w14:textId="77777777" w:rsidR="00E343E3" w:rsidRDefault="00E343E3" w:rsidP="00E343E3">
      <w:pPr>
        <w:pStyle w:val="Listenabsatz"/>
        <w:numPr>
          <w:ilvl w:val="1"/>
          <w:numId w:val="30"/>
        </w:numPr>
        <w:spacing w:after="0"/>
      </w:pPr>
      <w:r w:rsidRPr="005F5895">
        <w:t>diese</w:t>
      </w:r>
      <w:r w:rsidRPr="00E343E3">
        <w:t xml:space="preserve"> Garantien sicherstell</w:t>
      </w:r>
      <w:r>
        <w:t>en</w:t>
      </w:r>
      <w:r w:rsidRPr="00E343E3">
        <w:t>, dass technische und organisatorische Maßnahmen bestehen, mit denen insbesondere die Achtung des Grundsatzes der Datenminimierung gewährleistet wird.</w:t>
      </w:r>
    </w:p>
    <w:p w14:paraId="2D034DE8" w14:textId="37A84BA6" w:rsidR="00E343E3" w:rsidRPr="00E343E3" w:rsidRDefault="00E343E3" w:rsidP="00BF277A">
      <w:pPr>
        <w:pStyle w:val="Listenabsatz"/>
        <w:spacing w:after="0"/>
      </w:pPr>
      <w:r>
        <w:t>Auch dies ist im jeweiligen Landesrecht zu prüfen.</w:t>
      </w:r>
    </w:p>
    <w:p w14:paraId="1588C018" w14:textId="52E4A72D" w:rsidR="00E343E3" w:rsidRDefault="00E343E3" w:rsidP="00C626A9">
      <w:pPr>
        <w:pStyle w:val="berschrift4"/>
      </w:pPr>
      <w:bookmarkStart w:id="182" w:name="_Toc169934841"/>
      <w:r>
        <w:t>Soziale Betreuung</w:t>
      </w:r>
      <w:bookmarkEnd w:id="182"/>
    </w:p>
    <w:p w14:paraId="572D61C8" w14:textId="7AC83356" w:rsidR="00E343E3" w:rsidRDefault="00E343E3" w:rsidP="00E343E3">
      <w:pPr>
        <w:spacing w:after="0"/>
      </w:pPr>
      <w:r>
        <w:t xml:space="preserve">Diverse Landeskrankenhausgesetze enthalten die Erlaubnis, Patientendaten zur </w:t>
      </w:r>
      <w:r w:rsidRPr="00E343E3">
        <w:t xml:space="preserve">sozialen Betreuung und Beratung der Patientin oder des Patienten </w:t>
      </w:r>
      <w:r>
        <w:t>zu nutzen:</w:t>
      </w:r>
    </w:p>
    <w:p w14:paraId="511C7FB0" w14:textId="5447EE32" w:rsidR="00ED6DE3" w:rsidRDefault="005F5895" w:rsidP="00ED6DE3">
      <w:pPr>
        <w:pStyle w:val="Listenabsatz"/>
        <w:numPr>
          <w:ilvl w:val="0"/>
          <w:numId w:val="18"/>
        </w:numPr>
        <w:jc w:val="left"/>
      </w:pPr>
      <w:r>
        <w:t>§ </w:t>
      </w:r>
      <w:r w:rsidR="00ED6DE3">
        <w:t xml:space="preserve">28 </w:t>
      </w:r>
      <w:r>
        <w:t>Abs. </w:t>
      </w:r>
      <w:r w:rsidR="00ED6DE3">
        <w:t xml:space="preserve">1 </w:t>
      </w:r>
      <w:r w:rsidRPr="005F5895">
        <w:t>Ziff. </w:t>
      </w:r>
      <w:r w:rsidR="00ED6DE3">
        <w:t xml:space="preserve">3 </w:t>
      </w:r>
      <w:r w:rsidR="00ED6DE3" w:rsidRPr="005F5895">
        <w:t>BbgKHEG</w:t>
      </w:r>
    </w:p>
    <w:p w14:paraId="29D13747" w14:textId="538AC1AD" w:rsidR="00F3228A" w:rsidRDefault="005F5895" w:rsidP="00F3228A">
      <w:pPr>
        <w:pStyle w:val="Listenabsatz"/>
        <w:numPr>
          <w:ilvl w:val="0"/>
          <w:numId w:val="18"/>
        </w:numPr>
        <w:jc w:val="left"/>
      </w:pPr>
      <w:r>
        <w:t>§ </w:t>
      </w:r>
      <w:r w:rsidR="00F3228A">
        <w:t xml:space="preserve">10 </w:t>
      </w:r>
      <w:r>
        <w:t>Abs. </w:t>
      </w:r>
      <w:r w:rsidR="00F3228A">
        <w:t xml:space="preserve">1 </w:t>
      </w:r>
      <w:r w:rsidRPr="005F5895">
        <w:t>Ziff. </w:t>
      </w:r>
      <w:r w:rsidR="00F3228A">
        <w:t xml:space="preserve">3 </w:t>
      </w:r>
      <w:r w:rsidR="00F3228A" w:rsidRPr="005F5895">
        <w:t>HmbKHG</w:t>
      </w:r>
    </w:p>
    <w:p w14:paraId="3E4C4413" w14:textId="41E17F2B" w:rsidR="004F6D36" w:rsidRDefault="005F5895" w:rsidP="004F6D36">
      <w:pPr>
        <w:pStyle w:val="Listenabsatz"/>
        <w:numPr>
          <w:ilvl w:val="0"/>
          <w:numId w:val="18"/>
        </w:numPr>
        <w:jc w:val="left"/>
      </w:pPr>
      <w:r>
        <w:t>§ </w:t>
      </w:r>
      <w:r w:rsidR="004F6D36">
        <w:t xml:space="preserve">13 </w:t>
      </w:r>
      <w:r>
        <w:t>Abs. </w:t>
      </w:r>
      <w:r w:rsidR="004F6D36">
        <w:t xml:space="preserve">3 </w:t>
      </w:r>
      <w:r w:rsidR="004F6D36" w:rsidRPr="005F5895">
        <w:t>SKHG</w:t>
      </w:r>
    </w:p>
    <w:p w14:paraId="3A176EE3" w14:textId="44EA0CD7" w:rsidR="004F6D36" w:rsidRDefault="005F5895" w:rsidP="004F6D36">
      <w:pPr>
        <w:pStyle w:val="Listenabsatz"/>
        <w:numPr>
          <w:ilvl w:val="0"/>
          <w:numId w:val="18"/>
        </w:numPr>
        <w:jc w:val="left"/>
      </w:pPr>
      <w:r>
        <w:t>§ </w:t>
      </w:r>
      <w:r w:rsidR="004F6D36">
        <w:t xml:space="preserve">28 </w:t>
      </w:r>
      <w:r>
        <w:t>Abs. </w:t>
      </w:r>
      <w:r w:rsidR="004F6D36">
        <w:t xml:space="preserve">4 </w:t>
      </w:r>
      <w:r w:rsidRPr="005F5895">
        <w:t>Ziff. </w:t>
      </w:r>
      <w:r w:rsidR="004F6D36">
        <w:t xml:space="preserve">9 </w:t>
      </w:r>
      <w:r w:rsidR="004F6D36" w:rsidRPr="005F5895">
        <w:t>SächsKHG</w:t>
      </w:r>
    </w:p>
    <w:p w14:paraId="5F4009C4" w14:textId="05512A1F" w:rsidR="004F6D36" w:rsidRDefault="005F5895" w:rsidP="004F6D36">
      <w:pPr>
        <w:pStyle w:val="Listenabsatz"/>
        <w:numPr>
          <w:ilvl w:val="0"/>
          <w:numId w:val="18"/>
        </w:numPr>
        <w:jc w:val="left"/>
      </w:pPr>
      <w:r>
        <w:t>§ </w:t>
      </w:r>
      <w:r w:rsidR="004F6D36">
        <w:t xml:space="preserve">16 </w:t>
      </w:r>
      <w:r>
        <w:t>Abs. </w:t>
      </w:r>
      <w:r w:rsidR="004F6D36">
        <w:t xml:space="preserve">3 </w:t>
      </w:r>
      <w:r w:rsidRPr="005F5895">
        <w:t>Ziff. </w:t>
      </w:r>
      <w:r w:rsidR="004F6D36">
        <w:t xml:space="preserve">4 </w:t>
      </w:r>
      <w:r w:rsidR="004F6D36" w:rsidRPr="004F6D36">
        <w:t xml:space="preserve">KHG </w:t>
      </w:r>
      <w:r w:rsidR="004F6D36" w:rsidRPr="005F5895">
        <w:t>LSA</w:t>
      </w:r>
    </w:p>
    <w:p w14:paraId="030D28AD" w14:textId="6F7376A9"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3 </w:t>
      </w:r>
      <w:r w:rsidR="00E343E3" w:rsidRPr="00E343E3">
        <w:t>LKHG</w:t>
      </w:r>
      <w:r w:rsidR="00E343E3">
        <w:t xml:space="preserve"> </w:t>
      </w:r>
      <w:r w:rsidR="00E343E3" w:rsidRPr="00E343E3">
        <w:t>Schleswig-Holstein</w:t>
      </w:r>
    </w:p>
    <w:p w14:paraId="49BFBD52" w14:textId="2243E012" w:rsidR="00E343E3" w:rsidRDefault="00E343E3" w:rsidP="00E343E3">
      <w:r>
        <w:t xml:space="preserve">Ist diese soziale Betreuung im Kontext der </w:t>
      </w:r>
      <w:r w:rsidRPr="00E343E3">
        <w:t>Versorgung oder Behandlung im Gesundheits- oder Sozialbereich</w:t>
      </w:r>
      <w:r>
        <w:t xml:space="preserve">, ggf. auch post-stationär, erforderlich, stellen diese Regelungen das jeweilige in </w:t>
      </w:r>
      <w:r w:rsidR="005F5895">
        <w:t>Art. </w:t>
      </w:r>
      <w:r>
        <w:t xml:space="preserve">9 </w:t>
      </w:r>
      <w:r w:rsidR="005F5895">
        <w:t>Abs. </w:t>
      </w:r>
      <w:r>
        <w:t xml:space="preserve">2 </w:t>
      </w:r>
      <w:r w:rsidR="005F5895">
        <w:t>lit. </w:t>
      </w:r>
      <w:r>
        <w:t>h DS-GVO aufgeführte „</w:t>
      </w:r>
      <w:r w:rsidRPr="00E343E3">
        <w:t>Recht eines Mitgliedstaats</w:t>
      </w:r>
      <w:r>
        <w:t xml:space="preserve">“ dar. Zu beachten ist hier, dass dieses nationale Recht nur unter den Voraussetzungen von </w:t>
      </w:r>
      <w:r w:rsidR="005F5895">
        <w:t>Art. </w:t>
      </w:r>
      <w:r>
        <w:t xml:space="preserve">9 </w:t>
      </w:r>
      <w:r w:rsidR="005F5895">
        <w:t>Abs. </w:t>
      </w:r>
      <w:r>
        <w:t xml:space="preserve">3 DS-GVO Anwendung finden darf (siehe </w:t>
      </w:r>
      <w:r>
        <w:fldChar w:fldCharType="begin"/>
      </w:r>
      <w:r>
        <w:instrText xml:space="preserve"> REF _Ref162082119 \r \h </w:instrText>
      </w:r>
      <w:r>
        <w:fldChar w:fldCharType="separate"/>
      </w:r>
      <w:r w:rsidR="00F43608">
        <w:t>7.3.1.1</w:t>
      </w:r>
      <w:r>
        <w:fldChar w:fldCharType="end"/>
      </w:r>
      <w:r>
        <w:t>).</w:t>
      </w:r>
    </w:p>
    <w:p w14:paraId="7515B4EB" w14:textId="593E45CC" w:rsidR="00E343E3" w:rsidRDefault="00E343E3" w:rsidP="00E343E3">
      <w:r>
        <w:t xml:space="preserve">Entsprechend deutschem Recht liegt in diesen Fällen im Krankenhaus immer auch ein Behandlungsvertrag mit den jeweiligen Patienten vor, sodass der in </w:t>
      </w:r>
      <w:r w:rsidR="005F5895">
        <w:t>Art. </w:t>
      </w:r>
      <w:r>
        <w:t xml:space="preserve">6 </w:t>
      </w:r>
      <w:r w:rsidR="005F5895">
        <w:t>Abs. </w:t>
      </w:r>
      <w:r>
        <w:t xml:space="preserve">1 </w:t>
      </w:r>
      <w:r w:rsidR="005F5895">
        <w:t>lit. </w:t>
      </w:r>
      <w:r>
        <w:t>b DS-GVO enthaltene Rechtfertigungstatbestand anwendbar ist.</w:t>
      </w:r>
    </w:p>
    <w:p w14:paraId="322495C2" w14:textId="132E014E" w:rsidR="00E343E3" w:rsidRDefault="00E343E3" w:rsidP="00C626A9">
      <w:pPr>
        <w:pStyle w:val="berschrift4"/>
      </w:pPr>
      <w:bookmarkStart w:id="183" w:name="_Ref169680523"/>
      <w:bookmarkStart w:id="184" w:name="_Toc169934842"/>
      <w:r w:rsidRPr="00E343E3">
        <w:t>Rechnungsprüfung</w:t>
      </w:r>
      <w:r w:rsidR="00303763">
        <w:t xml:space="preserve"> und</w:t>
      </w:r>
      <w:r>
        <w:t xml:space="preserve"> -stellung</w:t>
      </w:r>
      <w:bookmarkEnd w:id="183"/>
      <w:bookmarkEnd w:id="184"/>
    </w:p>
    <w:p w14:paraId="3221E89C" w14:textId="3DEB1B82" w:rsidR="00E343E3" w:rsidRDefault="00E343E3" w:rsidP="00E343E3">
      <w:pPr>
        <w:spacing w:after="0"/>
      </w:pPr>
      <w:r>
        <w:t xml:space="preserve">Einige Landeskrankenhausgesetze enthalten die Erlaubnis, Patientendaten für </w:t>
      </w:r>
      <w:r w:rsidRPr="00E343E3">
        <w:t xml:space="preserve">Zwecke </w:t>
      </w:r>
      <w:r w:rsidR="00562420">
        <w:t>de</w:t>
      </w:r>
      <w:r w:rsidR="00562420" w:rsidRPr="00562420">
        <w:t xml:space="preserve">r verwaltungsmäßigen Abwicklung des Behandlungsverhältnisses, insbesondere zur Abrechnung der erbrachten Leistungen </w:t>
      </w:r>
      <w:r w:rsidRPr="00E343E3">
        <w:t>des Patienten</w:t>
      </w:r>
      <w:r w:rsidR="00562420">
        <w:t xml:space="preserve"> sowie zur Rechnungsprüfung</w:t>
      </w:r>
      <w:r>
        <w:t xml:space="preserve"> zu nutzen:</w:t>
      </w:r>
    </w:p>
    <w:p w14:paraId="024B8441" w14:textId="7A821568" w:rsidR="00B74DE5" w:rsidRDefault="005F5895" w:rsidP="00ED6DE3">
      <w:pPr>
        <w:pStyle w:val="Listenabsatz"/>
        <w:numPr>
          <w:ilvl w:val="0"/>
          <w:numId w:val="18"/>
        </w:numPr>
        <w:jc w:val="left"/>
      </w:pPr>
      <w:r>
        <w:t>§ </w:t>
      </w:r>
      <w:r w:rsidR="00B74DE5">
        <w:t xml:space="preserve">45 </w:t>
      </w:r>
      <w:r>
        <w:t>Abs. </w:t>
      </w:r>
      <w:r w:rsidR="00B74DE5">
        <w:t xml:space="preserve">1 </w:t>
      </w:r>
      <w:r w:rsidRPr="005F5895">
        <w:t>Ziff. </w:t>
      </w:r>
      <w:r w:rsidR="00B74DE5">
        <w:t xml:space="preserve">2 LKHG </w:t>
      </w:r>
      <w:r w:rsidR="00B74DE5" w:rsidRPr="00B74DE5">
        <w:t>Baden-Württemberg</w:t>
      </w:r>
      <w:r w:rsidR="00B74DE5">
        <w:t>,</w:t>
      </w:r>
      <w:r w:rsidR="00B74DE5">
        <w:br/>
        <w:t xml:space="preserve">Rechnungsprüfung </w:t>
      </w:r>
      <w:r>
        <w:t>§ </w:t>
      </w:r>
      <w:r w:rsidR="00B74DE5">
        <w:t xml:space="preserve">45 </w:t>
      </w:r>
      <w:r>
        <w:t>Abs. </w:t>
      </w:r>
      <w:r w:rsidR="00B74DE5">
        <w:t xml:space="preserve">3 </w:t>
      </w:r>
      <w:r w:rsidRPr="005F5895">
        <w:t>Ziff. </w:t>
      </w:r>
      <w:r w:rsidR="00B74DE5">
        <w:t xml:space="preserve">3 LKHG </w:t>
      </w:r>
      <w:r w:rsidR="00B74DE5" w:rsidRPr="00B74DE5">
        <w:t>Baden-Württemberg</w:t>
      </w:r>
    </w:p>
    <w:p w14:paraId="79BB319C" w14:textId="567E2C60" w:rsidR="00B74DE5" w:rsidRDefault="005F5895" w:rsidP="00ED6DE3">
      <w:pPr>
        <w:pStyle w:val="Listenabsatz"/>
        <w:numPr>
          <w:ilvl w:val="0"/>
          <w:numId w:val="18"/>
        </w:numPr>
        <w:jc w:val="left"/>
      </w:pPr>
      <w:r>
        <w:t>Art. </w:t>
      </w:r>
      <w:r w:rsidR="00B74DE5">
        <w:t xml:space="preserve">27 </w:t>
      </w:r>
      <w:r>
        <w:t>Abs. </w:t>
      </w:r>
      <w:r w:rsidR="00B74DE5">
        <w:t xml:space="preserve">4 S. 4 </w:t>
      </w:r>
      <w:r w:rsidR="00B74DE5" w:rsidRPr="005F5895">
        <w:t>BayKrG</w:t>
      </w:r>
    </w:p>
    <w:p w14:paraId="6EF37115" w14:textId="139BDE3C" w:rsidR="00B74DE5" w:rsidRDefault="005F5895" w:rsidP="00ED6DE3">
      <w:pPr>
        <w:pStyle w:val="Listenabsatz"/>
        <w:numPr>
          <w:ilvl w:val="0"/>
          <w:numId w:val="18"/>
        </w:numPr>
        <w:jc w:val="left"/>
      </w:pPr>
      <w:r>
        <w:t>§ </w:t>
      </w:r>
      <w:r w:rsidR="00B74DE5">
        <w:t xml:space="preserve">24 </w:t>
      </w:r>
      <w:r>
        <w:t>Abs. </w:t>
      </w:r>
      <w:r w:rsidR="00B74DE5">
        <w:t xml:space="preserve">4 </w:t>
      </w:r>
      <w:r w:rsidRPr="005F5895">
        <w:t>Ziff. </w:t>
      </w:r>
      <w:r w:rsidR="00B74DE5">
        <w:t xml:space="preserve">3 </w:t>
      </w:r>
      <w:r w:rsidR="00B74DE5" w:rsidRPr="005F5895">
        <w:t>LKG</w:t>
      </w:r>
      <w:r w:rsidR="00B74DE5">
        <w:t xml:space="preserve"> Berlin</w:t>
      </w:r>
    </w:p>
    <w:p w14:paraId="5E71D083" w14:textId="439474F7" w:rsidR="00ED6DE3" w:rsidRDefault="005F5895" w:rsidP="00ED6DE3">
      <w:pPr>
        <w:pStyle w:val="Listenabsatz"/>
        <w:numPr>
          <w:ilvl w:val="0"/>
          <w:numId w:val="18"/>
        </w:numPr>
        <w:jc w:val="left"/>
      </w:pPr>
      <w:r>
        <w:t>§ </w:t>
      </w:r>
      <w:r w:rsidR="00ED6DE3">
        <w:t xml:space="preserve">28 </w:t>
      </w:r>
      <w:r>
        <w:t>Abs. </w:t>
      </w:r>
      <w:r w:rsidR="00ED6DE3">
        <w:t xml:space="preserve">1 </w:t>
      </w:r>
      <w:r w:rsidRPr="005F5895">
        <w:t>Ziff. </w:t>
      </w:r>
      <w:r w:rsidR="00ED6DE3">
        <w:t xml:space="preserve">2 </w:t>
      </w:r>
      <w:r w:rsidR="00ED6DE3" w:rsidRPr="005F5895">
        <w:t>BbgKHEG</w:t>
      </w:r>
    </w:p>
    <w:p w14:paraId="2F9B3701" w14:textId="18524EF0" w:rsidR="00F3228A" w:rsidRDefault="005F5895" w:rsidP="00F3228A">
      <w:pPr>
        <w:pStyle w:val="Listenabsatz"/>
        <w:numPr>
          <w:ilvl w:val="0"/>
          <w:numId w:val="18"/>
        </w:numPr>
        <w:jc w:val="left"/>
      </w:pPr>
      <w:r>
        <w:t>§ </w:t>
      </w:r>
      <w:r w:rsidR="00F3228A">
        <w:t xml:space="preserve">38 </w:t>
      </w:r>
      <w:r>
        <w:t>Abs. </w:t>
      </w:r>
      <w:r w:rsidR="00F3228A">
        <w:t xml:space="preserve">1 </w:t>
      </w:r>
      <w:r w:rsidRPr="005F5895">
        <w:t>Ziff. </w:t>
      </w:r>
      <w:r w:rsidR="00F3228A">
        <w:t xml:space="preserve">6 </w:t>
      </w:r>
      <w:r w:rsidR="00F3228A" w:rsidRPr="005F5895">
        <w:t>BremKrhG</w:t>
      </w:r>
    </w:p>
    <w:p w14:paraId="1E1ADF5E" w14:textId="7C0269EC" w:rsidR="00F3228A" w:rsidRDefault="005F5895" w:rsidP="00F3228A">
      <w:pPr>
        <w:pStyle w:val="Listenabsatz"/>
        <w:numPr>
          <w:ilvl w:val="0"/>
          <w:numId w:val="18"/>
        </w:numPr>
        <w:jc w:val="left"/>
      </w:pPr>
      <w:r>
        <w:t>§ </w:t>
      </w:r>
      <w:r w:rsidR="00F3228A">
        <w:t xml:space="preserve">10 </w:t>
      </w:r>
      <w:r>
        <w:t>Abs. </w:t>
      </w:r>
      <w:r w:rsidR="00F3228A">
        <w:t xml:space="preserve">1 </w:t>
      </w:r>
      <w:r w:rsidRPr="005F5895">
        <w:t>Ziff. </w:t>
      </w:r>
      <w:r w:rsidR="00F3228A">
        <w:t xml:space="preserve">4 </w:t>
      </w:r>
      <w:r w:rsidR="00F3228A" w:rsidRPr="005F5895">
        <w:t>HmbKHG</w:t>
      </w:r>
      <w:r w:rsidR="00F3228A">
        <w:br/>
      </w:r>
      <w:r>
        <w:t>§ </w:t>
      </w:r>
      <w:r w:rsidR="00F3228A">
        <w:t xml:space="preserve">11 </w:t>
      </w:r>
      <w:r>
        <w:t>Abs. </w:t>
      </w:r>
      <w:r w:rsidR="00F3228A">
        <w:t xml:space="preserve">1 </w:t>
      </w:r>
      <w:r w:rsidRPr="005F5895">
        <w:t>Ziff. </w:t>
      </w:r>
      <w:r w:rsidR="00F3228A">
        <w:t xml:space="preserve">8 </w:t>
      </w:r>
      <w:r w:rsidR="00F3228A" w:rsidRPr="005F5895">
        <w:t>HmbKHG</w:t>
      </w:r>
      <w:r w:rsidR="00F3228A">
        <w:t xml:space="preserve"> Übermittlung zu Zwecken der</w:t>
      </w:r>
      <w:r w:rsidR="00F3228A" w:rsidRPr="00F3228A">
        <w:t xml:space="preserve"> Rechnungs-, Krankenhausentgelt- und Pflegesatzprüfung</w:t>
      </w:r>
      <w:r w:rsidR="00F3228A">
        <w:br/>
      </w:r>
      <w:r>
        <w:t>§ </w:t>
      </w:r>
      <w:r w:rsidR="00F3228A">
        <w:t xml:space="preserve">11 </w:t>
      </w:r>
      <w:r>
        <w:t>Abs. </w:t>
      </w:r>
      <w:r w:rsidR="00F3228A">
        <w:t xml:space="preserve">1 </w:t>
      </w:r>
      <w:r w:rsidRPr="005F5895">
        <w:t>Ziff. </w:t>
      </w:r>
      <w:r w:rsidR="00F3228A">
        <w:t xml:space="preserve">5 </w:t>
      </w:r>
      <w:r w:rsidR="00F3228A" w:rsidRPr="005F5895">
        <w:t>HmbKHG</w:t>
      </w:r>
      <w:r w:rsidR="00F3228A">
        <w:t xml:space="preserve"> Übermittlung </w:t>
      </w:r>
      <w:r w:rsidR="00F3228A" w:rsidRPr="00F3228A">
        <w:t xml:space="preserve">zur Abwehr von Ansprüchen oder Verfolgung von Straftaten oder Ordnungswidrigkeiten, die gegen das Krankenhaus oder seine Mitarbeiterinnen und Mitarbeiter gerichtet </w:t>
      </w:r>
      <w:r w:rsidR="00F3228A" w:rsidRPr="005F5895">
        <w:t>sind</w:t>
      </w:r>
    </w:p>
    <w:p w14:paraId="66191DF0" w14:textId="2264B041" w:rsidR="00C039C3" w:rsidRDefault="005F5895" w:rsidP="00C039C3">
      <w:pPr>
        <w:pStyle w:val="Listenabsatz"/>
        <w:numPr>
          <w:ilvl w:val="0"/>
          <w:numId w:val="18"/>
        </w:numPr>
        <w:jc w:val="left"/>
      </w:pPr>
      <w:r>
        <w:t>§ </w:t>
      </w:r>
      <w:r w:rsidR="00C039C3">
        <w:t xml:space="preserve">34 </w:t>
      </w:r>
      <w:r>
        <w:t>Abs. </w:t>
      </w:r>
      <w:r w:rsidR="00C039C3">
        <w:t xml:space="preserve">1 </w:t>
      </w:r>
      <w:r w:rsidRPr="005F5895">
        <w:t>Ziff. </w:t>
      </w:r>
      <w:r w:rsidR="00C039C3">
        <w:t xml:space="preserve">1, 6 </w:t>
      </w:r>
      <w:r w:rsidR="00C039C3" w:rsidRPr="00C039C3">
        <w:t>LKHG M-V</w:t>
      </w:r>
    </w:p>
    <w:p w14:paraId="73172BAF" w14:textId="0016A3CE" w:rsidR="00C039C3" w:rsidRDefault="005F5895" w:rsidP="00C039C3">
      <w:pPr>
        <w:pStyle w:val="Listenabsatz"/>
        <w:numPr>
          <w:ilvl w:val="0"/>
          <w:numId w:val="18"/>
        </w:numPr>
        <w:jc w:val="left"/>
      </w:pPr>
      <w:r>
        <w:t>§ </w:t>
      </w:r>
      <w:r w:rsidR="00C039C3">
        <w:t xml:space="preserve">10 </w:t>
      </w:r>
      <w:r>
        <w:t>Abs. </w:t>
      </w:r>
      <w:r w:rsidR="00C039C3">
        <w:t xml:space="preserve">1 </w:t>
      </w:r>
      <w:r>
        <w:t>Buchst. </w:t>
      </w:r>
      <w:r w:rsidR="00C039C3">
        <w:t xml:space="preserve">a </w:t>
      </w:r>
      <w:r w:rsidR="00C039C3" w:rsidRPr="005F5895">
        <w:t>GDSG</w:t>
      </w:r>
      <w:r w:rsidR="00C039C3">
        <w:t xml:space="preserve"> </w:t>
      </w:r>
      <w:r w:rsidR="00C039C3" w:rsidRPr="005F5895">
        <w:t>NW</w:t>
      </w:r>
      <w:r w:rsidR="00C039C3">
        <w:br/>
      </w:r>
      <w:r>
        <w:t>§ </w:t>
      </w:r>
      <w:r w:rsidR="00C039C3">
        <w:t xml:space="preserve">11 </w:t>
      </w:r>
      <w:r>
        <w:t>Abs. </w:t>
      </w:r>
      <w:r w:rsidR="00C039C3">
        <w:t xml:space="preserve">1 </w:t>
      </w:r>
      <w:r>
        <w:t>Buchst. </w:t>
      </w:r>
      <w:r w:rsidR="00C039C3">
        <w:t xml:space="preserve">d, e </w:t>
      </w:r>
      <w:r w:rsidR="00C039C3" w:rsidRPr="005F5895">
        <w:t>GDSG</w:t>
      </w:r>
      <w:r w:rsidR="00C039C3">
        <w:t xml:space="preserve"> </w:t>
      </w:r>
      <w:r w:rsidR="00C039C3" w:rsidRPr="005F5895">
        <w:t>NW</w:t>
      </w:r>
      <w:r w:rsidR="00C039C3">
        <w:t xml:space="preserve"> bzgl. Übermittlung</w:t>
      </w:r>
    </w:p>
    <w:p w14:paraId="19A02FAA" w14:textId="4C022B24" w:rsidR="004F6D36" w:rsidRDefault="005F5895" w:rsidP="004F6D36">
      <w:pPr>
        <w:pStyle w:val="Listenabsatz"/>
        <w:numPr>
          <w:ilvl w:val="0"/>
          <w:numId w:val="18"/>
        </w:numPr>
        <w:jc w:val="left"/>
      </w:pPr>
      <w:r>
        <w:t>§ </w:t>
      </w:r>
      <w:r w:rsidR="004F6D36">
        <w:t xml:space="preserve">13 </w:t>
      </w:r>
      <w:r>
        <w:t>Abs. </w:t>
      </w:r>
      <w:r w:rsidR="004F6D36">
        <w:t xml:space="preserve">2 </w:t>
      </w:r>
      <w:r w:rsidR="004F6D36" w:rsidRPr="005F5895">
        <w:t>SKHG</w:t>
      </w:r>
      <w:r w:rsidR="004F6D36">
        <w:br/>
      </w:r>
      <w:r>
        <w:t>§ </w:t>
      </w:r>
      <w:r w:rsidR="004F6D36">
        <w:t xml:space="preserve">13 </w:t>
      </w:r>
      <w:r>
        <w:t>Abs. </w:t>
      </w:r>
      <w:r w:rsidR="004F6D36">
        <w:t xml:space="preserve">4 </w:t>
      </w:r>
      <w:r w:rsidRPr="005F5895">
        <w:t>Ziff. </w:t>
      </w:r>
      <w:r w:rsidR="004F6D36">
        <w:t xml:space="preserve">8 </w:t>
      </w:r>
      <w:r w:rsidR="004F6D36" w:rsidRPr="005F5895">
        <w:t>SKHG</w:t>
      </w:r>
      <w:r w:rsidR="004F6D36">
        <w:t xml:space="preserve"> Übermittlung zur Rechnungsprüfung</w:t>
      </w:r>
    </w:p>
    <w:p w14:paraId="7A2CBCC7" w14:textId="02B0CF76" w:rsidR="004F6D36" w:rsidRDefault="005F5895" w:rsidP="004F6D36">
      <w:pPr>
        <w:pStyle w:val="Listenabsatz"/>
        <w:numPr>
          <w:ilvl w:val="0"/>
          <w:numId w:val="18"/>
        </w:numPr>
        <w:jc w:val="left"/>
      </w:pPr>
      <w:r>
        <w:t>§ </w:t>
      </w:r>
      <w:r w:rsidR="004F6D36">
        <w:t xml:space="preserve">28 </w:t>
      </w:r>
      <w:r>
        <w:t>Abs. </w:t>
      </w:r>
      <w:r w:rsidR="004F6D36">
        <w:t xml:space="preserve">4 </w:t>
      </w:r>
      <w:r w:rsidRPr="005F5895">
        <w:t>Ziff. </w:t>
      </w:r>
      <w:r w:rsidR="004F6D36">
        <w:t xml:space="preserve">7 </w:t>
      </w:r>
      <w:r w:rsidR="004F6D36" w:rsidRPr="005F5895">
        <w:t>SächsKHG</w:t>
      </w:r>
      <w:r w:rsidR="004F6D36">
        <w:t xml:space="preserve"> bzgl. Übermittlung zu Abrechnungszwecken</w:t>
      </w:r>
    </w:p>
    <w:p w14:paraId="26640816" w14:textId="0D696D40" w:rsidR="004F6D36" w:rsidRDefault="005F5895" w:rsidP="004F6D36">
      <w:pPr>
        <w:pStyle w:val="Listenabsatz"/>
        <w:numPr>
          <w:ilvl w:val="0"/>
          <w:numId w:val="18"/>
        </w:numPr>
        <w:jc w:val="left"/>
      </w:pPr>
      <w:r>
        <w:t>§ </w:t>
      </w:r>
      <w:r w:rsidR="004F6D36">
        <w:t xml:space="preserve">16 </w:t>
      </w:r>
      <w:r>
        <w:t>Abs. </w:t>
      </w:r>
      <w:r w:rsidR="004F6D36">
        <w:t xml:space="preserve">3 </w:t>
      </w:r>
      <w:r w:rsidRPr="005F5895">
        <w:t>Ziff. </w:t>
      </w:r>
      <w:r w:rsidR="004F6D36">
        <w:t xml:space="preserve">1, 3, 10 </w:t>
      </w:r>
      <w:r w:rsidR="004F6D36" w:rsidRPr="004F6D36">
        <w:t xml:space="preserve">KHG </w:t>
      </w:r>
      <w:r w:rsidR="004F6D36" w:rsidRPr="005F5895">
        <w:t>LSA</w:t>
      </w:r>
    </w:p>
    <w:p w14:paraId="59E56750" w14:textId="73C4ADFC"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7 </w:t>
      </w:r>
      <w:r w:rsidR="00E343E3" w:rsidRPr="00E343E3">
        <w:t>LKHG</w:t>
      </w:r>
      <w:r w:rsidR="00E343E3">
        <w:t xml:space="preserve"> </w:t>
      </w:r>
      <w:r w:rsidR="00E343E3" w:rsidRPr="00E343E3">
        <w:t>Schleswig-Holstein</w:t>
      </w:r>
    </w:p>
    <w:p w14:paraId="50B93C35" w14:textId="32BC9765" w:rsidR="00E343E3" w:rsidRDefault="005F5895" w:rsidP="00ED6DE3">
      <w:pPr>
        <w:pStyle w:val="Listenabsatz"/>
        <w:numPr>
          <w:ilvl w:val="0"/>
          <w:numId w:val="18"/>
        </w:numPr>
        <w:jc w:val="left"/>
      </w:pPr>
      <w:r>
        <w:t>§ </w:t>
      </w:r>
      <w:r w:rsidR="004F6D36" w:rsidRPr="004F6D36">
        <w:t xml:space="preserve">27 </w:t>
      </w:r>
      <w:r>
        <w:t>Abs. </w:t>
      </w:r>
      <w:r w:rsidR="004F6D36">
        <w:t>5</w:t>
      </w:r>
      <w:r w:rsidR="004F6D36" w:rsidRPr="004F6D36">
        <w:t xml:space="preserve"> </w:t>
      </w:r>
      <w:r w:rsidR="004F6D36" w:rsidRPr="005F5895">
        <w:t>ThürKHG</w:t>
      </w:r>
    </w:p>
    <w:p w14:paraId="6D47966B" w14:textId="5E03E726" w:rsidR="00E343E3" w:rsidRDefault="00E343E3" w:rsidP="00E343E3">
      <w:pPr>
        <w:spacing w:after="0"/>
      </w:pPr>
      <w:r>
        <w:t xml:space="preserve">Sofern dies auf </w:t>
      </w:r>
      <w:r w:rsidR="00303763">
        <w:t xml:space="preserve">die </w:t>
      </w:r>
      <w:r>
        <w:t>erforderliche Verarbeitung begrenzt ist, findet dies</w:t>
      </w:r>
      <w:r w:rsidR="00303763">
        <w:t>e Regelungen ihre</w:t>
      </w:r>
      <w:r>
        <w:t xml:space="preserve"> Entsprechung in </w:t>
      </w:r>
      <w:r w:rsidR="005F5895">
        <w:t>Art. </w:t>
      </w:r>
      <w:r>
        <w:t xml:space="preserve">9 </w:t>
      </w:r>
      <w:r w:rsidR="005F5895">
        <w:t>Abs. </w:t>
      </w:r>
      <w:r>
        <w:t xml:space="preserve">2 </w:t>
      </w:r>
      <w:r w:rsidR="005F5895">
        <w:t>lit. </w:t>
      </w:r>
      <w:r>
        <w:t xml:space="preserve">f DS-GVO, denn die </w:t>
      </w:r>
      <w:r w:rsidR="00303763">
        <w:t>Ab</w:t>
      </w:r>
      <w:r>
        <w:t xml:space="preserve">rechnung erbrachter Gesundheitsleistungen </w:t>
      </w:r>
      <w:r w:rsidR="00562420">
        <w:t>wie auch d</w:t>
      </w:r>
      <w:r w:rsidR="00D71A87">
        <w:t>i</w:t>
      </w:r>
      <w:r w:rsidR="00562420">
        <w:t xml:space="preserve">e </w:t>
      </w:r>
      <w:r w:rsidR="00562420" w:rsidRPr="00562420">
        <w:t>Überprüfung</w:t>
      </w:r>
      <w:r w:rsidR="00562420">
        <w:t xml:space="preserve"> dieser Abrechnungen </w:t>
      </w:r>
      <w:r>
        <w:t xml:space="preserve">ist Bestandteil der </w:t>
      </w:r>
      <w:r w:rsidRPr="00E343E3">
        <w:t>Geltendmachung, Ausübung oder Verteidigung von Rechtsansprüche</w:t>
      </w:r>
      <w:r>
        <w:t>n.</w:t>
      </w:r>
      <w:r w:rsidR="004C7733">
        <w:t xml:space="preserve"> </w:t>
      </w:r>
      <w:r w:rsidR="004C7733" w:rsidRPr="004C7733">
        <w:t xml:space="preserve">Bzgl. Rechtfertigungstatbestand </w:t>
      </w:r>
      <w:r w:rsidR="004C7733">
        <w:t>aus</w:t>
      </w:r>
      <w:r w:rsidR="004C7733" w:rsidRPr="004C7733">
        <w:t xml:space="preserve"> Art. 6 DS-GVO wird auf Kap. </w:t>
      </w:r>
      <w:r w:rsidR="004C7733">
        <w:fldChar w:fldCharType="begin"/>
      </w:r>
      <w:r w:rsidR="004C7733">
        <w:instrText xml:space="preserve"> REF _Ref166138702 \r \h </w:instrText>
      </w:r>
      <w:r w:rsidR="004C7733">
        <w:fldChar w:fldCharType="separate"/>
      </w:r>
      <w:r w:rsidR="00F43608">
        <w:t>5.6</w:t>
      </w:r>
      <w:r w:rsidR="004C7733">
        <w:fldChar w:fldCharType="end"/>
      </w:r>
      <w:r w:rsidR="004C7733">
        <w:t xml:space="preserve"> </w:t>
      </w:r>
      <w:r w:rsidR="004C7733" w:rsidRPr="004C7733">
        <w:t>verwi</w:t>
      </w:r>
      <w:r w:rsidR="004C7733">
        <w:t>e</w:t>
      </w:r>
      <w:r w:rsidR="004C7733" w:rsidRPr="004C7733">
        <w:t>sen</w:t>
      </w:r>
      <w:r w:rsidR="004C7733">
        <w:t>.</w:t>
      </w:r>
    </w:p>
    <w:p w14:paraId="76F46D2F" w14:textId="54508979" w:rsidR="00B74DE5" w:rsidRDefault="00B74DE5" w:rsidP="00C626A9">
      <w:pPr>
        <w:pStyle w:val="berschrift4"/>
      </w:pPr>
      <w:bookmarkStart w:id="185" w:name="_Ref169680525"/>
      <w:bookmarkStart w:id="186" w:name="_Ref169680526"/>
      <w:bookmarkStart w:id="187" w:name="_Toc169934843"/>
      <w:r>
        <w:t>Zwecke der Qualitätssicherung</w:t>
      </w:r>
      <w:bookmarkEnd w:id="185"/>
      <w:bookmarkEnd w:id="186"/>
      <w:bookmarkEnd w:id="187"/>
    </w:p>
    <w:p w14:paraId="05240361" w14:textId="6B4532F4" w:rsidR="00B74DE5" w:rsidRDefault="00B74DE5" w:rsidP="00B74DE5">
      <w:pPr>
        <w:spacing w:after="0"/>
      </w:pPr>
      <w:r>
        <w:t xml:space="preserve">Die meisten Landeskrankenhausgesetze enthalten für die Krankenhausbetreiber die </w:t>
      </w:r>
      <w:r w:rsidRPr="005F5895">
        <w:t>Befugnis</w:t>
      </w:r>
      <w:r>
        <w:t xml:space="preserve"> die Patientendaten zu Zwecken der Qualitätssicherung zu nutzen:</w:t>
      </w:r>
    </w:p>
    <w:p w14:paraId="27FAB29B" w14:textId="6887610D" w:rsidR="00B74DE5" w:rsidRDefault="005F5895" w:rsidP="00ED6DE3">
      <w:pPr>
        <w:pStyle w:val="Listenabsatz"/>
        <w:numPr>
          <w:ilvl w:val="0"/>
          <w:numId w:val="18"/>
        </w:numPr>
        <w:jc w:val="left"/>
      </w:pPr>
      <w:r>
        <w:t>§ </w:t>
      </w:r>
      <w:r w:rsidR="00B74DE5">
        <w:t xml:space="preserve">45 </w:t>
      </w:r>
      <w:r>
        <w:t>Abs. </w:t>
      </w:r>
      <w:r w:rsidR="00B74DE5">
        <w:t xml:space="preserve">3 </w:t>
      </w:r>
      <w:r w:rsidRPr="005F5895">
        <w:t>Ziff. </w:t>
      </w:r>
      <w:r w:rsidR="00B74DE5">
        <w:t xml:space="preserve">1 LKHG </w:t>
      </w:r>
      <w:r w:rsidR="00B74DE5" w:rsidRPr="00B74DE5">
        <w:t>Baden-Württemberg</w:t>
      </w:r>
      <w:r w:rsidR="00B74DE5">
        <w:br/>
      </w:r>
      <w:r>
        <w:t>§ </w:t>
      </w:r>
      <w:r w:rsidR="00B74DE5">
        <w:t xml:space="preserve">46 </w:t>
      </w:r>
      <w:r>
        <w:t>Abs. </w:t>
      </w:r>
      <w:r w:rsidR="00B74DE5">
        <w:t xml:space="preserve">1 </w:t>
      </w:r>
      <w:r w:rsidRPr="005F5895">
        <w:t>Ziff. </w:t>
      </w:r>
      <w:r w:rsidR="00B74DE5">
        <w:t xml:space="preserve">2 LKHG </w:t>
      </w:r>
      <w:r w:rsidR="00B74DE5" w:rsidRPr="00B74DE5">
        <w:t>Baden-Württemberg</w:t>
      </w:r>
      <w:r w:rsidR="00B74DE5">
        <w:t xml:space="preserve"> bzgl. Übermittlung an externe Stellen</w:t>
      </w:r>
    </w:p>
    <w:p w14:paraId="09852E55" w14:textId="09DD1B02" w:rsidR="00B74DE5" w:rsidRDefault="005F5895" w:rsidP="00ED6DE3">
      <w:pPr>
        <w:pStyle w:val="Listenabsatz"/>
        <w:numPr>
          <w:ilvl w:val="0"/>
          <w:numId w:val="18"/>
        </w:numPr>
        <w:jc w:val="left"/>
      </w:pPr>
      <w:r>
        <w:t>§ </w:t>
      </w:r>
      <w:r w:rsidR="00B74DE5">
        <w:t xml:space="preserve">24 </w:t>
      </w:r>
      <w:r>
        <w:t>Abs. </w:t>
      </w:r>
      <w:r w:rsidR="00B74DE5">
        <w:t xml:space="preserve">4 </w:t>
      </w:r>
      <w:r w:rsidRPr="005F5895">
        <w:t>Ziff. </w:t>
      </w:r>
      <w:r w:rsidR="00B74DE5">
        <w:t xml:space="preserve">4 </w:t>
      </w:r>
      <w:r w:rsidR="00B74DE5" w:rsidRPr="005F5895">
        <w:t>LKG</w:t>
      </w:r>
      <w:r w:rsidR="00B74DE5">
        <w:t xml:space="preserve"> Berlin</w:t>
      </w:r>
    </w:p>
    <w:p w14:paraId="7DFE0975" w14:textId="47754607" w:rsidR="00ED6DE3" w:rsidRDefault="005F5895" w:rsidP="00ED6DE3">
      <w:pPr>
        <w:pStyle w:val="Listenabsatz"/>
        <w:numPr>
          <w:ilvl w:val="0"/>
          <w:numId w:val="18"/>
        </w:numPr>
        <w:jc w:val="left"/>
      </w:pPr>
      <w:r>
        <w:t>§ </w:t>
      </w:r>
      <w:r w:rsidR="00ED6DE3">
        <w:t xml:space="preserve">28 </w:t>
      </w:r>
      <w:r>
        <w:t>Abs. </w:t>
      </w:r>
      <w:r w:rsidR="00ED6DE3">
        <w:t xml:space="preserve">2 </w:t>
      </w:r>
      <w:r w:rsidRPr="005F5895">
        <w:t>Ziff. </w:t>
      </w:r>
      <w:r w:rsidR="00ED6DE3">
        <w:t xml:space="preserve">1 </w:t>
      </w:r>
      <w:r w:rsidR="00ED6DE3" w:rsidRPr="005F5895">
        <w:t>BbgKHEG</w:t>
      </w:r>
      <w:r w:rsidR="00ED6DE3">
        <w:br/>
      </w:r>
      <w:r>
        <w:t>§ </w:t>
      </w:r>
      <w:r w:rsidR="00ED6DE3">
        <w:t xml:space="preserve">29 </w:t>
      </w:r>
      <w:r w:rsidRPr="005F5895">
        <w:t>Ziff. </w:t>
      </w:r>
      <w:r w:rsidR="00ED6DE3">
        <w:t xml:space="preserve">2 </w:t>
      </w:r>
      <w:r w:rsidR="00ED6DE3" w:rsidRPr="005F5895">
        <w:t>BbgKHEG</w:t>
      </w:r>
      <w:r w:rsidR="00ED6DE3">
        <w:t xml:space="preserve"> für Übermittlung an externe </w:t>
      </w:r>
      <w:r w:rsidR="00D71A87">
        <w:t>S</w:t>
      </w:r>
      <w:r w:rsidR="00ED6DE3" w:rsidRPr="005F5895">
        <w:t>tellen</w:t>
      </w:r>
    </w:p>
    <w:p w14:paraId="21F045E5" w14:textId="5DA3F204" w:rsidR="00F3228A" w:rsidRDefault="005F5895" w:rsidP="00F3228A">
      <w:pPr>
        <w:pStyle w:val="Listenabsatz"/>
        <w:numPr>
          <w:ilvl w:val="0"/>
          <w:numId w:val="18"/>
        </w:numPr>
        <w:jc w:val="left"/>
      </w:pPr>
      <w:r>
        <w:t>§ </w:t>
      </w:r>
      <w:r w:rsidR="00F3228A">
        <w:t xml:space="preserve">38 </w:t>
      </w:r>
      <w:r>
        <w:t>Abs. </w:t>
      </w:r>
      <w:r w:rsidR="00F3228A">
        <w:t xml:space="preserve">1 </w:t>
      </w:r>
      <w:r w:rsidRPr="005F5895">
        <w:t>Ziff. </w:t>
      </w:r>
      <w:r w:rsidR="00F3228A">
        <w:t xml:space="preserve">5 </w:t>
      </w:r>
      <w:r w:rsidR="00F3228A" w:rsidRPr="005F5895">
        <w:t>BremKrhG</w:t>
      </w:r>
      <w:r w:rsidR="00F3228A">
        <w:br/>
      </w:r>
      <w:r>
        <w:t>§ </w:t>
      </w:r>
      <w:r w:rsidR="00F3228A">
        <w:t xml:space="preserve">40 </w:t>
      </w:r>
      <w:r>
        <w:t>Abs. </w:t>
      </w:r>
      <w:r w:rsidR="00F3228A">
        <w:t xml:space="preserve">1 </w:t>
      </w:r>
      <w:r w:rsidRPr="005F5895">
        <w:t>Ziff. </w:t>
      </w:r>
      <w:r w:rsidR="00F3228A">
        <w:t xml:space="preserve">8 </w:t>
      </w:r>
      <w:r w:rsidR="00F3228A" w:rsidRPr="005F5895">
        <w:t>BremKrhG</w:t>
      </w:r>
      <w:r w:rsidR="00F3228A">
        <w:t xml:space="preserve"> bzgl. Übermittlung an externe Stellen</w:t>
      </w:r>
    </w:p>
    <w:p w14:paraId="33E35785" w14:textId="0C58AD72" w:rsidR="00F3228A" w:rsidRDefault="005F5895" w:rsidP="00F3228A">
      <w:pPr>
        <w:pStyle w:val="Listenabsatz"/>
        <w:numPr>
          <w:ilvl w:val="0"/>
          <w:numId w:val="18"/>
        </w:numPr>
        <w:jc w:val="left"/>
      </w:pPr>
      <w:r>
        <w:t>§ </w:t>
      </w:r>
      <w:r w:rsidR="00F3228A">
        <w:t xml:space="preserve">10 </w:t>
      </w:r>
      <w:r>
        <w:t>Abs. </w:t>
      </w:r>
      <w:r w:rsidR="00F3228A">
        <w:t xml:space="preserve">1 </w:t>
      </w:r>
      <w:r w:rsidRPr="005F5895">
        <w:t>Ziff. </w:t>
      </w:r>
      <w:r w:rsidR="00F3228A">
        <w:t xml:space="preserve">7 </w:t>
      </w:r>
      <w:r w:rsidR="00F3228A" w:rsidRPr="005F5895">
        <w:t>HmbKHG</w:t>
      </w:r>
    </w:p>
    <w:p w14:paraId="634E820D" w14:textId="1EB2E65D" w:rsidR="00C039C3" w:rsidRDefault="005F5895" w:rsidP="00C039C3">
      <w:pPr>
        <w:pStyle w:val="Listenabsatz"/>
        <w:numPr>
          <w:ilvl w:val="0"/>
          <w:numId w:val="18"/>
        </w:numPr>
        <w:jc w:val="left"/>
      </w:pPr>
      <w:r>
        <w:t>§ </w:t>
      </w:r>
      <w:r w:rsidR="00C039C3">
        <w:t xml:space="preserve">12 </w:t>
      </w:r>
      <w:r>
        <w:t>Abs. </w:t>
      </w:r>
      <w:r w:rsidR="00C039C3">
        <w:t xml:space="preserve">2 </w:t>
      </w:r>
      <w:r w:rsidRPr="005F5895">
        <w:t>Ziff. </w:t>
      </w:r>
      <w:r w:rsidR="00C039C3">
        <w:t xml:space="preserve">7 </w:t>
      </w:r>
      <w:r w:rsidR="00C039C3" w:rsidRPr="005F5895">
        <w:t>HKHG</w:t>
      </w:r>
      <w:r w:rsidR="00C039C3" w:rsidRPr="00C039C3">
        <w:t xml:space="preserve"> 2011</w:t>
      </w:r>
      <w:r w:rsidR="00C039C3">
        <w:t>, Übermittlung an externe Stellen</w:t>
      </w:r>
    </w:p>
    <w:p w14:paraId="77EA237C" w14:textId="30BEE310" w:rsidR="00C039C3" w:rsidRDefault="005F5895" w:rsidP="00C039C3">
      <w:pPr>
        <w:pStyle w:val="Listenabsatz"/>
        <w:numPr>
          <w:ilvl w:val="0"/>
          <w:numId w:val="18"/>
        </w:numPr>
        <w:jc w:val="left"/>
      </w:pPr>
      <w:r>
        <w:t>§ </w:t>
      </w:r>
      <w:r w:rsidR="00C039C3">
        <w:t xml:space="preserve">34 </w:t>
      </w:r>
      <w:r>
        <w:t>Abs. </w:t>
      </w:r>
      <w:r w:rsidR="00C039C3">
        <w:t xml:space="preserve">1 </w:t>
      </w:r>
      <w:r w:rsidRPr="005F5895">
        <w:t>Ziff. </w:t>
      </w:r>
      <w:r w:rsidR="00C039C3">
        <w:t xml:space="preserve">1 </w:t>
      </w:r>
      <w:r w:rsidR="00C039C3" w:rsidRPr="00C039C3">
        <w:t>LKHG M-V</w:t>
      </w:r>
    </w:p>
    <w:p w14:paraId="3D5EFCAC" w14:textId="43C5F33C" w:rsidR="00C039C3" w:rsidRDefault="005F5895" w:rsidP="00C039C3">
      <w:pPr>
        <w:pStyle w:val="Listenabsatz"/>
        <w:numPr>
          <w:ilvl w:val="0"/>
          <w:numId w:val="18"/>
        </w:numPr>
        <w:jc w:val="left"/>
      </w:pPr>
      <w:r>
        <w:t>§ </w:t>
      </w:r>
      <w:r w:rsidR="00C039C3">
        <w:t xml:space="preserve">11 </w:t>
      </w:r>
      <w:r>
        <w:t>Abs. </w:t>
      </w:r>
      <w:r w:rsidR="00C039C3">
        <w:t xml:space="preserve">2 </w:t>
      </w:r>
      <w:r w:rsidR="00C039C3" w:rsidRPr="005F5895">
        <w:t>GDSG</w:t>
      </w:r>
      <w:r w:rsidR="00C039C3">
        <w:t xml:space="preserve"> </w:t>
      </w:r>
      <w:r w:rsidR="00C039C3" w:rsidRPr="005F5895">
        <w:t>NW</w:t>
      </w:r>
    </w:p>
    <w:p w14:paraId="783FC9C4" w14:textId="5B64F75D" w:rsidR="00C039C3" w:rsidRDefault="005F5895" w:rsidP="00C039C3">
      <w:pPr>
        <w:pStyle w:val="Listenabsatz"/>
        <w:numPr>
          <w:ilvl w:val="0"/>
          <w:numId w:val="18"/>
        </w:numPr>
        <w:jc w:val="left"/>
      </w:pPr>
      <w:r>
        <w:t>§ </w:t>
      </w:r>
      <w:r w:rsidR="00C039C3">
        <w:t xml:space="preserve">36 </w:t>
      </w:r>
      <w:r>
        <w:t>Abs. </w:t>
      </w:r>
      <w:r w:rsidR="00C039C3">
        <w:t xml:space="preserve">2 </w:t>
      </w:r>
      <w:r w:rsidRPr="005F5895">
        <w:t>Ziff. </w:t>
      </w:r>
      <w:r w:rsidR="00C039C3">
        <w:t xml:space="preserve">2 </w:t>
      </w:r>
      <w:r w:rsidR="00C039C3" w:rsidRPr="005F5895">
        <w:t>LKG</w:t>
      </w:r>
      <w:r w:rsidR="00C039C3">
        <w:t xml:space="preserve"> RP</w:t>
      </w:r>
      <w:r w:rsidR="00C039C3">
        <w:br/>
      </w:r>
      <w:r>
        <w:t>§ </w:t>
      </w:r>
      <w:r w:rsidR="00C039C3">
        <w:t xml:space="preserve">36 </w:t>
      </w:r>
      <w:r>
        <w:t>Abs. </w:t>
      </w:r>
      <w:r w:rsidR="00C039C3">
        <w:t xml:space="preserve">3 </w:t>
      </w:r>
      <w:r w:rsidRPr="005F5895">
        <w:t>Ziff. </w:t>
      </w:r>
      <w:r w:rsidR="00C039C3">
        <w:t xml:space="preserve">4 </w:t>
      </w:r>
      <w:r w:rsidR="00C039C3" w:rsidRPr="005F5895">
        <w:t>LKG</w:t>
      </w:r>
      <w:r w:rsidR="00C039C3">
        <w:t xml:space="preserve"> RP bzgl. Übermittlung</w:t>
      </w:r>
    </w:p>
    <w:p w14:paraId="391E7CA8" w14:textId="0561FF44" w:rsidR="004F6D36" w:rsidRDefault="005F5895" w:rsidP="004F6D36">
      <w:pPr>
        <w:pStyle w:val="Listenabsatz"/>
        <w:numPr>
          <w:ilvl w:val="0"/>
          <w:numId w:val="18"/>
        </w:numPr>
        <w:jc w:val="left"/>
      </w:pPr>
      <w:r>
        <w:t>§ </w:t>
      </w:r>
      <w:r w:rsidR="004F6D36">
        <w:t xml:space="preserve">13 </w:t>
      </w:r>
      <w:r>
        <w:t>Abs. </w:t>
      </w:r>
      <w:r w:rsidR="004F6D36">
        <w:t xml:space="preserve">4 </w:t>
      </w:r>
      <w:r w:rsidRPr="005F5895">
        <w:t>Ziff. </w:t>
      </w:r>
      <w:r w:rsidR="004F6D36">
        <w:t xml:space="preserve">10 </w:t>
      </w:r>
      <w:r w:rsidR="004F6D36" w:rsidRPr="005F5895">
        <w:t>SKHG</w:t>
      </w:r>
      <w:r w:rsidR="004F6D36">
        <w:t xml:space="preserve"> Übermittlung </w:t>
      </w:r>
      <w:r w:rsidR="004F6D36" w:rsidRPr="004F6D36">
        <w:t>zur Qualitätssicherung in der stationären Versorgung,</w:t>
      </w:r>
    </w:p>
    <w:p w14:paraId="2888E594" w14:textId="2D98D410" w:rsidR="004F6D36" w:rsidRDefault="005F5895" w:rsidP="004F6D36">
      <w:pPr>
        <w:pStyle w:val="Listenabsatz"/>
        <w:numPr>
          <w:ilvl w:val="0"/>
          <w:numId w:val="18"/>
        </w:numPr>
        <w:jc w:val="left"/>
      </w:pPr>
      <w:r>
        <w:t>§ </w:t>
      </w:r>
      <w:r w:rsidR="004F6D36">
        <w:t xml:space="preserve">28 </w:t>
      </w:r>
      <w:r>
        <w:t>Abs. </w:t>
      </w:r>
      <w:r w:rsidR="004F6D36">
        <w:t xml:space="preserve">4 </w:t>
      </w:r>
      <w:r w:rsidRPr="005F5895">
        <w:t>Ziff. </w:t>
      </w:r>
      <w:r w:rsidR="004F6D36">
        <w:t xml:space="preserve">5 </w:t>
      </w:r>
      <w:r w:rsidR="004F6D36" w:rsidRPr="005F5895">
        <w:t>SächsKHG</w:t>
      </w:r>
      <w:r w:rsidR="004F6D36">
        <w:t xml:space="preserve"> bzgl. Übermittlung</w:t>
      </w:r>
    </w:p>
    <w:p w14:paraId="4DEA09A6" w14:textId="001C1463" w:rsidR="004F6D36" w:rsidRDefault="005F5895" w:rsidP="004F6D36">
      <w:pPr>
        <w:pStyle w:val="Listenabsatz"/>
        <w:numPr>
          <w:ilvl w:val="0"/>
          <w:numId w:val="18"/>
        </w:numPr>
        <w:jc w:val="left"/>
      </w:pPr>
      <w:r>
        <w:t>§ </w:t>
      </w:r>
      <w:r w:rsidR="004F6D36">
        <w:t xml:space="preserve">16 </w:t>
      </w:r>
      <w:r>
        <w:t>Abs. </w:t>
      </w:r>
      <w:r w:rsidR="004F6D36">
        <w:t xml:space="preserve">3 </w:t>
      </w:r>
      <w:r w:rsidRPr="005F5895">
        <w:t>Ziff. </w:t>
      </w:r>
      <w:r w:rsidR="004F6D36">
        <w:t xml:space="preserve">6 </w:t>
      </w:r>
      <w:r w:rsidR="004F6D36" w:rsidRPr="004F6D36">
        <w:t xml:space="preserve">KHG </w:t>
      </w:r>
      <w:r w:rsidR="004F6D36" w:rsidRPr="005F5895">
        <w:t>LSA</w:t>
      </w:r>
    </w:p>
    <w:p w14:paraId="13468F7E" w14:textId="4849CDF5" w:rsidR="00B74DE5" w:rsidRDefault="005F5895" w:rsidP="00ED6DE3">
      <w:pPr>
        <w:pStyle w:val="Listenabsatz"/>
        <w:numPr>
          <w:ilvl w:val="0"/>
          <w:numId w:val="18"/>
        </w:numPr>
        <w:jc w:val="left"/>
      </w:pPr>
      <w:r>
        <w:t>§ </w:t>
      </w:r>
      <w:r w:rsidR="00B74DE5">
        <w:t xml:space="preserve">36 </w:t>
      </w:r>
      <w:r>
        <w:t>Abs. </w:t>
      </w:r>
      <w:r w:rsidR="00B74DE5">
        <w:t xml:space="preserve">1 </w:t>
      </w:r>
      <w:r w:rsidRPr="005F5895">
        <w:t>Ziff. </w:t>
      </w:r>
      <w:r w:rsidR="00B74DE5">
        <w:t xml:space="preserve">10 </w:t>
      </w:r>
      <w:r w:rsidR="00B74DE5" w:rsidRPr="00E343E3">
        <w:t>LKHG</w:t>
      </w:r>
      <w:r w:rsidR="00B74DE5">
        <w:t xml:space="preserve"> </w:t>
      </w:r>
      <w:r w:rsidR="00B74DE5" w:rsidRPr="00E343E3">
        <w:t>Schleswig-Holstein</w:t>
      </w:r>
    </w:p>
    <w:p w14:paraId="776B4F21" w14:textId="067AF06F" w:rsidR="004F6D36" w:rsidRDefault="005F5895" w:rsidP="004F6D36">
      <w:pPr>
        <w:pStyle w:val="Listenabsatz"/>
        <w:numPr>
          <w:ilvl w:val="0"/>
          <w:numId w:val="18"/>
        </w:numPr>
        <w:jc w:val="left"/>
      </w:pPr>
      <w:r>
        <w:t>§ </w:t>
      </w:r>
      <w:r w:rsidR="004F6D36" w:rsidRPr="004F6D36">
        <w:t xml:space="preserve">27 </w:t>
      </w:r>
      <w:r>
        <w:t>Abs. </w:t>
      </w:r>
      <w:r w:rsidR="004F6D36" w:rsidRPr="004F6D36">
        <w:t xml:space="preserve">5 </w:t>
      </w:r>
      <w:r w:rsidR="004F6D36" w:rsidRPr="005F5895">
        <w:t>ThürKHG</w:t>
      </w:r>
      <w:r w:rsidR="004F6D36">
        <w:t xml:space="preserve"> bzgl. Übermittlung z</w:t>
      </w:r>
      <w:r w:rsidR="004F6D36" w:rsidRPr="004F6D36">
        <w:t xml:space="preserve">ur Durchführung qualitätssichernder Maßnahmen in der </w:t>
      </w:r>
      <w:r w:rsidR="004F6D36" w:rsidRPr="005F5895">
        <w:t>Krankenversorgung</w:t>
      </w:r>
    </w:p>
    <w:p w14:paraId="4AA14FA3" w14:textId="3DE3A7F8" w:rsidR="00B74DE5" w:rsidRDefault="00B74DE5" w:rsidP="00B74DE5">
      <w:pPr>
        <w:spacing w:after="0"/>
      </w:pPr>
      <w:r>
        <w:t>Sofern diese Regelung auf eine erforderliche Verarbeitung begrenzt ist und insbesondere die „</w:t>
      </w:r>
      <w:r w:rsidRPr="00B74DE5">
        <w:t>Gewährleistung hoher Qualitäts- und Sicherheitsstandards bei der Gesundheitsversorgung und bei Arzneimitteln und Medizinprodukten</w:t>
      </w:r>
      <w:r>
        <w:t xml:space="preserve">“ adressiert, findet diese Regelung ihre Entsprechung in </w:t>
      </w:r>
      <w:r w:rsidR="005F5895">
        <w:t>Art. </w:t>
      </w:r>
      <w:r>
        <w:t xml:space="preserve">9 </w:t>
      </w:r>
      <w:r w:rsidR="005F5895">
        <w:t>Abs. </w:t>
      </w:r>
      <w:r>
        <w:t xml:space="preserve">2 </w:t>
      </w:r>
      <w:r w:rsidR="005F5895">
        <w:t>lit. </w:t>
      </w:r>
      <w:r>
        <w:t xml:space="preserve">i DS-GVO. Zu beachten ist hierbei, dass </w:t>
      </w:r>
      <w:r w:rsidR="005F5895">
        <w:t>Art. </w:t>
      </w:r>
      <w:r>
        <w:t xml:space="preserve">9 </w:t>
      </w:r>
      <w:r w:rsidR="005F5895">
        <w:t>Abs. </w:t>
      </w:r>
      <w:r>
        <w:t xml:space="preserve">2 </w:t>
      </w:r>
      <w:r w:rsidR="005F5895">
        <w:t>lit. </w:t>
      </w:r>
      <w:r>
        <w:t xml:space="preserve">i DS-GVO von entsprechendem nationalem </w:t>
      </w:r>
      <w:r w:rsidR="00562420">
        <w:t>G</w:t>
      </w:r>
      <w:r>
        <w:t xml:space="preserve">esetz </w:t>
      </w:r>
      <w:r w:rsidRPr="005F5895">
        <w:t>fordert</w:t>
      </w:r>
    </w:p>
    <w:p w14:paraId="2D8254B9" w14:textId="4D693505" w:rsidR="00B74DE5" w:rsidRDefault="00B74DE5">
      <w:pPr>
        <w:pStyle w:val="Listenabsatz"/>
        <w:numPr>
          <w:ilvl w:val="0"/>
          <w:numId w:val="34"/>
        </w:numPr>
      </w:pPr>
      <w:r w:rsidRPr="005F5895">
        <w:t>nur</w:t>
      </w:r>
      <w:r>
        <w:t xml:space="preserve"> erforderliche Verarbeitungen zur </w:t>
      </w:r>
      <w:r w:rsidRPr="00B74DE5">
        <w:t>Gewährleistung hoher Qualitäts- und Sicherheitsstandards bei der Gesundheitsversorgung</w:t>
      </w:r>
      <w:r>
        <w:t xml:space="preserve"> sind erlaubt,</w:t>
      </w:r>
    </w:p>
    <w:p w14:paraId="6A515CC8" w14:textId="188E7D2B" w:rsidR="00B74DE5" w:rsidRDefault="00B74DE5">
      <w:pPr>
        <w:pStyle w:val="Listenabsatz"/>
        <w:numPr>
          <w:ilvl w:val="0"/>
          <w:numId w:val="34"/>
        </w:numPr>
      </w:pPr>
      <w:r w:rsidRPr="005F5895">
        <w:t>nur</w:t>
      </w:r>
      <w:r>
        <w:t xml:space="preserve"> erforderliche Daten werden verarbeitet,</w:t>
      </w:r>
    </w:p>
    <w:p w14:paraId="764D3B8D" w14:textId="6454C6C2" w:rsidR="00B74DE5" w:rsidRDefault="00B74DE5">
      <w:pPr>
        <w:pStyle w:val="Listenabsatz"/>
        <w:numPr>
          <w:ilvl w:val="0"/>
          <w:numId w:val="34"/>
        </w:numPr>
      </w:pPr>
      <w:r w:rsidRPr="005F5895">
        <w:t>die</w:t>
      </w:r>
      <w:r>
        <w:t xml:space="preserve"> nationale Regelung sieht „</w:t>
      </w:r>
      <w:r w:rsidRPr="00B74DE5">
        <w:t>angemessene und spezifische Maßnahmen zur Wahrung der Rechte und Freiheiten der betroffenen Pers</w:t>
      </w:r>
      <w:r>
        <w:t xml:space="preserve">on“ vor </w:t>
      </w:r>
      <w:r w:rsidRPr="005F5895">
        <w:t>und</w:t>
      </w:r>
    </w:p>
    <w:p w14:paraId="33CAC8DB" w14:textId="523AB762" w:rsidR="00B74DE5" w:rsidRDefault="00B74DE5">
      <w:pPr>
        <w:pStyle w:val="Listenabsatz"/>
        <w:numPr>
          <w:ilvl w:val="0"/>
          <w:numId w:val="34"/>
        </w:numPr>
      </w:pPr>
      <w:r w:rsidRPr="005F5895">
        <w:t>das</w:t>
      </w:r>
      <w:r>
        <w:t xml:space="preserve"> </w:t>
      </w:r>
      <w:r w:rsidR="00562420">
        <w:t>B</w:t>
      </w:r>
      <w:r>
        <w:t>erufsgeheimnis bleibt gewahrt.</w:t>
      </w:r>
    </w:p>
    <w:p w14:paraId="3947DD89" w14:textId="16C9CB43" w:rsidR="00B74DE5" w:rsidRDefault="00B74DE5" w:rsidP="00562420">
      <w:pPr>
        <w:pStyle w:val="Listenabsatz"/>
        <w:ind w:left="357"/>
      </w:pPr>
      <w:r>
        <w:t>Dies ist im jeweiligen Landesrecht zu prüfen.</w:t>
      </w:r>
    </w:p>
    <w:p w14:paraId="5113F8D5" w14:textId="020A4E8D" w:rsidR="00562420" w:rsidRDefault="00562420" w:rsidP="00562420">
      <w:r w:rsidRPr="00562420">
        <w:t xml:space="preserve">Entsprechend deutschem Recht liegt in diesen Fällen </w:t>
      </w:r>
      <w:r>
        <w:t xml:space="preserve">zwar </w:t>
      </w:r>
      <w:r w:rsidRPr="00562420">
        <w:t xml:space="preserve">immer auch ein Behandlungsvertrag mit den jeweiligen Patienten vor, </w:t>
      </w:r>
      <w:r>
        <w:t>jedoch erfolgt die Qualitätssicherung patientenübergreifend, da Ereignisse oder auch Behandlungsergebnisse regelhaft von mehreren Patienten verglichen werden</w:t>
      </w:r>
      <w:r w:rsidRPr="00562420">
        <w:t>.</w:t>
      </w:r>
      <w:r>
        <w:t xml:space="preserve"> Daher kann der Behandlungsvertrag für diese Verarbeitungen keinen Rechtfertigungstatbestand nach </w:t>
      </w:r>
      <w:r w:rsidR="005F5895">
        <w:t>Art. </w:t>
      </w:r>
      <w:r>
        <w:t>6 DS-GVO darstellen; insbesondere ist eine patientenübergreifende Qualitätssicherung nicht für die Versorgung des jeweiligen Patienten erforderlich.</w:t>
      </w:r>
    </w:p>
    <w:p w14:paraId="0199356C" w14:textId="29A651B7" w:rsidR="00562420" w:rsidRDefault="00562420" w:rsidP="00562420">
      <w:r>
        <w:t xml:space="preserve">Allerdings liegt eine hohe Qualität in der Patientenversorgung im öffentlichen Interesse, weswegen die Qualitätssicherung der medizinischen Versorgung auch in den Sozialgesetzbüchern verankert ist. Rechtfertigungstatbestand ist somit </w:t>
      </w:r>
      <w:r w:rsidR="005F5895">
        <w:t>Art. </w:t>
      </w:r>
      <w:r>
        <w:t xml:space="preserve">6 </w:t>
      </w:r>
      <w:r w:rsidR="005F5895">
        <w:t>Abs. </w:t>
      </w:r>
      <w:r>
        <w:t xml:space="preserve">1 </w:t>
      </w:r>
      <w:r w:rsidR="005F5895">
        <w:t>lit. </w:t>
      </w:r>
      <w:r>
        <w:t xml:space="preserve">e DS-GVO. Die von </w:t>
      </w:r>
      <w:r w:rsidR="005F5895">
        <w:t>Art. </w:t>
      </w:r>
      <w:r w:rsidRPr="00562420">
        <w:t xml:space="preserve">6 </w:t>
      </w:r>
      <w:r w:rsidR="005F5895">
        <w:t>Abs. </w:t>
      </w:r>
      <w:r w:rsidRPr="00562420">
        <w:t xml:space="preserve">3 </w:t>
      </w:r>
      <w:r>
        <w:t xml:space="preserve">verlangte </w:t>
      </w:r>
      <w:r w:rsidRPr="00562420">
        <w:t xml:space="preserve">nationale Rechtsgrundlage </w:t>
      </w:r>
      <w:r>
        <w:t>für diese Aufgabe im öffentlichen Interesse stellt die jeweilige Regelung im entsprechenden Landeskrankenhausgesetz dar.</w:t>
      </w:r>
    </w:p>
    <w:p w14:paraId="2464AF54" w14:textId="25CE5089" w:rsidR="00E343E3" w:rsidRDefault="00E343E3" w:rsidP="00C626A9">
      <w:pPr>
        <w:pStyle w:val="berschrift4"/>
      </w:pPr>
      <w:bookmarkStart w:id="188" w:name="_Toc169934844"/>
      <w:r w:rsidRPr="00E343E3">
        <w:t>Auswertung zu statistischen Zwecken</w:t>
      </w:r>
      <w:bookmarkEnd w:id="188"/>
    </w:p>
    <w:p w14:paraId="2A927026" w14:textId="12D104FA" w:rsidR="00E343E3" w:rsidRDefault="00E343E3" w:rsidP="00E343E3">
      <w:pPr>
        <w:spacing w:after="0"/>
      </w:pPr>
      <w:r>
        <w:t>Einige Landeskrankenhausgesetze enthalten die Erlaubnis, Patientendaten für statistische Zwecke zu nutzen:</w:t>
      </w:r>
    </w:p>
    <w:p w14:paraId="2CF42508" w14:textId="372B1209" w:rsidR="00F3228A" w:rsidRDefault="005F5895" w:rsidP="00F3228A">
      <w:pPr>
        <w:pStyle w:val="Listenabsatz"/>
        <w:numPr>
          <w:ilvl w:val="0"/>
          <w:numId w:val="18"/>
        </w:numPr>
        <w:jc w:val="left"/>
      </w:pPr>
      <w:r>
        <w:t>§ </w:t>
      </w:r>
      <w:r w:rsidR="00F3228A">
        <w:t xml:space="preserve">10 </w:t>
      </w:r>
      <w:r>
        <w:t>Abs. </w:t>
      </w:r>
      <w:r w:rsidR="00F3228A">
        <w:t xml:space="preserve">1 </w:t>
      </w:r>
      <w:r w:rsidRPr="005F5895">
        <w:t>Ziff. </w:t>
      </w:r>
      <w:r w:rsidR="00F3228A">
        <w:t xml:space="preserve">5 </w:t>
      </w:r>
      <w:r w:rsidR="00F3228A" w:rsidRPr="005F5895">
        <w:t>HmbKHG</w:t>
      </w:r>
    </w:p>
    <w:p w14:paraId="4EE536D9" w14:textId="15E98CB8"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8 </w:t>
      </w:r>
      <w:r w:rsidR="00E343E3" w:rsidRPr="00E343E3">
        <w:t>LKHG</w:t>
      </w:r>
      <w:r w:rsidR="00E343E3">
        <w:t xml:space="preserve"> </w:t>
      </w:r>
      <w:r w:rsidR="00E343E3" w:rsidRPr="00E343E3">
        <w:t>Schleswig-Holstein</w:t>
      </w:r>
    </w:p>
    <w:p w14:paraId="2C59B96C" w14:textId="5F2246BA" w:rsidR="00E343E3" w:rsidRDefault="00E343E3" w:rsidP="00E343E3">
      <w:pPr>
        <w:spacing w:after="0"/>
      </w:pPr>
      <w:r>
        <w:t xml:space="preserve">Sofern diese Regelung auf eine erforderliche Verarbeitung begrenzt ist, findet dies die Entsprechung in </w:t>
      </w:r>
      <w:r w:rsidR="005F5895">
        <w:t>Art. </w:t>
      </w:r>
      <w:r>
        <w:t xml:space="preserve">9 </w:t>
      </w:r>
      <w:r w:rsidR="005F5895">
        <w:t>Abs. </w:t>
      </w:r>
      <w:r>
        <w:t xml:space="preserve">2 </w:t>
      </w:r>
      <w:r w:rsidR="005F5895">
        <w:t>lit. </w:t>
      </w:r>
      <w:r>
        <w:t>j DS-GVO („</w:t>
      </w:r>
      <w:r w:rsidRPr="00E343E3">
        <w:t>statistische Zwecke</w:t>
      </w:r>
      <w:r>
        <w:t>“). Zu beachten ist hierbei:</w:t>
      </w:r>
    </w:p>
    <w:p w14:paraId="40148C02" w14:textId="41085562" w:rsidR="00E343E3" w:rsidRDefault="005F5895" w:rsidP="00E343E3">
      <w:pPr>
        <w:pStyle w:val="Listenabsatz"/>
        <w:numPr>
          <w:ilvl w:val="0"/>
          <w:numId w:val="30"/>
        </w:numPr>
        <w:spacing w:after="0"/>
      </w:pPr>
      <w:r>
        <w:t>Art. </w:t>
      </w:r>
      <w:r w:rsidR="00E343E3">
        <w:t xml:space="preserve">9 </w:t>
      </w:r>
      <w:r>
        <w:t>Abs. </w:t>
      </w:r>
      <w:r w:rsidR="00E343E3">
        <w:t xml:space="preserve">2 </w:t>
      </w:r>
      <w:r>
        <w:t>lit. </w:t>
      </w:r>
      <w:r w:rsidR="00E343E3">
        <w:t xml:space="preserve">j DS-GVO verlangt, dass das nationale </w:t>
      </w:r>
      <w:r w:rsidR="00E343E3" w:rsidRPr="005F5895">
        <w:t>Recht</w:t>
      </w:r>
    </w:p>
    <w:p w14:paraId="23026C56" w14:textId="77777777" w:rsidR="00E343E3" w:rsidRDefault="00E343E3" w:rsidP="00E343E3">
      <w:pPr>
        <w:pStyle w:val="Listenabsatz"/>
        <w:numPr>
          <w:ilvl w:val="1"/>
          <w:numId w:val="30"/>
        </w:numPr>
        <w:spacing w:after="0"/>
      </w:pPr>
      <w:r w:rsidRPr="005F5895">
        <w:t>in</w:t>
      </w:r>
      <w:r w:rsidRPr="00E343E3">
        <w:t xml:space="preserve"> angemessenem Verhältnis zu dem verfolgten Ziel steht,</w:t>
      </w:r>
    </w:p>
    <w:p w14:paraId="388D0CE5" w14:textId="77777777" w:rsidR="00E343E3" w:rsidRDefault="00E343E3" w:rsidP="00E343E3">
      <w:pPr>
        <w:pStyle w:val="Listenabsatz"/>
        <w:numPr>
          <w:ilvl w:val="1"/>
          <w:numId w:val="30"/>
        </w:numPr>
        <w:spacing w:after="0"/>
      </w:pPr>
      <w:r w:rsidRPr="005F5895">
        <w:t>den</w:t>
      </w:r>
      <w:r w:rsidRPr="00E343E3">
        <w:t xml:space="preserve"> Wesensgehalt des Rechts auf Datenschutz wahrt </w:t>
      </w:r>
      <w:r w:rsidRPr="005F5895">
        <w:t>und</w:t>
      </w:r>
      <w:r w:rsidRPr="00E343E3">
        <w:t xml:space="preserve"> </w:t>
      </w:r>
    </w:p>
    <w:p w14:paraId="6DFBF37D" w14:textId="0CA6A443" w:rsidR="00E343E3" w:rsidRDefault="00E343E3" w:rsidP="00E343E3">
      <w:pPr>
        <w:pStyle w:val="Listenabsatz"/>
        <w:numPr>
          <w:ilvl w:val="1"/>
          <w:numId w:val="30"/>
        </w:numPr>
        <w:spacing w:after="0"/>
      </w:pPr>
      <w:r w:rsidRPr="005F5895">
        <w:t>angemessene</w:t>
      </w:r>
      <w:r w:rsidRPr="00E343E3">
        <w:t xml:space="preserve"> und spezifische Maßnahmen zur Wahrung der Grundrechte und Interessen der betroffenen Person vorsieht</w:t>
      </w:r>
      <w:r>
        <w:t>;</w:t>
      </w:r>
    </w:p>
    <w:p w14:paraId="25DB62A1" w14:textId="7D8825BF" w:rsidR="00E343E3" w:rsidRDefault="00E343E3" w:rsidP="00E343E3">
      <w:pPr>
        <w:pStyle w:val="Listenabsatz"/>
        <w:spacing w:after="0"/>
      </w:pPr>
      <w:r w:rsidRPr="005F5895">
        <w:t>dies</w:t>
      </w:r>
      <w:r>
        <w:t xml:space="preserve"> ist im jeweiligen Landesrecht zu prüfen.</w:t>
      </w:r>
    </w:p>
    <w:p w14:paraId="3165CA34" w14:textId="0D553740" w:rsidR="00E343E3" w:rsidRDefault="00E343E3" w:rsidP="00E343E3">
      <w:pPr>
        <w:pStyle w:val="Listenabsatz"/>
        <w:numPr>
          <w:ilvl w:val="0"/>
          <w:numId w:val="30"/>
        </w:numPr>
        <w:spacing w:after="0"/>
      </w:pPr>
      <w:r>
        <w:t xml:space="preserve">Ergänzend muss </w:t>
      </w:r>
      <w:r w:rsidR="005F5895">
        <w:t>Art. </w:t>
      </w:r>
      <w:r>
        <w:t xml:space="preserve">89 </w:t>
      </w:r>
      <w:r w:rsidR="005F5895">
        <w:t>Abs. </w:t>
      </w:r>
      <w:r>
        <w:t xml:space="preserve">1 DS-GVO beachtet werden. Dies bedeutet, dass das nationale </w:t>
      </w:r>
      <w:r w:rsidRPr="005F5895">
        <w:t>Recht</w:t>
      </w:r>
    </w:p>
    <w:p w14:paraId="177FD049" w14:textId="46598FBD" w:rsidR="00E343E3" w:rsidRDefault="00E343E3" w:rsidP="00E343E3">
      <w:pPr>
        <w:pStyle w:val="Listenabsatz"/>
        <w:numPr>
          <w:ilvl w:val="1"/>
          <w:numId w:val="30"/>
        </w:numPr>
        <w:spacing w:after="0"/>
      </w:pPr>
      <w:r w:rsidRPr="005F5895">
        <w:t>geeigneten</w:t>
      </w:r>
      <w:r w:rsidRPr="00E343E3">
        <w:t xml:space="preserve"> Garantien für die Rechte und Freiheiten der betroffenen Person gemäß</w:t>
      </w:r>
      <w:r>
        <w:t xml:space="preserve"> der DS-GVO vorsieht </w:t>
      </w:r>
      <w:r w:rsidRPr="005F5895">
        <w:t>und</w:t>
      </w:r>
    </w:p>
    <w:p w14:paraId="61E43032" w14:textId="48780BDB" w:rsidR="00E343E3" w:rsidRDefault="00E343E3" w:rsidP="00E343E3">
      <w:pPr>
        <w:pStyle w:val="Listenabsatz"/>
        <w:numPr>
          <w:ilvl w:val="1"/>
          <w:numId w:val="30"/>
        </w:numPr>
        <w:spacing w:after="0"/>
      </w:pPr>
      <w:r w:rsidRPr="005F5895">
        <w:t>diese</w:t>
      </w:r>
      <w:r w:rsidRPr="00E343E3">
        <w:t xml:space="preserve"> Garantien sicherstell</w:t>
      </w:r>
      <w:r>
        <w:t>en</w:t>
      </w:r>
      <w:r w:rsidRPr="00E343E3">
        <w:t>, dass technische und organisatorische Maßnahmen bestehen, mit denen insbesondere die Achtung des Grundsatzes der Datenminimierung gewährleistet wird.</w:t>
      </w:r>
    </w:p>
    <w:p w14:paraId="51C96B4A" w14:textId="23A54258" w:rsidR="00E343E3" w:rsidRDefault="00E343E3" w:rsidP="00E343E3">
      <w:pPr>
        <w:pStyle w:val="Listenabsatz"/>
        <w:spacing w:after="0"/>
      </w:pPr>
      <w:r>
        <w:t>Auch dies ist im jeweiligen Landesrecht zu prüfen.</w:t>
      </w:r>
    </w:p>
    <w:p w14:paraId="0BA52385" w14:textId="77777777" w:rsidR="00E343E3" w:rsidRPr="00E343E3" w:rsidRDefault="00E343E3" w:rsidP="00E343E3"/>
    <w:p w14:paraId="5C511851" w14:textId="2BB025BE" w:rsidR="00B74DE5" w:rsidRDefault="00B74DE5" w:rsidP="00C626A9">
      <w:pPr>
        <w:pStyle w:val="berschrift4"/>
      </w:pPr>
      <w:bookmarkStart w:id="189" w:name="_Ref169680527"/>
      <w:bookmarkStart w:id="190" w:name="_Toc169934845"/>
      <w:r>
        <w:t>A</w:t>
      </w:r>
      <w:r w:rsidRPr="00B74DE5">
        <w:t>us</w:t>
      </w:r>
      <w:r w:rsidR="00C626A9">
        <w:t>-</w:t>
      </w:r>
      <w:r w:rsidRPr="00B74DE5">
        <w:t xml:space="preserve">, </w:t>
      </w:r>
      <w:r w:rsidR="00C626A9" w:rsidRPr="00B74DE5">
        <w:t>Fort</w:t>
      </w:r>
      <w:r w:rsidR="00C626A9">
        <w:t>-</w:t>
      </w:r>
      <w:r w:rsidR="00C626A9" w:rsidRPr="00B74DE5">
        <w:t xml:space="preserve"> </w:t>
      </w:r>
      <w:r w:rsidRPr="00B74DE5">
        <w:t>und Weiterbildung von Ärzten und von Angehörigen anderer Berufe des Gesundheitswesens</w:t>
      </w:r>
      <w:bookmarkEnd w:id="189"/>
      <w:bookmarkEnd w:id="190"/>
    </w:p>
    <w:p w14:paraId="27AF74D4" w14:textId="483AE307" w:rsidR="00B74DE5" w:rsidRDefault="00B74DE5" w:rsidP="00B74DE5">
      <w:pPr>
        <w:spacing w:after="0"/>
      </w:pPr>
      <w:r>
        <w:t xml:space="preserve">Verschiedene Landeskrankenhausgesetze enthalten die </w:t>
      </w:r>
      <w:r w:rsidR="005F5895" w:rsidRPr="005F5895">
        <w:t>Erlaubnis</w:t>
      </w:r>
      <w:r>
        <w:t xml:space="preserve">, Patientendaten zu Zwecken der </w:t>
      </w:r>
      <w:r w:rsidRPr="00B74DE5">
        <w:t xml:space="preserve">Ausbildung, Fortbildung und Weiterbildung von Ärzten und von Angehörigen anderer Berufe des Gesundheitswesens </w:t>
      </w:r>
      <w:r>
        <w:t>zu nutzen:</w:t>
      </w:r>
    </w:p>
    <w:p w14:paraId="42A20998" w14:textId="072A1D5B" w:rsidR="00B74DE5" w:rsidRDefault="005F5895" w:rsidP="00ED6DE3">
      <w:pPr>
        <w:pStyle w:val="Listenabsatz"/>
        <w:numPr>
          <w:ilvl w:val="0"/>
          <w:numId w:val="18"/>
        </w:numPr>
        <w:jc w:val="left"/>
      </w:pPr>
      <w:r>
        <w:t>§ </w:t>
      </w:r>
      <w:r w:rsidR="00B74DE5">
        <w:t xml:space="preserve">45 </w:t>
      </w:r>
      <w:r>
        <w:t>Abs. </w:t>
      </w:r>
      <w:r w:rsidR="00B74DE5">
        <w:t xml:space="preserve">3 </w:t>
      </w:r>
      <w:r w:rsidRPr="005F5895">
        <w:t>Ziff. </w:t>
      </w:r>
      <w:r w:rsidR="00B74DE5">
        <w:t xml:space="preserve">4 LKHG </w:t>
      </w:r>
      <w:r w:rsidR="00B74DE5" w:rsidRPr="00B74DE5">
        <w:t>Baden-Württemberg</w:t>
      </w:r>
    </w:p>
    <w:p w14:paraId="3170F244" w14:textId="66359C1A" w:rsidR="00B74DE5" w:rsidRDefault="005F5895" w:rsidP="00ED6DE3">
      <w:pPr>
        <w:pStyle w:val="Listenabsatz"/>
        <w:numPr>
          <w:ilvl w:val="0"/>
          <w:numId w:val="18"/>
        </w:numPr>
        <w:jc w:val="left"/>
      </w:pPr>
      <w:r>
        <w:t>Art. </w:t>
      </w:r>
      <w:r w:rsidR="00B74DE5">
        <w:t xml:space="preserve">27 </w:t>
      </w:r>
      <w:r>
        <w:t>Abs. </w:t>
      </w:r>
      <w:r w:rsidR="00B74DE5">
        <w:t xml:space="preserve">4 S. 1 </w:t>
      </w:r>
      <w:r w:rsidR="00B74DE5" w:rsidRPr="005F5895">
        <w:t>BayKrG</w:t>
      </w:r>
    </w:p>
    <w:p w14:paraId="3E931701" w14:textId="344CDAD6" w:rsidR="00B74DE5" w:rsidRDefault="005F5895" w:rsidP="00ED6DE3">
      <w:pPr>
        <w:pStyle w:val="Listenabsatz"/>
        <w:numPr>
          <w:ilvl w:val="0"/>
          <w:numId w:val="18"/>
        </w:numPr>
        <w:jc w:val="left"/>
      </w:pPr>
      <w:r>
        <w:t>§ </w:t>
      </w:r>
      <w:r w:rsidR="00B74DE5">
        <w:t xml:space="preserve">24 </w:t>
      </w:r>
      <w:r>
        <w:t>Abs. </w:t>
      </w:r>
      <w:r w:rsidR="00B74DE5">
        <w:t xml:space="preserve">4 </w:t>
      </w:r>
      <w:r w:rsidRPr="005F5895">
        <w:t>Ziff. </w:t>
      </w:r>
      <w:r w:rsidR="00B74DE5">
        <w:t xml:space="preserve">1 </w:t>
      </w:r>
      <w:r w:rsidR="00B74DE5" w:rsidRPr="005F5895">
        <w:t>LKG</w:t>
      </w:r>
      <w:r w:rsidR="00B74DE5">
        <w:t xml:space="preserve"> Berlin</w:t>
      </w:r>
    </w:p>
    <w:p w14:paraId="385EF9BE" w14:textId="1438E180" w:rsidR="00ED6DE3" w:rsidRDefault="005F5895" w:rsidP="00ED6DE3">
      <w:pPr>
        <w:pStyle w:val="Listenabsatz"/>
        <w:numPr>
          <w:ilvl w:val="0"/>
          <w:numId w:val="18"/>
        </w:numPr>
        <w:jc w:val="left"/>
      </w:pPr>
      <w:r>
        <w:t>§ </w:t>
      </w:r>
      <w:r w:rsidR="00ED6DE3">
        <w:t xml:space="preserve">28 </w:t>
      </w:r>
      <w:r>
        <w:t>Abs. </w:t>
      </w:r>
      <w:r w:rsidR="00ED6DE3">
        <w:t xml:space="preserve">2 </w:t>
      </w:r>
      <w:r w:rsidRPr="005F5895">
        <w:t>Ziff. </w:t>
      </w:r>
      <w:r w:rsidR="00ED6DE3">
        <w:t xml:space="preserve">3 </w:t>
      </w:r>
      <w:r w:rsidR="00ED6DE3" w:rsidRPr="005F5895">
        <w:t>BbgKHEG</w:t>
      </w:r>
    </w:p>
    <w:p w14:paraId="19EFB875" w14:textId="6F826806" w:rsidR="00F3228A" w:rsidRDefault="005F5895" w:rsidP="00F3228A">
      <w:pPr>
        <w:pStyle w:val="Listenabsatz"/>
        <w:numPr>
          <w:ilvl w:val="0"/>
          <w:numId w:val="18"/>
        </w:numPr>
        <w:jc w:val="left"/>
      </w:pPr>
      <w:r>
        <w:t>§ </w:t>
      </w:r>
      <w:r w:rsidR="00F3228A">
        <w:t xml:space="preserve">38 </w:t>
      </w:r>
      <w:r>
        <w:t>Abs. </w:t>
      </w:r>
      <w:r w:rsidR="00F3228A">
        <w:t xml:space="preserve">1 </w:t>
      </w:r>
      <w:r w:rsidRPr="005F5895">
        <w:t>Ziff. </w:t>
      </w:r>
      <w:r w:rsidR="00F3228A">
        <w:t xml:space="preserve">4 </w:t>
      </w:r>
      <w:r w:rsidR="00F3228A" w:rsidRPr="005F5895">
        <w:t>BremKrhG</w:t>
      </w:r>
    </w:p>
    <w:p w14:paraId="4DD8DA8E" w14:textId="694450B2" w:rsidR="00F3228A" w:rsidRDefault="005F5895" w:rsidP="00F3228A">
      <w:pPr>
        <w:pStyle w:val="Listenabsatz"/>
        <w:numPr>
          <w:ilvl w:val="0"/>
          <w:numId w:val="18"/>
        </w:numPr>
        <w:jc w:val="left"/>
      </w:pPr>
      <w:r>
        <w:t>§ </w:t>
      </w:r>
      <w:r w:rsidR="00F3228A">
        <w:t xml:space="preserve">10 </w:t>
      </w:r>
      <w:r>
        <w:t>Abs. </w:t>
      </w:r>
      <w:r w:rsidR="00F3228A">
        <w:t xml:space="preserve">1 </w:t>
      </w:r>
      <w:r w:rsidRPr="005F5895">
        <w:t>Ziff. </w:t>
      </w:r>
      <w:r w:rsidR="00F3228A">
        <w:t xml:space="preserve">8 </w:t>
      </w:r>
      <w:r w:rsidR="00F3228A" w:rsidRPr="005F5895">
        <w:t>HmbKHG</w:t>
      </w:r>
    </w:p>
    <w:p w14:paraId="4D077CC9" w14:textId="1D601589" w:rsidR="00C039C3" w:rsidRDefault="005F5895" w:rsidP="00C039C3">
      <w:pPr>
        <w:pStyle w:val="Listenabsatz"/>
        <w:numPr>
          <w:ilvl w:val="0"/>
          <w:numId w:val="18"/>
        </w:numPr>
        <w:jc w:val="left"/>
      </w:pPr>
      <w:r>
        <w:t>§ </w:t>
      </w:r>
      <w:r w:rsidR="00C039C3">
        <w:t xml:space="preserve">34 </w:t>
      </w:r>
      <w:r>
        <w:t>Abs. </w:t>
      </w:r>
      <w:r w:rsidR="00C039C3">
        <w:t xml:space="preserve">1 </w:t>
      </w:r>
      <w:r w:rsidRPr="005F5895">
        <w:t>Ziff. </w:t>
      </w:r>
      <w:r w:rsidR="00C039C3">
        <w:t xml:space="preserve">5 </w:t>
      </w:r>
      <w:r w:rsidR="00C039C3" w:rsidRPr="00C039C3">
        <w:t>LKHG M-V</w:t>
      </w:r>
    </w:p>
    <w:p w14:paraId="1216B086" w14:textId="12EA0B63" w:rsidR="00C039C3" w:rsidRDefault="005F5895" w:rsidP="00C039C3">
      <w:pPr>
        <w:pStyle w:val="Listenabsatz"/>
        <w:numPr>
          <w:ilvl w:val="0"/>
          <w:numId w:val="18"/>
        </w:numPr>
        <w:jc w:val="left"/>
      </w:pPr>
      <w:r>
        <w:t>§ </w:t>
      </w:r>
      <w:r w:rsidR="00C039C3">
        <w:t xml:space="preserve">11 </w:t>
      </w:r>
      <w:r>
        <w:t>Abs. </w:t>
      </w:r>
      <w:r w:rsidR="00C039C3">
        <w:t xml:space="preserve">2 </w:t>
      </w:r>
      <w:r w:rsidR="00C039C3" w:rsidRPr="005F5895">
        <w:t>GDSG</w:t>
      </w:r>
      <w:r w:rsidR="00C039C3">
        <w:t xml:space="preserve"> </w:t>
      </w:r>
      <w:r w:rsidR="00C039C3" w:rsidRPr="005F5895">
        <w:t>NW</w:t>
      </w:r>
    </w:p>
    <w:p w14:paraId="208ADA05" w14:textId="6202F7FB" w:rsidR="00C039C3" w:rsidRDefault="005F5895" w:rsidP="00C039C3">
      <w:pPr>
        <w:pStyle w:val="Listenabsatz"/>
        <w:numPr>
          <w:ilvl w:val="0"/>
          <w:numId w:val="18"/>
        </w:numPr>
        <w:jc w:val="left"/>
      </w:pPr>
      <w:r>
        <w:t>§ </w:t>
      </w:r>
      <w:r w:rsidR="00C039C3">
        <w:t xml:space="preserve">36 </w:t>
      </w:r>
      <w:r>
        <w:t>Abs. </w:t>
      </w:r>
      <w:r w:rsidR="00C039C3">
        <w:t xml:space="preserve">2 </w:t>
      </w:r>
      <w:r w:rsidRPr="005F5895">
        <w:t>Ziff. </w:t>
      </w:r>
      <w:r w:rsidR="00C039C3">
        <w:t xml:space="preserve">2 </w:t>
      </w:r>
      <w:r w:rsidR="00C039C3" w:rsidRPr="005F5895">
        <w:t>LKG</w:t>
      </w:r>
      <w:r w:rsidR="00C039C3">
        <w:t xml:space="preserve"> RP</w:t>
      </w:r>
    </w:p>
    <w:p w14:paraId="1CBA22AC" w14:textId="6B8D35E1" w:rsidR="004F6D36" w:rsidRDefault="005F5895" w:rsidP="004F6D36">
      <w:pPr>
        <w:pStyle w:val="Listenabsatz"/>
        <w:numPr>
          <w:ilvl w:val="0"/>
          <w:numId w:val="18"/>
        </w:numPr>
        <w:jc w:val="left"/>
      </w:pPr>
      <w:r>
        <w:t>§ </w:t>
      </w:r>
      <w:r w:rsidR="004F6D36">
        <w:t xml:space="preserve">13 </w:t>
      </w:r>
      <w:r>
        <w:t>Abs. </w:t>
      </w:r>
      <w:r w:rsidR="004F6D36">
        <w:t xml:space="preserve">3 </w:t>
      </w:r>
      <w:r w:rsidR="004F6D36" w:rsidRPr="005F5895">
        <w:t>SKHG</w:t>
      </w:r>
    </w:p>
    <w:p w14:paraId="28094114" w14:textId="243F6ABC" w:rsidR="004F6D36" w:rsidRDefault="005F5895" w:rsidP="004F6D36">
      <w:pPr>
        <w:pStyle w:val="Listenabsatz"/>
        <w:numPr>
          <w:ilvl w:val="0"/>
          <w:numId w:val="18"/>
        </w:numPr>
        <w:jc w:val="left"/>
      </w:pPr>
      <w:r>
        <w:t>§ </w:t>
      </w:r>
      <w:r w:rsidR="004F6D36">
        <w:t xml:space="preserve">28 </w:t>
      </w:r>
      <w:r>
        <w:t>Abs. </w:t>
      </w:r>
      <w:r w:rsidR="004F6D36">
        <w:t xml:space="preserve">3 </w:t>
      </w:r>
      <w:r w:rsidRPr="005F5895">
        <w:t>Ziff. </w:t>
      </w:r>
      <w:r w:rsidR="004F6D36">
        <w:t xml:space="preserve">1 </w:t>
      </w:r>
      <w:r w:rsidR="004F6D36" w:rsidRPr="005F5895">
        <w:t>SächsKHG</w:t>
      </w:r>
    </w:p>
    <w:p w14:paraId="038DA5F2" w14:textId="6AA1F2A3" w:rsidR="004F6D36" w:rsidRDefault="005F5895" w:rsidP="004F6D36">
      <w:pPr>
        <w:pStyle w:val="Listenabsatz"/>
        <w:numPr>
          <w:ilvl w:val="0"/>
          <w:numId w:val="18"/>
        </w:numPr>
        <w:jc w:val="left"/>
      </w:pPr>
      <w:r>
        <w:t>§ </w:t>
      </w:r>
      <w:r w:rsidR="004F6D36">
        <w:t xml:space="preserve">16 </w:t>
      </w:r>
      <w:r>
        <w:t>Abs. </w:t>
      </w:r>
      <w:r w:rsidR="004F6D36">
        <w:t xml:space="preserve">3 </w:t>
      </w:r>
      <w:r w:rsidRPr="005F5895">
        <w:t>Ziff. </w:t>
      </w:r>
      <w:r w:rsidR="004F6D36">
        <w:t xml:space="preserve">5 </w:t>
      </w:r>
      <w:r w:rsidR="004F6D36" w:rsidRPr="004F6D36">
        <w:t xml:space="preserve">KHG </w:t>
      </w:r>
      <w:r w:rsidR="004F6D36" w:rsidRPr="005F5895">
        <w:t>LSA</w:t>
      </w:r>
    </w:p>
    <w:p w14:paraId="7D82D953" w14:textId="5B86A31F" w:rsidR="00B74DE5" w:rsidRDefault="005F5895" w:rsidP="00ED6DE3">
      <w:pPr>
        <w:pStyle w:val="Listenabsatz"/>
        <w:numPr>
          <w:ilvl w:val="0"/>
          <w:numId w:val="18"/>
        </w:numPr>
        <w:jc w:val="left"/>
      </w:pPr>
      <w:r>
        <w:t>§ </w:t>
      </w:r>
      <w:r w:rsidR="00B74DE5">
        <w:t xml:space="preserve">36 </w:t>
      </w:r>
      <w:r>
        <w:t>Abs. </w:t>
      </w:r>
      <w:r w:rsidR="00B74DE5">
        <w:t xml:space="preserve">1 </w:t>
      </w:r>
      <w:r w:rsidRPr="005F5895">
        <w:t>Ziff. </w:t>
      </w:r>
      <w:r w:rsidR="00B74DE5">
        <w:t xml:space="preserve">11 </w:t>
      </w:r>
      <w:r w:rsidR="00B74DE5" w:rsidRPr="00E343E3">
        <w:t>LKHG</w:t>
      </w:r>
      <w:r w:rsidR="00B74DE5">
        <w:t xml:space="preserve"> </w:t>
      </w:r>
      <w:r w:rsidR="00B74DE5" w:rsidRPr="00E343E3">
        <w:t>Schleswig-Holstein</w:t>
      </w:r>
    </w:p>
    <w:p w14:paraId="6EBB9DC0" w14:textId="6ADCA366" w:rsidR="004F6D36" w:rsidRDefault="005F5895" w:rsidP="00ED6DE3">
      <w:pPr>
        <w:pStyle w:val="Listenabsatz"/>
        <w:numPr>
          <w:ilvl w:val="0"/>
          <w:numId w:val="18"/>
        </w:numPr>
        <w:jc w:val="left"/>
      </w:pPr>
      <w:r>
        <w:t>§ </w:t>
      </w:r>
      <w:r w:rsidR="004F6D36" w:rsidRPr="004F6D36">
        <w:t xml:space="preserve">27 </w:t>
      </w:r>
      <w:r>
        <w:t>Abs. </w:t>
      </w:r>
      <w:r w:rsidR="004F6D36" w:rsidRPr="004F6D36">
        <w:t xml:space="preserve">3 </w:t>
      </w:r>
      <w:r w:rsidRPr="005F5895">
        <w:t>Ziff. </w:t>
      </w:r>
      <w:r w:rsidR="004F6D36">
        <w:t xml:space="preserve">2, </w:t>
      </w:r>
      <w:r>
        <w:t>Abs. </w:t>
      </w:r>
      <w:r w:rsidR="004F6D36">
        <w:t>4 S. 1</w:t>
      </w:r>
      <w:r w:rsidR="004F6D36" w:rsidRPr="004F6D36">
        <w:t xml:space="preserve"> </w:t>
      </w:r>
      <w:r w:rsidR="004F6D36" w:rsidRPr="005F5895">
        <w:t>ThürKHG</w:t>
      </w:r>
    </w:p>
    <w:p w14:paraId="4AFD3BFF" w14:textId="77777777" w:rsidR="00303763" w:rsidRDefault="00B74DE5" w:rsidP="00B74DE5">
      <w:r w:rsidRPr="00B74DE5">
        <w:t xml:space="preserve">Diese Regelung findet </w:t>
      </w:r>
      <w:r w:rsidR="00303763">
        <w:t xml:space="preserve">im vorliegenden Umfang </w:t>
      </w:r>
      <w:r w:rsidR="00901E1F" w:rsidRPr="00B74DE5">
        <w:t xml:space="preserve">keine </w:t>
      </w:r>
      <w:r w:rsidRPr="00B74DE5">
        <w:t xml:space="preserve">Entsprechung in </w:t>
      </w:r>
      <w:r w:rsidR="005F5895">
        <w:t>Art. </w:t>
      </w:r>
      <w:r w:rsidRPr="00B74DE5">
        <w:t xml:space="preserve">9 </w:t>
      </w:r>
      <w:r w:rsidR="005F5895">
        <w:t>Abs. </w:t>
      </w:r>
      <w:r w:rsidRPr="00B74DE5">
        <w:t>2 DS-GVO.</w:t>
      </w:r>
    </w:p>
    <w:p w14:paraId="447A4986" w14:textId="352DEA27" w:rsidR="00303763" w:rsidRDefault="00303763" w:rsidP="00B74DE5">
      <w:r>
        <w:t>Die Fort- und Weiterbildung von „</w:t>
      </w:r>
      <w:r w:rsidRPr="00303763">
        <w:t>Angehörigen eines Gesundheitsberuf</w:t>
      </w:r>
      <w:r>
        <w:t>s“ i. S. d. Art. 9 Abs, 2 lit. h DS-GVO</w:t>
      </w:r>
      <w:r w:rsidRPr="00303763">
        <w:t xml:space="preserve"> </w:t>
      </w:r>
      <w:r>
        <w:t>kann ggf. als „</w:t>
      </w:r>
      <w:r w:rsidRPr="00303763">
        <w:t>zur Gewährleistung hoher Qualitäts- und Sicherheitsstandards bei der Gesundheitsversorgun</w:t>
      </w:r>
      <w:r>
        <w:t>g“ i. S. v. Art. 9 Abs. 2 lit. i DS-GVO angesehen werden. Die Ausbildung selbst kann hier jedoch nicht hinzugezählt werden, denn die Betreuung von Patienten im Behandlungskontext durch nicht ausgebildetes Personal birgt aufgrund des noch nicht vorhandenen Wissens und der nicht vorhandenen Erfahrungen Risiken, was eher als (notwendiges, denn ohne Ausbildung kann es keine ausgebildeten Kräfte geben) Absenkung</w:t>
      </w:r>
      <w:r w:rsidRPr="00303763">
        <w:t xml:space="preserve"> </w:t>
      </w:r>
      <w:r>
        <w:t>der Q</w:t>
      </w:r>
      <w:r w:rsidRPr="00303763">
        <w:t>ualitäts- und Sicherheitsstandards bei der Gesundheitsversorgung</w:t>
      </w:r>
      <w:r>
        <w:t xml:space="preserve"> angesehen werden muss.</w:t>
      </w:r>
    </w:p>
    <w:p w14:paraId="36236D23" w14:textId="32D3B3CF" w:rsidR="00B74DE5" w:rsidRDefault="00303763" w:rsidP="00B74DE5">
      <w:r>
        <w:t xml:space="preserve">Inwieweit Fort- und Weiterbildung auf Art. 9 Abs. 2 lit. i DS-GVO gestützt werden kann, richtet sich letztlich auch danach, ob die Fort- und Weiterbildung </w:t>
      </w:r>
      <w:r w:rsidRPr="00303763">
        <w:t>zur Gewährleistung hoher Qualitäts- und Sicherheitsstandards bei der Gesundheitsversorgun</w:t>
      </w:r>
      <w:r>
        <w:t>g erforderlich ist oder es sich doch eher um eine Fort- und Weiterbildung zu administrativen Zwecken handelt.</w:t>
      </w:r>
    </w:p>
    <w:p w14:paraId="7DD38CB4" w14:textId="49B6DBAF" w:rsidR="00303763" w:rsidRDefault="00303763" w:rsidP="00303763">
      <w:pPr>
        <w:spacing w:after="0"/>
      </w:pPr>
      <w:r>
        <w:t>Kann die Fort- und Weiterbildung auf Art. 9 Abs. 2 lit. i DS-GVO gestützt werden, können verschiedene Tatbestände aus Art. 6 Abs. 1 DS-GVO zutreffen:</w:t>
      </w:r>
    </w:p>
    <w:p w14:paraId="02E5525D" w14:textId="2CECA298" w:rsidR="00303763" w:rsidRDefault="00303763">
      <w:pPr>
        <w:pStyle w:val="Listenabsatz"/>
        <w:numPr>
          <w:ilvl w:val="0"/>
          <w:numId w:val="66"/>
        </w:numPr>
      </w:pPr>
      <w:r>
        <w:t xml:space="preserve">In Deutschland herrscht bei der Behandlung von Patienten durch Ärzte der sog. „Facharztstandard“, </w:t>
      </w:r>
      <w:r w:rsidRPr="008C7E23">
        <w:t>d.</w:t>
      </w:r>
      <w:r w:rsidR="008C7E23" w:rsidRPr="008C7E23">
        <w:t> </w:t>
      </w:r>
      <w:r w:rsidRPr="008C7E23">
        <w:t>h.</w:t>
      </w:r>
      <w:r w:rsidRPr="00303763">
        <w:t>, jeder Arzt schuldet dem jeweiligen Patienten eine Behandlung, die dem Standard eines sorgfältig arbeitenden Facharztes in der Situation des behandelnden Arztes entsprechen muss.</w:t>
      </w:r>
      <w:r>
        <w:t xml:space="preserve"> Die Gewährleistung dieses Standards verlangt entsprechend den jeweiligen Landesberufsordnungen der Ärzte eine regelmäßige Fort- und Weiterbildung. Somit muss zur Erfüllung des Behandlungsvertrages gewährleistet werden, dass behandelnden Ärzte über eine entsprechende Fort- und Weiterbildung absolvierten. In diesen Fällen kann Art. 6 Abs. 1 lit. b DS-GVO den Rechtfertigungstatbestand darstellen.</w:t>
      </w:r>
    </w:p>
    <w:p w14:paraId="162AB99B" w14:textId="22BCA437" w:rsidR="00303763" w:rsidRDefault="00303763">
      <w:pPr>
        <w:pStyle w:val="Listenabsatz"/>
        <w:numPr>
          <w:ilvl w:val="0"/>
          <w:numId w:val="66"/>
        </w:numPr>
      </w:pPr>
      <w:r>
        <w:t xml:space="preserve">Entsprechend § 630a Abs. 2 BGB muss die </w:t>
      </w:r>
      <w:r w:rsidRPr="00303763">
        <w:t xml:space="preserve">Behandlung </w:t>
      </w:r>
      <w:r>
        <w:t>„</w:t>
      </w:r>
      <w:r w:rsidRPr="00303763">
        <w:t>nach den zum Zeitpunkt der Behandlung bestehenden, allgemein anerkannten fachlichen Standards</w:t>
      </w:r>
      <w:r>
        <w:t>“</w:t>
      </w:r>
      <w:r w:rsidRPr="00303763">
        <w:t xml:space="preserve"> erfolgen, soweit nicht etwas anderes vereinbart ist.</w:t>
      </w:r>
      <w:r>
        <w:t xml:space="preserve"> Dies kann beinhalten, dass auch nicht-ärztliches Personal entsprechende Fort- und Weiterbildungen absolvieren</w:t>
      </w:r>
      <w:r w:rsidR="00F93265">
        <w:t xml:space="preserve"> muss</w:t>
      </w:r>
      <w:r>
        <w:t xml:space="preserve">, bei denen Patientendaten verarbeitet werden. Ein Beispiel hierfür ist das auf Intensivstationen arbeitende Pflegepersonal, welches aufgrund der schnellen Entwicklung von </w:t>
      </w:r>
      <w:r w:rsidR="008C7E23" w:rsidRPr="008C7E23">
        <w:t>B</w:t>
      </w:r>
      <w:r w:rsidRPr="008C7E23">
        <w:t>ehandlungsformen</w:t>
      </w:r>
      <w:r>
        <w:t xml:space="preserve"> eher regelmäßig Fort- und Weiterbildung benötigt. Auch in diesen Fällen kann Art. 6 Abs. 1 lit. b DS-GVO den Rechtfertigungstatbestand darstellen.</w:t>
      </w:r>
    </w:p>
    <w:p w14:paraId="1BF1C93F" w14:textId="6402656E" w:rsidR="00303763" w:rsidRPr="00B74DE5" w:rsidRDefault="00303763">
      <w:pPr>
        <w:pStyle w:val="Listenabsatz"/>
        <w:numPr>
          <w:ilvl w:val="0"/>
          <w:numId w:val="66"/>
        </w:numPr>
      </w:pPr>
      <w:r>
        <w:t xml:space="preserve">In anderen Fällen muss u. U. eine Interessenabwägung nach Art. 6 Abs. 1 lit. f DS-GVO erfolgen und die Fort- und Weiterbildung mit Patientendaten darf nur erfolgen, wenn </w:t>
      </w:r>
      <w:r w:rsidRPr="00303763">
        <w:t>die Interessen oder Grundrechte und Grundfreiheiten der</w:t>
      </w:r>
      <w:r>
        <w:t xml:space="preserve"> jeweiligen Patienten nicht überwiegen.</w:t>
      </w:r>
    </w:p>
    <w:p w14:paraId="2C2CCAAA" w14:textId="7BCF5732" w:rsidR="00E343E3" w:rsidRDefault="00E343E3" w:rsidP="00C626A9">
      <w:pPr>
        <w:pStyle w:val="berschrift4"/>
      </w:pPr>
      <w:bookmarkStart w:id="191" w:name="_Toc169934846"/>
      <w:r>
        <w:t xml:space="preserve">Für </w:t>
      </w:r>
      <w:r w:rsidRPr="00E343E3">
        <w:t>Zwecke des Patienten- und Beschäftigtenschutzes</w:t>
      </w:r>
      <w:r>
        <w:t>, Hygiene</w:t>
      </w:r>
      <w:bookmarkEnd w:id="191"/>
    </w:p>
    <w:p w14:paraId="2EF5D43A" w14:textId="175F3B4A" w:rsidR="00E343E3" w:rsidRDefault="00E343E3" w:rsidP="00E343E3">
      <w:pPr>
        <w:spacing w:after="0"/>
      </w:pPr>
      <w:r>
        <w:t xml:space="preserve">Einige Landeskrankenhausgesetze enthalten die Erlaubnis, Patientendaten für </w:t>
      </w:r>
      <w:r w:rsidRPr="00E343E3">
        <w:t>Zwecke des Patienten- und Beschäftigtenschutzes</w:t>
      </w:r>
      <w:r>
        <w:t xml:space="preserve"> und zur Hygiene zu nutzen:</w:t>
      </w:r>
    </w:p>
    <w:p w14:paraId="77C80CA6" w14:textId="0B96060A" w:rsidR="00ED6DE3" w:rsidRDefault="005F5895" w:rsidP="00ED6DE3">
      <w:pPr>
        <w:pStyle w:val="Listenabsatz"/>
        <w:numPr>
          <w:ilvl w:val="0"/>
          <w:numId w:val="18"/>
        </w:numPr>
        <w:jc w:val="left"/>
      </w:pPr>
      <w:r>
        <w:t>§ </w:t>
      </w:r>
      <w:r w:rsidR="00ED6DE3">
        <w:t xml:space="preserve">28 </w:t>
      </w:r>
      <w:r>
        <w:t>Abs. </w:t>
      </w:r>
      <w:r w:rsidR="00ED6DE3">
        <w:t xml:space="preserve">2 </w:t>
      </w:r>
      <w:r w:rsidRPr="005F5895">
        <w:t>Ziff. </w:t>
      </w:r>
      <w:r w:rsidR="00ED6DE3">
        <w:t xml:space="preserve">4 </w:t>
      </w:r>
      <w:r w:rsidR="00ED6DE3" w:rsidRPr="005F5895">
        <w:t>BbgKHEG</w:t>
      </w:r>
    </w:p>
    <w:p w14:paraId="27DB74FC" w14:textId="626E4509"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5 </w:t>
      </w:r>
      <w:r w:rsidR="00E343E3" w:rsidRPr="00E343E3">
        <w:t>LKHG</w:t>
      </w:r>
      <w:r w:rsidR="00E343E3">
        <w:t xml:space="preserve"> </w:t>
      </w:r>
      <w:r w:rsidR="00E343E3" w:rsidRPr="00E343E3">
        <w:t>Schleswig-Holstein</w:t>
      </w:r>
    </w:p>
    <w:p w14:paraId="46935D03" w14:textId="48335700" w:rsidR="00E343E3" w:rsidRDefault="00E343E3" w:rsidP="00E343E3">
      <w:pPr>
        <w:spacing w:after="0"/>
      </w:pPr>
      <w:r>
        <w:t>Sofern dies auf erforderliche Verarbeitung begrenzt ist, findet dies die Entsprechung in:</w:t>
      </w:r>
    </w:p>
    <w:p w14:paraId="4F0F6EB4" w14:textId="2930E036" w:rsidR="00E343E3" w:rsidRDefault="005F5895" w:rsidP="00E343E3">
      <w:pPr>
        <w:pStyle w:val="Listenabsatz"/>
        <w:numPr>
          <w:ilvl w:val="0"/>
          <w:numId w:val="18"/>
        </w:numPr>
      </w:pPr>
      <w:r>
        <w:t>Art. </w:t>
      </w:r>
      <w:r w:rsidR="00E343E3">
        <w:t xml:space="preserve">9 </w:t>
      </w:r>
      <w:r>
        <w:t>Abs. </w:t>
      </w:r>
      <w:r w:rsidR="00E343E3">
        <w:t xml:space="preserve">2 </w:t>
      </w:r>
      <w:r>
        <w:t>lit. </w:t>
      </w:r>
      <w:r w:rsidR="00562420">
        <w:t>b</w:t>
      </w:r>
      <w:r w:rsidR="00E343E3">
        <w:t xml:space="preserve"> DS-GVO: </w:t>
      </w:r>
      <w:r w:rsidR="00E343E3" w:rsidRPr="00E343E3">
        <w:t xml:space="preserve">Der Schutz der Beschäftigten </w:t>
      </w:r>
      <w:r w:rsidR="00E343E3">
        <w:t xml:space="preserve">resultiert </w:t>
      </w:r>
      <w:r w:rsidR="00E343E3" w:rsidRPr="00E343E3">
        <w:t>aus dem Arbeitsrecht</w:t>
      </w:r>
      <w:r w:rsidR="00E343E3">
        <w:t xml:space="preserve">, der Schutz anderer Patienten als die betroffene Person selbst ist eine Ausprägung aus </w:t>
      </w:r>
      <w:r w:rsidR="00E343E3" w:rsidRPr="00E343E3">
        <w:t>dem Recht der sozialen Sicherheit und des Sozialschutzes</w:t>
      </w:r>
      <w:r w:rsidR="00E343E3">
        <w:t>.</w:t>
      </w:r>
    </w:p>
    <w:p w14:paraId="2AE8572D" w14:textId="1748E952" w:rsidR="00E343E3" w:rsidRDefault="005F5895" w:rsidP="00E343E3">
      <w:pPr>
        <w:pStyle w:val="Listenabsatz"/>
        <w:numPr>
          <w:ilvl w:val="0"/>
          <w:numId w:val="18"/>
        </w:numPr>
      </w:pPr>
      <w:r>
        <w:t>Art. </w:t>
      </w:r>
      <w:r w:rsidR="00E343E3">
        <w:t xml:space="preserve">9 </w:t>
      </w:r>
      <w:r>
        <w:t>Abs. </w:t>
      </w:r>
      <w:r w:rsidR="00E343E3">
        <w:t xml:space="preserve">2 </w:t>
      </w:r>
      <w:r>
        <w:t>lit. </w:t>
      </w:r>
      <w:r w:rsidR="00E343E3">
        <w:t xml:space="preserve">i DS-GVO: Hygieneanforderungen resultieren unmittelbar aus der Anforderung, </w:t>
      </w:r>
      <w:r w:rsidR="00E343E3" w:rsidRPr="00E343E3">
        <w:t>hohe Qualitäts- und Sicherheitsstandards bei der Gesundheitsversorgung</w:t>
      </w:r>
      <w:r w:rsidR="00E343E3">
        <w:t xml:space="preserve"> zu gewährleisten.</w:t>
      </w:r>
    </w:p>
    <w:p w14:paraId="6CEA64F6" w14:textId="1DFC855B" w:rsidR="00E343E3" w:rsidRDefault="00E343E3" w:rsidP="00E343E3">
      <w:r>
        <w:t xml:space="preserve">Entsprechend deutschem Recht liegt in diesen Fällen im Krankenhaus immer auch ein Behandlungsvertrag mit den jeweiligen Patienten vor, sodass der in </w:t>
      </w:r>
      <w:r w:rsidR="005F5895">
        <w:t>Art. </w:t>
      </w:r>
      <w:r>
        <w:t xml:space="preserve">6 </w:t>
      </w:r>
      <w:r w:rsidR="005F5895">
        <w:t>Abs. </w:t>
      </w:r>
      <w:r>
        <w:t xml:space="preserve">1 </w:t>
      </w:r>
      <w:r w:rsidR="005F5895">
        <w:t>lit. </w:t>
      </w:r>
      <w:r>
        <w:t>b DS-GVO enthaltene Rechtfertigungstatbestand anwendbar ist.</w:t>
      </w:r>
    </w:p>
    <w:p w14:paraId="0AEE9379" w14:textId="77777777" w:rsidR="00E343E3" w:rsidRDefault="00E343E3" w:rsidP="00687085"/>
    <w:p w14:paraId="174A1AF6" w14:textId="06693ABA" w:rsidR="00E343E3" w:rsidRDefault="00E343E3" w:rsidP="00C626A9">
      <w:pPr>
        <w:pStyle w:val="berschrift4"/>
      </w:pPr>
      <w:bookmarkStart w:id="192" w:name="_Toc169934847"/>
      <w:r w:rsidRPr="00E343E3">
        <w:t xml:space="preserve">Unterrichtung von </w:t>
      </w:r>
      <w:r w:rsidRPr="005F5895">
        <w:t>Angehörigen</w:t>
      </w:r>
      <w:r w:rsidRPr="00E343E3">
        <w:t xml:space="preserve"> oder anderen Bezugspersonen,</w:t>
      </w:r>
      <w:bookmarkEnd w:id="192"/>
    </w:p>
    <w:p w14:paraId="3CF17AA4" w14:textId="62314884" w:rsidR="00E343E3" w:rsidRDefault="00E343E3" w:rsidP="00E343E3">
      <w:pPr>
        <w:spacing w:after="0"/>
      </w:pPr>
      <w:r>
        <w:t xml:space="preserve">Einige Landeskrankenhausgesetze enthalten die Erlaubnis, Patientendaten zur </w:t>
      </w:r>
      <w:r w:rsidRPr="00E343E3">
        <w:t xml:space="preserve">Unterrichtung von </w:t>
      </w:r>
      <w:r w:rsidRPr="005F5895">
        <w:t>Angehörigen</w:t>
      </w:r>
      <w:r w:rsidRPr="00E343E3">
        <w:t xml:space="preserve"> oder anderen Bezugspersonen</w:t>
      </w:r>
      <w:r>
        <w:t xml:space="preserve"> auch ohne Einwilligung des betroffenen Patienten zu nutzen:</w:t>
      </w:r>
    </w:p>
    <w:p w14:paraId="2CEBCA3E" w14:textId="3C725CBE" w:rsidR="00F3228A" w:rsidRDefault="005F5895" w:rsidP="00ED6DE3">
      <w:pPr>
        <w:pStyle w:val="Listenabsatz"/>
        <w:numPr>
          <w:ilvl w:val="0"/>
          <w:numId w:val="18"/>
        </w:numPr>
        <w:jc w:val="left"/>
      </w:pPr>
      <w:r>
        <w:t>§ </w:t>
      </w:r>
      <w:r w:rsidR="00F3228A">
        <w:t xml:space="preserve">11 </w:t>
      </w:r>
      <w:r>
        <w:t>Abs. </w:t>
      </w:r>
      <w:r w:rsidR="00F3228A">
        <w:t xml:space="preserve">1 </w:t>
      </w:r>
      <w:r w:rsidRPr="005F5895">
        <w:t>Ziff. </w:t>
      </w:r>
      <w:r w:rsidR="00F3228A">
        <w:t xml:space="preserve">11 </w:t>
      </w:r>
      <w:r w:rsidR="00F3228A" w:rsidRPr="005F5895">
        <w:t>HmbKHG</w:t>
      </w:r>
    </w:p>
    <w:p w14:paraId="38BECBE0" w14:textId="227A9CD0" w:rsidR="00C039C3" w:rsidRDefault="005F5895" w:rsidP="00C039C3">
      <w:pPr>
        <w:pStyle w:val="Listenabsatz"/>
        <w:numPr>
          <w:ilvl w:val="0"/>
          <w:numId w:val="18"/>
        </w:numPr>
        <w:jc w:val="left"/>
      </w:pPr>
      <w:r>
        <w:t>§ </w:t>
      </w:r>
      <w:r w:rsidR="00C039C3">
        <w:t xml:space="preserve">12 </w:t>
      </w:r>
      <w:r>
        <w:t>Abs. </w:t>
      </w:r>
      <w:r w:rsidR="00C039C3">
        <w:t xml:space="preserve">2 </w:t>
      </w:r>
      <w:r w:rsidRPr="005F5895">
        <w:t>Ziff. </w:t>
      </w:r>
      <w:r w:rsidR="00C039C3">
        <w:t xml:space="preserve">4 </w:t>
      </w:r>
      <w:r w:rsidR="00C039C3" w:rsidRPr="005F5895">
        <w:t>HKHG</w:t>
      </w:r>
      <w:r w:rsidR="00C039C3" w:rsidRPr="00C039C3">
        <w:t xml:space="preserve"> 2011</w:t>
      </w:r>
    </w:p>
    <w:p w14:paraId="65AB610D" w14:textId="7C74032B" w:rsidR="00C039C3" w:rsidRDefault="005F5895" w:rsidP="00ED6DE3">
      <w:pPr>
        <w:pStyle w:val="Listenabsatz"/>
        <w:numPr>
          <w:ilvl w:val="0"/>
          <w:numId w:val="18"/>
        </w:numPr>
        <w:jc w:val="left"/>
      </w:pPr>
      <w:r>
        <w:t>§ </w:t>
      </w:r>
      <w:r w:rsidR="00C039C3">
        <w:t xml:space="preserve">36 </w:t>
      </w:r>
      <w:r>
        <w:t>Abs. </w:t>
      </w:r>
      <w:r w:rsidR="00C039C3">
        <w:t xml:space="preserve">3 </w:t>
      </w:r>
      <w:r w:rsidRPr="005F5895">
        <w:t>Ziff. </w:t>
      </w:r>
      <w:r w:rsidR="00C039C3">
        <w:t xml:space="preserve">8 </w:t>
      </w:r>
      <w:r w:rsidR="00C039C3" w:rsidRPr="005F5895">
        <w:t>LKG</w:t>
      </w:r>
      <w:r w:rsidR="00C039C3">
        <w:t xml:space="preserve"> RP</w:t>
      </w:r>
    </w:p>
    <w:p w14:paraId="2A809926" w14:textId="6B6D19B5" w:rsidR="004F6D36" w:rsidRDefault="005F5895" w:rsidP="004F6D36">
      <w:pPr>
        <w:pStyle w:val="Listenabsatz"/>
        <w:numPr>
          <w:ilvl w:val="0"/>
          <w:numId w:val="18"/>
        </w:numPr>
        <w:jc w:val="left"/>
      </w:pPr>
      <w:r>
        <w:t>§ </w:t>
      </w:r>
      <w:r w:rsidR="004F6D36">
        <w:t xml:space="preserve">13 </w:t>
      </w:r>
      <w:r>
        <w:t>Abs. </w:t>
      </w:r>
      <w:r w:rsidR="004F6D36">
        <w:t xml:space="preserve">4 </w:t>
      </w:r>
      <w:r w:rsidRPr="005F5895">
        <w:t>Ziff. </w:t>
      </w:r>
      <w:r w:rsidR="004F6D36">
        <w:t xml:space="preserve">7 </w:t>
      </w:r>
      <w:r w:rsidR="004F6D36" w:rsidRPr="005F5895">
        <w:t>SKHG</w:t>
      </w:r>
    </w:p>
    <w:p w14:paraId="4445E55B" w14:textId="78400F8A" w:rsidR="004F6D36" w:rsidRDefault="005F5895" w:rsidP="004F6D36">
      <w:pPr>
        <w:pStyle w:val="Listenabsatz"/>
        <w:numPr>
          <w:ilvl w:val="0"/>
          <w:numId w:val="18"/>
        </w:numPr>
        <w:jc w:val="left"/>
      </w:pPr>
      <w:r>
        <w:t>§ </w:t>
      </w:r>
      <w:r w:rsidR="004F6D36">
        <w:t xml:space="preserve">28 </w:t>
      </w:r>
      <w:r>
        <w:t>Abs. </w:t>
      </w:r>
      <w:r w:rsidR="004F6D36">
        <w:t xml:space="preserve">4 </w:t>
      </w:r>
      <w:r w:rsidRPr="005F5895">
        <w:t>Ziff. </w:t>
      </w:r>
      <w:r w:rsidR="004F6D36">
        <w:t xml:space="preserve">8 </w:t>
      </w:r>
      <w:r w:rsidR="004F6D36" w:rsidRPr="005F5895">
        <w:t>SächsKHG</w:t>
      </w:r>
    </w:p>
    <w:p w14:paraId="16FAC87C" w14:textId="5A46EC0F" w:rsidR="00E343E3" w:rsidRDefault="005F5895" w:rsidP="00ED6DE3">
      <w:pPr>
        <w:pStyle w:val="Listenabsatz"/>
        <w:numPr>
          <w:ilvl w:val="0"/>
          <w:numId w:val="18"/>
        </w:numPr>
        <w:jc w:val="left"/>
      </w:pPr>
      <w:r>
        <w:t>§ </w:t>
      </w:r>
      <w:r w:rsidR="00E343E3">
        <w:t xml:space="preserve">36 </w:t>
      </w:r>
      <w:r>
        <w:t>Abs. </w:t>
      </w:r>
      <w:r w:rsidR="00E343E3">
        <w:t xml:space="preserve">1 </w:t>
      </w:r>
      <w:r w:rsidRPr="005F5895">
        <w:t>Ziff. </w:t>
      </w:r>
      <w:r w:rsidR="00E343E3">
        <w:t xml:space="preserve">4 </w:t>
      </w:r>
      <w:r w:rsidR="00E343E3" w:rsidRPr="00E343E3">
        <w:t>LKHG</w:t>
      </w:r>
      <w:r w:rsidR="00E343E3">
        <w:t xml:space="preserve"> </w:t>
      </w:r>
      <w:r w:rsidR="00E343E3" w:rsidRPr="00E343E3">
        <w:t>Schleswig-Holstein</w:t>
      </w:r>
    </w:p>
    <w:p w14:paraId="54D03A86" w14:textId="4795160D" w:rsidR="00E343E3" w:rsidRDefault="00E343E3" w:rsidP="00687085">
      <w:r>
        <w:t xml:space="preserve">Diese Regelung findet keine Entsprechung in </w:t>
      </w:r>
      <w:r w:rsidR="005F5895">
        <w:t>Art. </w:t>
      </w:r>
      <w:r>
        <w:t xml:space="preserve">9 </w:t>
      </w:r>
      <w:r w:rsidR="005F5895">
        <w:t>Abs. </w:t>
      </w:r>
      <w:r>
        <w:t>2 DS-GVO.</w:t>
      </w:r>
    </w:p>
    <w:p w14:paraId="63C792EE" w14:textId="107AF003" w:rsidR="00E343E3" w:rsidRDefault="00C626A9" w:rsidP="00C626A9">
      <w:pPr>
        <w:pStyle w:val="berschrift3"/>
      </w:pPr>
      <w:bookmarkStart w:id="193" w:name="_Toc169934848"/>
      <w:r w:rsidRPr="00C626A9">
        <w:t>Landesrettungsdienstgesetze</w:t>
      </w:r>
      <w:bookmarkEnd w:id="193"/>
    </w:p>
    <w:p w14:paraId="5BC0E7FD" w14:textId="070504BE" w:rsidR="00F034D6" w:rsidRDefault="00F034D6" w:rsidP="00F034D6">
      <w:r>
        <w:t>Analog zum Krankenhausrecht liegt die Gesetzgebungskompetenz für die Organisation des Rettungsdienstes beim jeweiligen Landesgesetzgeber, wobei der Bundesgesetzgeber Rahmenbedingungen hinsichtlich der Finanzierung und Ausbildung geben kann, der Landesgesetzgeber ergänzend Regelungen zur Fortbildung erlassen kann.</w:t>
      </w:r>
      <w:r w:rsidR="00AB774C">
        <w:rPr>
          <w:rStyle w:val="Funotenzeichen"/>
        </w:rPr>
        <w:footnoteReference w:id="72"/>
      </w:r>
    </w:p>
    <w:p w14:paraId="1290BF63" w14:textId="77777777" w:rsidR="00F034D6" w:rsidRDefault="00F034D6" w:rsidP="00F034D6">
      <w:r>
        <w:t>Dementsprechend existieren in jedem Bundesland Rettungsdienstgesetze, welche die Organisation des Rettungsdienstes regeln, insbesondere auch die Erlaubnis zur Verarbeitung personenbezogener Daten durch den jeweiligen Rettungsdienst. Die Verarbeitung ist hierbei stets auf den Grundsatz der Erforderlichkeit beschränkt; da die Anforderungen von Art. 5 DS-GVO vorrangiges Recht darstellen, ergibt sich dies auch schon direkt aus Art. 5 DS-GVO.</w:t>
      </w:r>
    </w:p>
    <w:p w14:paraId="560AF0B6" w14:textId="77777777" w:rsidR="00F034D6" w:rsidRDefault="00F034D6" w:rsidP="00F034D6">
      <w:pPr>
        <w:spacing w:after="0"/>
      </w:pPr>
      <w:r>
        <w:t>Hinsichtlich der Abbildung der landesrechtlichen Erlaubnistatbestände zur Verarbeitung personenbezogener Daten durch den Rettungsdienst kann wie bei der Abbildung der Landeskrankenhausgesetze vorgegangen werden. Die Landesrettungsdienstgesetze enthalten typischerweise insbesondere die folgenden Erlaubnistatbestände:</w:t>
      </w:r>
    </w:p>
    <w:p w14:paraId="7CC15559" w14:textId="77777777" w:rsidR="00F034D6" w:rsidRDefault="00F034D6" w:rsidP="00F034D6">
      <w:pPr>
        <w:pStyle w:val="Listenabsatz"/>
        <w:numPr>
          <w:ilvl w:val="0"/>
          <w:numId w:val="67"/>
        </w:numPr>
      </w:pPr>
      <w:r w:rsidRPr="00AC3459">
        <w:t>für</w:t>
      </w:r>
      <w:r>
        <w:t xml:space="preserve"> die Erbringung von rettungsdienstlichen Leistungen und die weitere medizinische Versorgung des Patienten:</w:t>
      </w:r>
    </w:p>
    <w:p w14:paraId="1FF4325E" w14:textId="3D72C5DD" w:rsidR="00F034D6" w:rsidRDefault="00F034D6" w:rsidP="00F034D6">
      <w:pPr>
        <w:pStyle w:val="Listenabsatz"/>
      </w:pPr>
      <w:r w:rsidRPr="00AC3459">
        <w:t>hier</w:t>
      </w:r>
      <w:r>
        <w:t xml:space="preserve"> liegt ein Behandlungsvertrag „</w:t>
      </w:r>
      <w:r w:rsidRPr="00E90B28">
        <w:t>mit einem Angehörigen eines Gesundheitsberufs</w:t>
      </w:r>
      <w:r>
        <w:t>“ vor, denn die Ausbildung zum Notfallsanitäter ist gesetzlich geregelt</w:t>
      </w:r>
      <w:r>
        <w:rPr>
          <w:rStyle w:val="Funotenzeichen"/>
        </w:rPr>
        <w:footnoteReference w:id="73"/>
      </w:r>
      <w:r>
        <w:t xml:space="preserve">, </w:t>
      </w:r>
      <w:r w:rsidR="00AB774C">
        <w:t>Rettun</w:t>
      </w:r>
      <w:r w:rsidR="00AC559B">
        <w:t>g</w:t>
      </w:r>
      <w:r w:rsidR="00AB774C">
        <w:t>ssanitäter wiederum in Landesgesetzen.</w:t>
      </w:r>
      <w:r w:rsidR="00AB774C">
        <w:rPr>
          <w:rStyle w:val="Funotenzeichen"/>
        </w:rPr>
        <w:footnoteReference w:id="74"/>
      </w:r>
      <w:r w:rsidR="00AB774C">
        <w:t xml:space="preserve"> D</w:t>
      </w:r>
      <w:r>
        <w:t xml:space="preserve">aher kann die Argumentation aus Kap. </w:t>
      </w:r>
      <w:r>
        <w:fldChar w:fldCharType="begin"/>
      </w:r>
      <w:r>
        <w:instrText xml:space="preserve"> REF _Ref162082119 \r \h </w:instrText>
      </w:r>
      <w:r>
        <w:fldChar w:fldCharType="separate"/>
      </w:r>
      <w:r w:rsidR="00F43608">
        <w:t>7.3.1.1</w:t>
      </w:r>
      <w:r>
        <w:fldChar w:fldCharType="end"/>
      </w:r>
      <w:r>
        <w:t xml:space="preserve"> angewendet werden, d. h. </w:t>
      </w:r>
      <w:r w:rsidRPr="00E90B28">
        <w:t>der in Art.</w:t>
      </w:r>
      <w:r>
        <w:t> </w:t>
      </w:r>
      <w:r w:rsidRPr="00E90B28">
        <w:t>6 Abs.</w:t>
      </w:r>
      <w:r>
        <w:t> </w:t>
      </w:r>
      <w:r w:rsidRPr="00E90B28">
        <w:t>1 lit.</w:t>
      </w:r>
      <w:r>
        <w:t> </w:t>
      </w:r>
      <w:r w:rsidRPr="00E90B28">
        <w:t xml:space="preserve">b DS-GVO enthaltene Rechtfertigungstatbestand </w:t>
      </w:r>
      <w:r>
        <w:t xml:space="preserve">auch hier anwendbar </w:t>
      </w:r>
      <w:r w:rsidRPr="00E90B28">
        <w:t>ist</w:t>
      </w:r>
      <w:r>
        <w:t>;</w:t>
      </w:r>
    </w:p>
    <w:p w14:paraId="763CFD83" w14:textId="77777777" w:rsidR="00F034D6" w:rsidRDefault="00F034D6" w:rsidP="00F034D6">
      <w:pPr>
        <w:pStyle w:val="Listenabsatz"/>
        <w:numPr>
          <w:ilvl w:val="0"/>
          <w:numId w:val="67"/>
        </w:numPr>
      </w:pPr>
      <w:r w:rsidRPr="00AC3459">
        <w:t>zur</w:t>
      </w:r>
      <w:r>
        <w:t xml:space="preserve"> Abrechnung der erbrachten Leistungen:</w:t>
      </w:r>
    </w:p>
    <w:p w14:paraId="1CD681BA" w14:textId="42678AB4" w:rsidR="00F034D6" w:rsidRDefault="00F034D6" w:rsidP="00F034D6">
      <w:pPr>
        <w:pStyle w:val="Listenabsatz"/>
      </w:pPr>
      <w:r w:rsidRPr="00AC3459">
        <w:t>hier</w:t>
      </w:r>
      <w:r>
        <w:t xml:space="preserve"> kann die Darstellung aus Kap. </w:t>
      </w:r>
      <w:r>
        <w:fldChar w:fldCharType="begin"/>
      </w:r>
      <w:r>
        <w:instrText xml:space="preserve"> REF _Ref169680523 \r \h </w:instrText>
      </w:r>
      <w:r>
        <w:fldChar w:fldCharType="separate"/>
      </w:r>
      <w:r w:rsidR="00F43608">
        <w:t>7.3.1.4</w:t>
      </w:r>
      <w:r>
        <w:fldChar w:fldCharType="end"/>
      </w:r>
      <w:r>
        <w:t xml:space="preserve"> genutzt werden;</w:t>
      </w:r>
    </w:p>
    <w:p w14:paraId="6C3B8F37" w14:textId="77777777" w:rsidR="00F034D6" w:rsidRDefault="00F034D6" w:rsidP="00F034D6">
      <w:pPr>
        <w:pStyle w:val="Listenabsatz"/>
        <w:numPr>
          <w:ilvl w:val="0"/>
          <w:numId w:val="67"/>
        </w:numPr>
      </w:pPr>
      <w:r w:rsidRPr="00AC3459">
        <w:t>zum</w:t>
      </w:r>
      <w:r>
        <w:t xml:space="preserve"> Nachweis ordnungsgemäßer Ausführung des Einsatzes, zur Klärung von Ansprüchen oder zur Verteidigung im Fall einer Verfolgung wegen Straftaten oder Ordnungswidrigkeiten:</w:t>
      </w:r>
    </w:p>
    <w:p w14:paraId="43F2183B" w14:textId="6BE46BEA" w:rsidR="00F034D6" w:rsidRDefault="00F034D6" w:rsidP="00F034D6">
      <w:pPr>
        <w:pStyle w:val="Listenabsatz"/>
      </w:pPr>
      <w:r w:rsidRPr="00AC3459">
        <w:t>diese</w:t>
      </w:r>
      <w:r>
        <w:t xml:space="preserve"> Vorgabe korrespondiert mit Art. 9 Abs. 2 lit. f DS-GVO, bzgl. Rechtfertigungstatbestand siehe Argumentation in Kap.</w:t>
      </w:r>
      <w:r>
        <w:fldChar w:fldCharType="begin"/>
      </w:r>
      <w:r>
        <w:instrText xml:space="preserve"> REF _Ref169680524 \r \h </w:instrText>
      </w:r>
      <w:r>
        <w:fldChar w:fldCharType="separate"/>
      </w:r>
      <w:r w:rsidR="00F43608">
        <w:t>5.6</w:t>
      </w:r>
      <w:r>
        <w:fldChar w:fldCharType="end"/>
      </w:r>
      <w:r>
        <w:t>;</w:t>
      </w:r>
    </w:p>
    <w:p w14:paraId="399874F6" w14:textId="77777777" w:rsidR="00F034D6" w:rsidRDefault="00F034D6" w:rsidP="00F034D6">
      <w:pPr>
        <w:pStyle w:val="Listenabsatz"/>
        <w:numPr>
          <w:ilvl w:val="0"/>
          <w:numId w:val="67"/>
        </w:numPr>
      </w:pPr>
      <w:r w:rsidRPr="00AC3459">
        <w:t>zur</w:t>
      </w:r>
      <w:r>
        <w:t xml:space="preserve"> Qualitätssicherung im Rettungsdienst:</w:t>
      </w:r>
    </w:p>
    <w:p w14:paraId="28CBDFEE" w14:textId="145F11D4" w:rsidR="00F034D6" w:rsidRDefault="00F034D6" w:rsidP="00F034D6">
      <w:pPr>
        <w:pStyle w:val="Listenabsatz"/>
      </w:pPr>
      <w:r w:rsidRPr="00AC3459">
        <w:t>auch</w:t>
      </w:r>
      <w:r>
        <w:t xml:space="preserve"> diese Regelung ist analog zu entsprechenden Regelungen in den Landeskrankenhausgesetzen zu betrachten, inklusive der zu beachtenden europarechtlichen Vorgaben, welche in Kap. </w:t>
      </w:r>
      <w:r>
        <w:fldChar w:fldCharType="begin"/>
      </w:r>
      <w:r>
        <w:instrText xml:space="preserve"> REF _Ref169680525 \r \h </w:instrText>
      </w:r>
      <w:r>
        <w:fldChar w:fldCharType="separate"/>
      </w:r>
      <w:r w:rsidR="00F43608">
        <w:t>7.3.1.5</w:t>
      </w:r>
      <w:r>
        <w:fldChar w:fldCharType="end"/>
      </w:r>
      <w:r>
        <w:t xml:space="preserve">kurz angesprochen wurden, </w:t>
      </w:r>
      <w:r w:rsidRPr="00AC3459">
        <w:t>d. h.</w:t>
      </w:r>
      <w:r>
        <w:t xml:space="preserve"> die Argumentation in Kap. </w:t>
      </w:r>
      <w:r>
        <w:fldChar w:fldCharType="begin"/>
      </w:r>
      <w:r>
        <w:instrText xml:space="preserve"> REF _Ref169680526 \r \h </w:instrText>
      </w:r>
      <w:r>
        <w:fldChar w:fldCharType="separate"/>
      </w:r>
      <w:r w:rsidR="00F43608">
        <w:t>7.3.1.5</w:t>
      </w:r>
      <w:r>
        <w:fldChar w:fldCharType="end"/>
      </w:r>
      <w:r>
        <w:t xml:space="preserve"> kann auch hier angewendet werden;</w:t>
      </w:r>
    </w:p>
    <w:p w14:paraId="305A69C8" w14:textId="77777777" w:rsidR="00F034D6" w:rsidRDefault="00F034D6" w:rsidP="00F034D6">
      <w:pPr>
        <w:pStyle w:val="Listenabsatz"/>
        <w:numPr>
          <w:ilvl w:val="0"/>
          <w:numId w:val="67"/>
        </w:numPr>
      </w:pPr>
      <w:r w:rsidRPr="00AC3459">
        <w:t>zur</w:t>
      </w:r>
      <w:r>
        <w:t xml:space="preserve"> Ausbildung, Fortbildung und Weiterbildung des im Rettungsdienst eingesetzten Personals:</w:t>
      </w:r>
    </w:p>
    <w:p w14:paraId="1798D99A" w14:textId="7436E2B0" w:rsidR="00F034D6" w:rsidRDefault="00F034D6" w:rsidP="00F034D6">
      <w:pPr>
        <w:pStyle w:val="Listenabsatz"/>
      </w:pPr>
      <w:r w:rsidRPr="00AC3459">
        <w:t>hier</w:t>
      </w:r>
      <w:r>
        <w:t xml:space="preserve"> wird auf die Ausführungen in Kap. </w:t>
      </w:r>
      <w:r>
        <w:fldChar w:fldCharType="begin"/>
      </w:r>
      <w:r>
        <w:instrText xml:space="preserve"> REF _Ref169680527 \r \h </w:instrText>
      </w:r>
      <w:r>
        <w:fldChar w:fldCharType="separate"/>
      </w:r>
      <w:r w:rsidR="00F43608">
        <w:t>7.3.1.7</w:t>
      </w:r>
      <w:r>
        <w:fldChar w:fldCharType="end"/>
      </w:r>
      <w:r>
        <w:t xml:space="preserve"> verwiesen;</w:t>
      </w:r>
    </w:p>
    <w:p w14:paraId="5DE0A868" w14:textId="77777777" w:rsidR="00F034D6" w:rsidRDefault="00F034D6" w:rsidP="00F034D6">
      <w:pPr>
        <w:pStyle w:val="Listenabsatz"/>
      </w:pPr>
      <w:r w:rsidRPr="00AC3459">
        <w:t>sowie</w:t>
      </w:r>
    </w:p>
    <w:p w14:paraId="0EA99838" w14:textId="77777777" w:rsidR="00F034D6" w:rsidRDefault="00F034D6" w:rsidP="00F034D6">
      <w:pPr>
        <w:pStyle w:val="Listenabsatz"/>
        <w:numPr>
          <w:ilvl w:val="0"/>
          <w:numId w:val="67"/>
        </w:numPr>
      </w:pPr>
      <w:r w:rsidRPr="00AC3459">
        <w:t>zur</w:t>
      </w:r>
      <w:r>
        <w:t xml:space="preserve"> Bestimmung des Bedarfs an Rettungsmitteln:</w:t>
      </w:r>
    </w:p>
    <w:p w14:paraId="1B41482E" w14:textId="3249AC22" w:rsidR="00F034D6" w:rsidRDefault="00F034D6" w:rsidP="00F034D6">
      <w:pPr>
        <w:pStyle w:val="Listenabsatz"/>
      </w:pPr>
      <w:r w:rsidRPr="00AC3459">
        <w:t>der</w:t>
      </w:r>
      <w:r>
        <w:t xml:space="preserve"> Rettungsdienst ist ein Element der sozialen Sicherung, weswegen derzeit Überlegungen vorhanden sind, Regelungen hierzu im SGB V zu verankern</w:t>
      </w:r>
      <w:r>
        <w:rPr>
          <w:rStyle w:val="Funotenzeichen"/>
        </w:rPr>
        <w:footnoteReference w:id="75"/>
      </w:r>
      <w:r>
        <w:t xml:space="preserve">. Daher ist Art. 9 Abs. 2 lit. b anwendbar, bzgl. Abbildung auf einen in Art. 6 </w:t>
      </w:r>
      <w:r w:rsidRPr="00AC3459">
        <w:t>DS-GVO</w:t>
      </w:r>
      <w:r>
        <w:t xml:space="preserve"> genannten Rechtfertigungstatbestand siehe die Argumentation in Kap.</w:t>
      </w:r>
      <w:r>
        <w:fldChar w:fldCharType="begin"/>
      </w:r>
      <w:r>
        <w:instrText xml:space="preserve"> REF _Ref169680538 \r \h </w:instrText>
      </w:r>
      <w:r>
        <w:fldChar w:fldCharType="separate"/>
      </w:r>
      <w:r w:rsidR="00F43608">
        <w:t>5.2</w:t>
      </w:r>
      <w:r>
        <w:fldChar w:fldCharType="end"/>
      </w:r>
      <w:r>
        <w:t>.</w:t>
      </w:r>
    </w:p>
    <w:p w14:paraId="327ACA27" w14:textId="77777777" w:rsidR="00F034D6" w:rsidRDefault="00F034D6" w:rsidP="00F034D6">
      <w:pPr>
        <w:spacing w:after="0"/>
      </w:pPr>
      <w:r>
        <w:t xml:space="preserve">Einzelne Landesgesetze enthalten auch noch </w:t>
      </w:r>
      <w:r w:rsidRPr="00AC3459">
        <w:t>Regelungen</w:t>
      </w:r>
    </w:p>
    <w:p w14:paraId="2BAA11E9" w14:textId="77777777" w:rsidR="00F034D6" w:rsidRDefault="00F034D6" w:rsidP="00F034D6">
      <w:pPr>
        <w:pStyle w:val="Listenabsatz"/>
        <w:numPr>
          <w:ilvl w:val="0"/>
          <w:numId w:val="68"/>
        </w:numPr>
      </w:pPr>
      <w:r w:rsidRPr="00AC3459">
        <w:t>für</w:t>
      </w:r>
      <w:r>
        <w:t xml:space="preserve"> Zwecke der wissenschaftlichen notfallmedizinischen Forschung oder</w:t>
      </w:r>
    </w:p>
    <w:p w14:paraId="367DE605" w14:textId="77777777" w:rsidR="00F034D6" w:rsidRDefault="00F034D6" w:rsidP="00F034D6">
      <w:pPr>
        <w:pStyle w:val="Listenabsatz"/>
        <w:numPr>
          <w:ilvl w:val="0"/>
          <w:numId w:val="68"/>
        </w:numPr>
      </w:pPr>
      <w:r w:rsidRPr="00AC3459">
        <w:t>für</w:t>
      </w:r>
      <w:r>
        <w:t xml:space="preserve"> die Unterrichtung von Angehörigen oder</w:t>
      </w:r>
    </w:p>
    <w:p w14:paraId="16EE2782" w14:textId="77777777" w:rsidR="00F034D6" w:rsidRDefault="00F034D6" w:rsidP="00F034D6">
      <w:pPr>
        <w:pStyle w:val="Listenabsatz"/>
        <w:numPr>
          <w:ilvl w:val="0"/>
          <w:numId w:val="68"/>
        </w:numPr>
      </w:pPr>
      <w:r w:rsidRPr="00AC3459">
        <w:t>zur</w:t>
      </w:r>
      <w:r>
        <w:t xml:space="preserve"> Personenauskunft bei Großschadensereignissen und Katastrophen an die zuständigen Gefahrenabwehr- und Polizeibehörden.</w:t>
      </w:r>
    </w:p>
    <w:p w14:paraId="496E69F6" w14:textId="77777777" w:rsidR="00F034D6" w:rsidRDefault="00F034D6" w:rsidP="00F034D6">
      <w:pPr>
        <w:pStyle w:val="Listenabsatz"/>
        <w:ind w:left="432"/>
      </w:pPr>
      <w:r>
        <w:t>Auch in diesen Fällen kann analog zu den Regelungen in den Landeskrankenhausgesetzen argumentiert werden und so mindestens einer der in Art. 6 DS-GVO enthaltenen Rechtfertigungstatbestände den nationalen gesetzlichen Regelungen zugewiesen werden.</w:t>
      </w:r>
    </w:p>
    <w:p w14:paraId="7B3E39BD" w14:textId="77777777" w:rsidR="00C626A9" w:rsidRPr="00C626A9" w:rsidRDefault="00C626A9" w:rsidP="00C626A9"/>
    <w:p w14:paraId="3D572E2F" w14:textId="77777777" w:rsidR="00990A0B" w:rsidRDefault="00990A0B">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405364CF" w14:textId="3DB5247C" w:rsidR="00993649" w:rsidRDefault="00993649" w:rsidP="00993649">
      <w:pPr>
        <w:pStyle w:val="berschrift1"/>
      </w:pPr>
      <w:bookmarkStart w:id="194" w:name="_Ref161864689"/>
      <w:bookmarkStart w:id="195" w:name="_Toc169934849"/>
      <w:r>
        <w:t>Interessenabwägung</w:t>
      </w:r>
      <w:bookmarkEnd w:id="194"/>
      <w:bookmarkEnd w:id="195"/>
    </w:p>
    <w:p w14:paraId="1220DAB1" w14:textId="43CCAB22" w:rsidR="003147ED" w:rsidRDefault="003147ED" w:rsidP="003147ED">
      <w:r>
        <w:t xml:space="preserve">Der EuGH stellte fest, dass die Tatbestände von </w:t>
      </w:r>
      <w:r w:rsidR="005F5895">
        <w:t>Art. </w:t>
      </w:r>
      <w:r>
        <w:t>6 und 9 DS-GVO eng auszulegen sind.</w:t>
      </w:r>
      <w:r>
        <w:rPr>
          <w:rStyle w:val="Funotenzeichen"/>
        </w:rPr>
        <w:footnoteReference w:id="76"/>
      </w:r>
      <w:r>
        <w:t xml:space="preserve"> Entsprechend gilt dies auch für die in </w:t>
      </w:r>
      <w:r w:rsidR="005F5895">
        <w:t>Art. </w:t>
      </w:r>
      <w:r>
        <w:t xml:space="preserve">6 </w:t>
      </w:r>
      <w:r w:rsidR="005F5895">
        <w:t>Abs. </w:t>
      </w:r>
      <w:r>
        <w:t xml:space="preserve">1 </w:t>
      </w:r>
      <w:r w:rsidR="005F5895">
        <w:t>lit. </w:t>
      </w:r>
      <w:r>
        <w:t xml:space="preserve">f DS-GVO enthaltene Interessenabwägung. Die Verarbeitung von in </w:t>
      </w:r>
      <w:r w:rsidR="005F5895">
        <w:t>Art. </w:t>
      </w:r>
      <w:r>
        <w:t xml:space="preserve">9 </w:t>
      </w:r>
      <w:r w:rsidR="005F5895">
        <w:t>Abs. </w:t>
      </w:r>
      <w:r>
        <w:t xml:space="preserve">1 DS-GVO genannten Datenkategorien kann grundsätzlich nicht allein durch eine </w:t>
      </w:r>
      <w:r w:rsidR="00303763">
        <w:t xml:space="preserve">Interessenabwägung </w:t>
      </w:r>
      <w:r>
        <w:t xml:space="preserve">legitimiert werden, hierzu ist immer ein in </w:t>
      </w:r>
      <w:r w:rsidR="005F5895">
        <w:t>Art. </w:t>
      </w:r>
      <w:r>
        <w:t xml:space="preserve">9 </w:t>
      </w:r>
      <w:r w:rsidR="005F5895">
        <w:t>Abs. </w:t>
      </w:r>
      <w:r>
        <w:t xml:space="preserve">2 DS-GVO enthaltener Erlaubnistatbestand erforderlich. </w:t>
      </w:r>
      <w:r w:rsidR="005F5895">
        <w:t>Art. </w:t>
      </w:r>
      <w:r>
        <w:t xml:space="preserve">9 </w:t>
      </w:r>
      <w:r w:rsidR="005F5895">
        <w:t>Abs. </w:t>
      </w:r>
      <w:r>
        <w:t xml:space="preserve">4 DS-GVO erlaubt Mitgliedsstaaten zwar die Einführung oder Aufrechterhaltung zusätzlicher Bedingungen für die in </w:t>
      </w:r>
      <w:r w:rsidR="005F5895">
        <w:t>Art. </w:t>
      </w:r>
      <w:r>
        <w:t xml:space="preserve">9 </w:t>
      </w:r>
      <w:r w:rsidR="005F5895">
        <w:t>Abs. </w:t>
      </w:r>
      <w:r>
        <w:t>2 DS-GVO genannten Erlaubnistatbestände, nicht jedoch die Schaffung neuer Ausnahmen vo</w:t>
      </w:r>
      <w:r w:rsidR="00303763">
        <w:t>n de</w:t>
      </w:r>
      <w:r>
        <w:t xml:space="preserve">m in </w:t>
      </w:r>
      <w:r w:rsidR="005F5895">
        <w:t>Art. </w:t>
      </w:r>
      <w:r>
        <w:t xml:space="preserve">9 </w:t>
      </w:r>
      <w:r w:rsidR="005F5895">
        <w:t>Abs. </w:t>
      </w:r>
      <w:r>
        <w:t>1 DS-GVO enthaltene</w:t>
      </w:r>
      <w:r w:rsidR="00303763">
        <w:t>n</w:t>
      </w:r>
      <w:r>
        <w:t xml:space="preserve"> grundsätzlichen Verbot der Verarbeitung der dort genannten </w:t>
      </w:r>
      <w:r w:rsidRPr="003147ED">
        <w:t>besondere</w:t>
      </w:r>
      <w:r w:rsidR="00562420">
        <w:t>n</w:t>
      </w:r>
      <w:r w:rsidRPr="003147ED">
        <w:t xml:space="preserve"> Kategorien personenbezogener Daten</w:t>
      </w:r>
      <w:r>
        <w:t>.</w:t>
      </w:r>
    </w:p>
    <w:p w14:paraId="4EC46397" w14:textId="311655B4" w:rsidR="003147ED" w:rsidRDefault="003147ED" w:rsidP="003147ED">
      <w:r>
        <w:t xml:space="preserve">Jedoch kann </w:t>
      </w:r>
      <w:r w:rsidR="005F5895">
        <w:t>Art. </w:t>
      </w:r>
      <w:r>
        <w:t xml:space="preserve">6 </w:t>
      </w:r>
      <w:r w:rsidR="005F5895">
        <w:t>Abs. </w:t>
      </w:r>
      <w:r>
        <w:t xml:space="preserve">1 </w:t>
      </w:r>
      <w:r w:rsidR="005F5895">
        <w:t>lit. </w:t>
      </w:r>
      <w:r>
        <w:t xml:space="preserve">f DS-GVO den ergänzend erforderlichen Rechtfertigungstatbestand darstellen. Die Vorgabe der engen Auslegung durch den EuGH bedingt allerdings, dass Verantwortliche im Zweifelsfall immer von einem überwiegenden Interesse der betroffenen Personen ausgehen müssen. Nur bei einem eindeutig erkennbaren gleichwertigen oder sogar überwiegenden Interesse des Verantwortlichen kann </w:t>
      </w:r>
      <w:r w:rsidR="005F5895">
        <w:t>Art. </w:t>
      </w:r>
      <w:r>
        <w:t xml:space="preserve">6 </w:t>
      </w:r>
      <w:r w:rsidR="005F5895">
        <w:t>Abs. </w:t>
      </w:r>
      <w:r>
        <w:t xml:space="preserve">1 </w:t>
      </w:r>
      <w:r w:rsidR="005F5895">
        <w:t>lit. </w:t>
      </w:r>
      <w:r>
        <w:t xml:space="preserve">f DS-GVO einen </w:t>
      </w:r>
      <w:r w:rsidR="008B0D52" w:rsidRPr="008B0D52">
        <w:t>R</w:t>
      </w:r>
      <w:r w:rsidRPr="008B0D52">
        <w:t>echtfertigungstatbestand</w:t>
      </w:r>
      <w:r>
        <w:t xml:space="preserve"> darstellen.</w:t>
      </w:r>
    </w:p>
    <w:p w14:paraId="23292D31" w14:textId="4D487BC1" w:rsidR="003147ED" w:rsidRDefault="003147ED" w:rsidP="003147ED">
      <w:r>
        <w:t xml:space="preserve">Aufgrund der in </w:t>
      </w:r>
      <w:r w:rsidR="005F5895">
        <w:t>Art. </w:t>
      </w:r>
      <w:r>
        <w:t xml:space="preserve">5 </w:t>
      </w:r>
      <w:r w:rsidR="005F5895">
        <w:t>Abs. </w:t>
      </w:r>
      <w:r>
        <w:t>2 DS-GVO enthaltenen Nachweispflicht muss der Verantwortliche den Nachweis bringen, dass die Interessen der betroffenen Person die eigenen nicht überwiegen.</w:t>
      </w:r>
    </w:p>
    <w:p w14:paraId="6D8E575B" w14:textId="49A3145C" w:rsidR="00AF1849" w:rsidRDefault="00AF1849" w:rsidP="00AF1849">
      <w:pPr>
        <w:spacing w:after="0"/>
      </w:pPr>
      <w:r>
        <w:t xml:space="preserve">Mindestens nachfolgende Faktoren sind bei einer </w:t>
      </w:r>
      <w:r w:rsidR="00303763">
        <w:t xml:space="preserve">Interessenabwägung </w:t>
      </w:r>
      <w:r>
        <w:t>zu berücksichtigen:</w:t>
      </w:r>
    </w:p>
    <w:p w14:paraId="1AAC141A" w14:textId="5F65C214" w:rsidR="00AF1849" w:rsidRDefault="00AF1849" w:rsidP="00AF1849">
      <w:pPr>
        <w:pStyle w:val="Listenabsatz"/>
        <w:numPr>
          <w:ilvl w:val="0"/>
          <w:numId w:val="18"/>
        </w:numPr>
      </w:pPr>
      <w:r>
        <w:t>Handelt es sich bei der betroffenen Person um ein Kind?</w:t>
      </w:r>
    </w:p>
    <w:p w14:paraId="08BA36EC" w14:textId="03C16E4C" w:rsidR="00AF1849" w:rsidRDefault="00AF1849" w:rsidP="00AF1849">
      <w:pPr>
        <w:pStyle w:val="Listenabsatz"/>
        <w:numPr>
          <w:ilvl w:val="0"/>
          <w:numId w:val="18"/>
        </w:numPr>
      </w:pPr>
      <w:r>
        <w:t xml:space="preserve">Die Art der Daten sowie deren Sensibilität. Unterliegen die </w:t>
      </w:r>
      <w:r w:rsidR="008B0D52" w:rsidRPr="008B0D52">
        <w:t>D</w:t>
      </w:r>
      <w:r w:rsidRPr="008B0D52">
        <w:t>aten</w:t>
      </w:r>
      <w:r>
        <w:t xml:space="preserve"> beispielsweise einem Berufsgeheimnis?</w:t>
      </w:r>
    </w:p>
    <w:p w14:paraId="6AD9AEC2" w14:textId="77777777" w:rsidR="00AF1849" w:rsidRDefault="00AF1849" w:rsidP="00AF1849">
      <w:pPr>
        <w:pStyle w:val="Listenabsatz"/>
        <w:numPr>
          <w:ilvl w:val="0"/>
          <w:numId w:val="18"/>
        </w:numPr>
      </w:pPr>
      <w:r>
        <w:t>Der Umfang der Daten, die über eine Person verarbeitet werden.</w:t>
      </w:r>
    </w:p>
    <w:p w14:paraId="61C21AED" w14:textId="77777777" w:rsidR="00AF1849" w:rsidRDefault="00AF1849" w:rsidP="00AF1849">
      <w:pPr>
        <w:pStyle w:val="Listenabsatz"/>
        <w:numPr>
          <w:ilvl w:val="0"/>
          <w:numId w:val="18"/>
        </w:numPr>
      </w:pPr>
      <w:r>
        <w:t>Wie wurden die Daten erhoben?</w:t>
      </w:r>
    </w:p>
    <w:p w14:paraId="52F659DA" w14:textId="70F73B79" w:rsidR="00AF1849" w:rsidRDefault="00AF1849" w:rsidP="00BE181A">
      <w:pPr>
        <w:pStyle w:val="Listenabsatz"/>
        <w:numPr>
          <w:ilvl w:val="0"/>
          <w:numId w:val="18"/>
        </w:numPr>
      </w:pPr>
      <w:r>
        <w:t xml:space="preserve">Wurde der betroffenen Person bei der Erhebung der Umstand der </w:t>
      </w:r>
      <w:r w:rsidR="00303763">
        <w:t xml:space="preserve">Interessenabwägung </w:t>
      </w:r>
      <w:r>
        <w:t>sowie die Möglichkeit eines Widerspruchs gegen die darauf basierende Verarbeitung mitgeteilt?</w:t>
      </w:r>
    </w:p>
    <w:p w14:paraId="3C123D11" w14:textId="77777777" w:rsidR="00AF1849" w:rsidRDefault="00AF1849" w:rsidP="00AF1849">
      <w:pPr>
        <w:pStyle w:val="Listenabsatz"/>
        <w:numPr>
          <w:ilvl w:val="0"/>
          <w:numId w:val="18"/>
        </w:numPr>
      </w:pPr>
      <w:r>
        <w:t>Der Aussagegehalt der Daten, insbesondere auch aus Sicht der betroffenen Person.</w:t>
      </w:r>
    </w:p>
    <w:p w14:paraId="22BD80EE" w14:textId="77777777" w:rsidR="00AF1849" w:rsidRDefault="00AF1849" w:rsidP="00AF1849">
      <w:pPr>
        <w:pStyle w:val="Listenabsatz"/>
        <w:numPr>
          <w:ilvl w:val="0"/>
          <w:numId w:val="18"/>
        </w:numPr>
      </w:pPr>
      <w:r>
        <w:t>Die Möglichkeit, Daten mit Daten aus anderen Verarbeitungsverhältnissen zu kombinieren und daraus weitergehenden Aussagen zu erhalten.</w:t>
      </w:r>
    </w:p>
    <w:p w14:paraId="5B07F670" w14:textId="4F362966" w:rsidR="00AF1849" w:rsidRDefault="00AF1849" w:rsidP="00AF1849">
      <w:pPr>
        <w:pStyle w:val="Listenabsatz"/>
        <w:numPr>
          <w:ilvl w:val="0"/>
          <w:numId w:val="18"/>
        </w:numPr>
      </w:pPr>
      <w:r>
        <w:t>Sollen Profile der betroffenen Person erstellt werden?</w:t>
      </w:r>
    </w:p>
    <w:p w14:paraId="4F3DE4ED" w14:textId="695688D0" w:rsidR="00AF1849" w:rsidRDefault="00AF1849" w:rsidP="00AF1849">
      <w:pPr>
        <w:pStyle w:val="Listenabsatz"/>
        <w:numPr>
          <w:ilvl w:val="0"/>
          <w:numId w:val="18"/>
        </w:numPr>
      </w:pPr>
      <w:r>
        <w:t xml:space="preserve">Soll das Verhalten der betroffenen Person erkannt oder vorhergesagt </w:t>
      </w:r>
      <w:r w:rsidRPr="008B0D52">
        <w:t>werden</w:t>
      </w:r>
      <w:r w:rsidR="008B0D52" w:rsidRPr="008B0D52">
        <w:t>?</w:t>
      </w:r>
    </w:p>
    <w:p w14:paraId="5B860792" w14:textId="77777777" w:rsidR="00AF1849" w:rsidRDefault="00AF1849" w:rsidP="00AF1849">
      <w:pPr>
        <w:pStyle w:val="Listenabsatz"/>
        <w:numPr>
          <w:ilvl w:val="0"/>
          <w:numId w:val="18"/>
        </w:numPr>
      </w:pPr>
      <w:r>
        <w:t>Wie hoch ist das Risiko für die Rechte und Freiheiten der betroffenen Person?</w:t>
      </w:r>
    </w:p>
    <w:p w14:paraId="47CE1978" w14:textId="1F3029E6" w:rsidR="00AF1849" w:rsidRPr="003147ED" w:rsidRDefault="00AF1849" w:rsidP="005B4FB5">
      <w:pPr>
        <w:pStyle w:val="Listenabsatz"/>
        <w:numPr>
          <w:ilvl w:val="0"/>
          <w:numId w:val="18"/>
        </w:numPr>
      </w:pPr>
      <w:r>
        <w:t>Welche Eingreifmöglichkeiten in die Verarbeitung hat die Person?</w:t>
      </w:r>
    </w:p>
    <w:p w14:paraId="4F52FAB5" w14:textId="6416F697" w:rsidR="00993649" w:rsidRDefault="00993649" w:rsidP="00993649">
      <w:pPr>
        <w:pStyle w:val="berschrift2"/>
      </w:pPr>
      <w:bookmarkStart w:id="196" w:name="_Toc169934850"/>
      <w:r>
        <w:t>Vorgaben der DS-GVO</w:t>
      </w:r>
      <w:bookmarkEnd w:id="196"/>
    </w:p>
    <w:p w14:paraId="23B9B22E" w14:textId="1D3A3B2E" w:rsidR="00993649" w:rsidRDefault="008F202B" w:rsidP="008F202B">
      <w:pPr>
        <w:pStyle w:val="berschrift3"/>
      </w:pPr>
      <w:bookmarkStart w:id="197" w:name="_Toc169934851"/>
      <w:r>
        <w:t>Keine Legitimierung der Verarbeitung personenbezogener Daten durch Behörden</w:t>
      </w:r>
      <w:bookmarkEnd w:id="197"/>
    </w:p>
    <w:p w14:paraId="3A896B00" w14:textId="4D63D121" w:rsidR="008F202B" w:rsidRPr="008F202B" w:rsidRDefault="008F202B" w:rsidP="008F202B">
      <w:r>
        <w:t xml:space="preserve">Entsprechend </w:t>
      </w:r>
      <w:r w:rsidR="005F5895">
        <w:t>Art. </w:t>
      </w:r>
      <w:r w:rsidRPr="008F202B">
        <w:t xml:space="preserve">6 </w:t>
      </w:r>
      <w:r w:rsidR="005F5895">
        <w:t>Abs. </w:t>
      </w:r>
      <w:r w:rsidRPr="008F202B">
        <w:t xml:space="preserve">1 </w:t>
      </w:r>
      <w:r w:rsidR="005F5895">
        <w:t>lit. </w:t>
      </w:r>
      <w:r>
        <w:t xml:space="preserve">f. </w:t>
      </w:r>
      <w:r w:rsidRPr="008F202B">
        <w:t xml:space="preserve">S. 2 </w:t>
      </w:r>
      <w:r>
        <w:t xml:space="preserve">DS-GVO gilt die Regelung </w:t>
      </w:r>
      <w:r w:rsidRPr="008F202B">
        <w:t>nicht für von Behörden in Erfüllung ihrer Aufgaben vorgenommene Verarbeitungen</w:t>
      </w:r>
      <w:r>
        <w:t xml:space="preserve">. </w:t>
      </w:r>
      <w:r w:rsidRPr="008F202B">
        <w:t>Auch Verarbeitungen im Zusammenhang mit Öffentlichkeitsarbeit durch Behörden (</w:t>
      </w:r>
      <w:r>
        <w:t xml:space="preserve">wie beispielsweise </w:t>
      </w:r>
      <w:r w:rsidRPr="008F202B">
        <w:t>Teilnehmerlisten</w:t>
      </w:r>
      <w:r>
        <w:t xml:space="preserve"> oder</w:t>
      </w:r>
      <w:r w:rsidRPr="008F202B">
        <w:t xml:space="preserve"> Fotoaufnahmen</w:t>
      </w:r>
      <w:r>
        <w:t xml:space="preserve">) können nicht durch eine </w:t>
      </w:r>
      <w:r w:rsidR="00303763">
        <w:t xml:space="preserve">Interessenabwägung </w:t>
      </w:r>
      <w:r>
        <w:t xml:space="preserve">legitimiert </w:t>
      </w:r>
      <w:r w:rsidRPr="008B0D52">
        <w:t>werden</w:t>
      </w:r>
      <w:r w:rsidR="008B0D52" w:rsidRPr="008B0D52">
        <w:t>.</w:t>
      </w:r>
    </w:p>
    <w:p w14:paraId="1B7A3CC8" w14:textId="77411E9C" w:rsidR="00993649" w:rsidRDefault="00993649" w:rsidP="00993649">
      <w:pPr>
        <w:pStyle w:val="berschrift3"/>
      </w:pPr>
      <w:bookmarkStart w:id="198" w:name="_Toc169934852"/>
      <w:r>
        <w:t>Mindestens zu berücksichtigende Faktoren</w:t>
      </w:r>
      <w:bookmarkEnd w:id="198"/>
    </w:p>
    <w:p w14:paraId="4AADDE50" w14:textId="6C251901" w:rsidR="00993649" w:rsidRDefault="008B0D52" w:rsidP="00993649">
      <w:r>
        <w:t>ErwGr. </w:t>
      </w:r>
      <w:r w:rsidR="00993649">
        <w:t xml:space="preserve">47 S. 3 DS-GVO verlangt bei einer </w:t>
      </w:r>
      <w:r w:rsidR="00303763">
        <w:t xml:space="preserve">Interessenabwägung </w:t>
      </w:r>
      <w:r w:rsidR="00993649">
        <w:t xml:space="preserve">eine besonders sorgfältige Abwägung vom Verantwortlichen. </w:t>
      </w:r>
      <w:r w:rsidR="00993649" w:rsidRPr="00D52A0B">
        <w:t xml:space="preserve">Entsprechend </w:t>
      </w:r>
      <w:r>
        <w:t>ErwGr. </w:t>
      </w:r>
      <w:r w:rsidR="00993649" w:rsidRPr="00D52A0B">
        <w:t xml:space="preserve">47 DS-GVO stellt ein Faktor, der bei jeder </w:t>
      </w:r>
      <w:r w:rsidR="00303763">
        <w:t xml:space="preserve">Interessenabwägung </w:t>
      </w:r>
      <w:r w:rsidR="00993649" w:rsidRPr="00D52A0B">
        <w:t>berücksichtigt werden muss, die „vernünftigen Erwartungen“ der betroffenen Person dar, die auf der Beziehung der Person zu dem Verantwortlichen beruhen.</w:t>
      </w:r>
    </w:p>
    <w:p w14:paraId="0B366F7E" w14:textId="0F225FCB" w:rsidR="00993649" w:rsidRDefault="00993649" w:rsidP="00993649">
      <w:r w:rsidRPr="00D52A0B">
        <w:t xml:space="preserve">Ein weiterer </w:t>
      </w:r>
      <w:r w:rsidR="00D71A87">
        <w:t xml:space="preserve">zu </w:t>
      </w:r>
      <w:r w:rsidRPr="00D52A0B">
        <w:t xml:space="preserve">beachtender Punkt liegt nach </w:t>
      </w:r>
      <w:r w:rsidR="008B0D52">
        <w:t>ErwGr. </w:t>
      </w:r>
      <w:r w:rsidRPr="00D52A0B">
        <w:t>47 DS-GVO in dem Umstand, ob eine betroffene Person zum Zeitpunkt der Erhebung der personenbezogenen Daten und angesichts der Umstände, unter denen sie erfolgt, vernünftigerweise absehen kann, dass möglicherweise eine Verarbeitung für diesen Zweck erfolgen wird. Laut ErwGr 47 DS-GVO können die Interessen der betroffenen Person insbesondere dann überwiegen, wenn personenbezogene Daten in Situationen verarbeitet werden, in denen eine betroffene Person vernünftigerweise nicht mit einer weiteren Verarbeitung rechnen muss.</w:t>
      </w:r>
    </w:p>
    <w:p w14:paraId="2BC22FD5" w14:textId="77777777" w:rsidR="00993649" w:rsidRDefault="00993649" w:rsidP="00993649">
      <w:pPr>
        <w:spacing w:after="0"/>
      </w:pPr>
      <w:r>
        <w:t>Grundsätzlich kommen als schutzwürdige Interessen der Betroffenen alle menschlichen Ziele in Betracht, wie beispielsweise das Streben nach Geld oder Anerkennung wie auch der Wunsch nach Privatheit. Dabei gilt, dass die Interessen der Betroffenen als umso schutzwürdiger anzusehen sind,</w:t>
      </w:r>
    </w:p>
    <w:p w14:paraId="53B1DB97" w14:textId="77777777" w:rsidR="00993649" w:rsidRDefault="00993649" w:rsidP="00993649">
      <w:pPr>
        <w:pStyle w:val="Listenabsatz"/>
        <w:numPr>
          <w:ilvl w:val="0"/>
          <w:numId w:val="11"/>
        </w:numPr>
        <w:suppressAutoHyphens w:val="0"/>
        <w:spacing w:before="40" w:after="80"/>
        <w:jc w:val="left"/>
      </w:pPr>
      <w:r w:rsidRPr="005F5895">
        <w:t>je</w:t>
      </w:r>
      <w:r>
        <w:t xml:space="preserve"> sensitiver die Daten sind </w:t>
      </w:r>
      <w:r w:rsidRPr="005F5895">
        <w:t>und</w:t>
      </w:r>
    </w:p>
    <w:p w14:paraId="69420832" w14:textId="77777777" w:rsidR="00993649" w:rsidRDefault="00993649" w:rsidP="00993649">
      <w:pPr>
        <w:pStyle w:val="Listenabsatz"/>
        <w:numPr>
          <w:ilvl w:val="0"/>
          <w:numId w:val="11"/>
        </w:numPr>
        <w:suppressAutoHyphens w:val="0"/>
        <w:spacing w:before="40" w:after="80"/>
        <w:jc w:val="left"/>
      </w:pPr>
      <w:r w:rsidRPr="005F5895">
        <w:t>je</w:t>
      </w:r>
      <w:r>
        <w:t xml:space="preserve"> größer die Zahl der die Daten verarbeitenden Personen bzw., bei Übermittlungen, der </w:t>
      </w:r>
      <w:r w:rsidRPr="00EE270D">
        <w:t>Abrufberechtigten</w:t>
      </w:r>
      <w:r>
        <w:t xml:space="preserve"> </w:t>
      </w:r>
      <w:r w:rsidRPr="00EE270D">
        <w:t>ist</w:t>
      </w:r>
      <w:r>
        <w:t>.</w:t>
      </w:r>
    </w:p>
    <w:p w14:paraId="0CF61A86" w14:textId="640063FD" w:rsidR="00692E01" w:rsidRDefault="00692E01" w:rsidP="00993649">
      <w:r>
        <w:t xml:space="preserve">Gesundheits- und genetische Daten gehören zu den besonders sensiblen Daten mit dem höchsten Schutzbedarf, die i. d. R. auch besonders missbrauchsanfällig sind. Bei diesen Daten muss regelhaft davon ausgegangen werden, dass betroffene Personen eine von ihnen nicht bewilligte Verarbeitung ihrer </w:t>
      </w:r>
      <w:r w:rsidR="008B0D52" w:rsidRPr="008B0D52">
        <w:t>D</w:t>
      </w:r>
      <w:r w:rsidRPr="008B0D52">
        <w:t>aten</w:t>
      </w:r>
      <w:r>
        <w:t xml:space="preserve"> nicht wünschen.</w:t>
      </w:r>
    </w:p>
    <w:p w14:paraId="2FEFE4FE" w14:textId="4FDE880D" w:rsidR="00692E01" w:rsidRDefault="00692E01" w:rsidP="00993649">
      <w:r>
        <w:t>Sollen personenbezogen Daten zur Erstellung von Bewegungs-</w:t>
      </w:r>
      <w:r w:rsidR="00D71A87">
        <w:t>,</w:t>
      </w:r>
      <w:r>
        <w:t xml:space="preserve"> Nutzungs-, Persönlichkeitsprofilen usw. genutzt werden, ist grundsätzlich von einem überwiegenden Interesse der betroffenen Personen auszugehen.</w:t>
      </w:r>
      <w:bookmarkStart w:id="199" w:name="_Ref161907330"/>
      <w:r>
        <w:rPr>
          <w:rStyle w:val="Funotenzeichen"/>
        </w:rPr>
        <w:footnoteReference w:id="77"/>
      </w:r>
      <w:bookmarkEnd w:id="199"/>
      <w:r>
        <w:t xml:space="preserve"> Dies gilt insbesondere natürlich dann, wenn diese Daten zu den in </w:t>
      </w:r>
      <w:r w:rsidR="005F5895">
        <w:t>Art. </w:t>
      </w:r>
      <w:r>
        <w:t xml:space="preserve">9 </w:t>
      </w:r>
      <w:r w:rsidR="005F5895">
        <w:t>Abs. </w:t>
      </w:r>
      <w:r>
        <w:t xml:space="preserve">1 </w:t>
      </w:r>
      <w:r w:rsidRPr="008B0D52">
        <w:t>DS-GV</w:t>
      </w:r>
      <w:r w:rsidR="008B0D52" w:rsidRPr="008B0D52">
        <w:t>O</w:t>
      </w:r>
      <w:r>
        <w:t xml:space="preserve"> genannten besonders sensiblen Datenkategorien gehören.</w:t>
      </w:r>
    </w:p>
    <w:p w14:paraId="43683509" w14:textId="4E929CE3" w:rsidR="00692E01" w:rsidRDefault="00692E01" w:rsidP="00993649">
      <w:r>
        <w:t>Sollen Daten mit anderen Daten zusammengeführt werden, so geh</w:t>
      </w:r>
      <w:r w:rsidR="00D71A87">
        <w:t>en</w:t>
      </w:r>
      <w:r>
        <w:t xml:space="preserve"> </w:t>
      </w:r>
      <w:r w:rsidR="00D71A87">
        <w:t>mit</w:t>
      </w:r>
      <w:r>
        <w:t xml:space="preserve"> einer entsprechenden Zusammenführung immer auch deutlich höhere Gefährdungen für die Rechte und Freiheiten betroffener Personen einher. Eine „Anreicherung“ von Daten durch Hinzufügung oder Verkettung mit anderen Datensätzen begründet immer einen hohen Schutzbedarf und somit eine entsprechende Gewichtung bei einer Interessenabwägung. In der Literatur wird z. T. auch vertreten, dass eine Interessenabwägung bei der Verkettung von Datensätzen immer zugunsten der betroffenen Personen ausfällt, insbesondere, wenn personenbezogene Daten von mehreren Akteuren gemeinsam verarbeitet werden </w:t>
      </w:r>
      <w:r w:rsidRPr="005F5895">
        <w:t>sollen.</w:t>
      </w:r>
      <w:r w:rsidRPr="005F5895">
        <w:rPr>
          <w:vertAlign w:val="superscript"/>
        </w:rPr>
        <w:fldChar w:fldCharType="begin"/>
      </w:r>
      <w:r w:rsidRPr="005F5895">
        <w:rPr>
          <w:vertAlign w:val="superscript"/>
        </w:rPr>
        <w:instrText xml:space="preserve"> NOTEREF _Ref161907330 \h  \* MERGEFORMAT </w:instrText>
      </w:r>
      <w:r w:rsidRPr="005F5895">
        <w:rPr>
          <w:vertAlign w:val="superscript"/>
        </w:rPr>
      </w:r>
      <w:r w:rsidRPr="005F5895">
        <w:rPr>
          <w:vertAlign w:val="superscript"/>
        </w:rPr>
        <w:fldChar w:fldCharType="separate"/>
      </w:r>
      <w:r w:rsidR="00F43608">
        <w:rPr>
          <w:vertAlign w:val="superscript"/>
        </w:rPr>
        <w:t>77</w:t>
      </w:r>
      <w:r w:rsidRPr="005F5895">
        <w:rPr>
          <w:vertAlign w:val="superscript"/>
        </w:rPr>
        <w:fldChar w:fldCharType="end"/>
      </w:r>
    </w:p>
    <w:p w14:paraId="10859200" w14:textId="0E75A989" w:rsidR="00993649" w:rsidRDefault="00993649" w:rsidP="00993649">
      <w:r>
        <w:t>Bei jeder Interessenabwägung müssen selbstverständlich immer auch die Auswirkungen</w:t>
      </w:r>
      <w:r w:rsidR="00303763" w:rsidRPr="00303763">
        <w:t xml:space="preserve"> </w:t>
      </w:r>
      <w:r w:rsidR="00303763">
        <w:t>berücksichtigt werden</w:t>
      </w:r>
      <w:r>
        <w:t>, die die Verarbeitung der personenbezogenen Daten für die betroffene Person haben k</w:t>
      </w:r>
      <w:r w:rsidR="00303763">
        <w:t>a</w:t>
      </w:r>
      <w:r>
        <w:t xml:space="preserve">nn. Dabei sind die Folgen einer Verarbeitung umfassend zu berücksichtigen, d. h. es müssen auch Folgen berücksichtigt werden, deren Eintreten nicht sicher, jedoch möglich sind und somit als </w:t>
      </w:r>
      <w:r w:rsidRPr="00B21FDE">
        <w:t>Risiko</w:t>
      </w:r>
      <w:r>
        <w:t xml:space="preserve"> zu bewerten sind.</w:t>
      </w:r>
      <w:r>
        <w:rPr>
          <w:rStyle w:val="Funotenzeichen"/>
        </w:rPr>
        <w:footnoteReference w:id="78"/>
      </w:r>
      <w:r>
        <w:t xml:space="preserve"> Bei entsprechend hohen Risiken kann eine Datenschutz-Folgenabschätzung erforderlich sein,</w:t>
      </w:r>
      <w:r>
        <w:rPr>
          <w:rStyle w:val="Funotenzeichen"/>
        </w:rPr>
        <w:footnoteReference w:id="79"/>
      </w:r>
      <w:r>
        <w:t xml:space="preserve"> um die der Verarbeitung innewohnenden Risiken </w:t>
      </w:r>
      <w:r w:rsidR="00562420" w:rsidRPr="00562420">
        <w:t>auf ein</w:t>
      </w:r>
      <w:r>
        <w:t xml:space="preserve"> aus Sicht der betroffenen Person akzeptables Maß zu senken. Entsprechend </w:t>
      </w:r>
      <w:r w:rsidR="008B0D52">
        <w:t>ErwGr. </w:t>
      </w:r>
      <w:r>
        <w:t xml:space="preserve">75 DS-GVO stellen beispielsweise </w:t>
      </w:r>
      <w:r w:rsidRPr="005024BB">
        <w:t>Diskriminierung</w:t>
      </w:r>
      <w:r>
        <w:t xml:space="preserve"> oder e</w:t>
      </w:r>
      <w:r w:rsidRPr="005024BB">
        <w:t>in Verlust der Vertraulichkeit von dem Berufsgeheimnis unterliegenden personenbezogenen Daten</w:t>
      </w:r>
      <w:r>
        <w:t xml:space="preserve">, wozu es bei der Verarbeitung von genetischen oder Gesundheitsdaten kommen könnte, große Risiken dar. Gleiches gilt für </w:t>
      </w:r>
      <w:r w:rsidRPr="00B21FDE">
        <w:t>die unbefugte Aufhebung</w:t>
      </w:r>
      <w:r w:rsidRPr="005024BB">
        <w:t xml:space="preserve"> </w:t>
      </w:r>
      <w:r>
        <w:t>einer</w:t>
      </w:r>
      <w:r w:rsidRPr="005024BB">
        <w:t xml:space="preserve"> Pseudonymisierung</w:t>
      </w:r>
      <w:r>
        <w:t>. Im Kontext einer Interessenabwägung ist all dies abzuwägen und zu bewerten.</w:t>
      </w:r>
    </w:p>
    <w:p w14:paraId="0D85D4DF" w14:textId="35D3E7E0" w:rsidR="00692E01" w:rsidRDefault="00692E01" w:rsidP="00993649">
      <w:r>
        <w:t xml:space="preserve">Bei unrichtigen Daten erfolgt die Interessenabwägung immer zugunsten der betroffenen Personen, d. h. eine Interessenabwägung kann eine Verarbeitung von (wahrscheinlich) unrichtigen Daten nicht legitimieren; </w:t>
      </w:r>
      <w:r w:rsidR="005F5895">
        <w:t>Art. </w:t>
      </w:r>
      <w:r>
        <w:t xml:space="preserve">5 </w:t>
      </w:r>
      <w:r w:rsidR="005F5895">
        <w:t>Abs. </w:t>
      </w:r>
      <w:r>
        <w:t xml:space="preserve">1 </w:t>
      </w:r>
      <w:r w:rsidR="005F5895">
        <w:t>lit. </w:t>
      </w:r>
      <w:r>
        <w:t xml:space="preserve">d DS-GVO verlangt, dass ausschließlich </w:t>
      </w:r>
      <w:r w:rsidRPr="00692E01">
        <w:t>sachlich richtig</w:t>
      </w:r>
      <w:r>
        <w:t>e</w:t>
      </w:r>
      <w:r w:rsidRPr="00692E01">
        <w:t xml:space="preserve"> und erforderlichenfalls auf dem neuesten Stand</w:t>
      </w:r>
      <w:r>
        <w:t xml:space="preserve"> befindliche personenbezogene Daten verarbeitet</w:t>
      </w:r>
      <w:r w:rsidR="00AF1849">
        <w:t xml:space="preserve"> </w:t>
      </w:r>
      <w:r>
        <w:t>werden dürfen.</w:t>
      </w:r>
    </w:p>
    <w:p w14:paraId="68E3BA8B" w14:textId="6D2D38CD" w:rsidR="00993649" w:rsidRDefault="00993649" w:rsidP="00993649">
      <w:pPr>
        <w:spacing w:after="0"/>
      </w:pPr>
      <w:r>
        <w:t xml:space="preserve">Bei der Darstellung der Betroffeneninteressen kann die schon 1973 vom </w:t>
      </w:r>
      <w:r w:rsidRPr="005F5895">
        <w:t>B</w:t>
      </w:r>
      <w:r w:rsidR="008362B2">
        <w:t>V</w:t>
      </w:r>
      <w:r w:rsidRPr="005F5895">
        <w:t>erfG</w:t>
      </w:r>
      <w:r>
        <w:t xml:space="preserve"> entwickelte Sphärentheorie</w:t>
      </w:r>
      <w:bookmarkStart w:id="200" w:name="_Ref156203933"/>
      <w:r w:rsidRPr="00EE270D">
        <w:rPr>
          <w:rStyle w:val="Funotenzeichen"/>
        </w:rPr>
        <w:footnoteReference w:id="80"/>
      </w:r>
      <w:bookmarkEnd w:id="200"/>
      <w:r w:rsidRPr="00EE270D">
        <w:t xml:space="preserve"> </w:t>
      </w:r>
      <w:r>
        <w:t>helfen:</w:t>
      </w:r>
    </w:p>
    <w:p w14:paraId="03784941" w14:textId="416FEE9D" w:rsidR="00993649" w:rsidRDefault="00993649" w:rsidP="00993649">
      <w:pPr>
        <w:pStyle w:val="Listenabsatz"/>
        <w:numPr>
          <w:ilvl w:val="0"/>
          <w:numId w:val="12"/>
        </w:numPr>
        <w:suppressAutoHyphens w:val="0"/>
        <w:spacing w:before="40" w:after="80"/>
        <w:jc w:val="left"/>
      </w:pPr>
      <w:r>
        <w:t>E</w:t>
      </w:r>
      <w:r w:rsidRPr="00EE270D">
        <w:t>in</w:t>
      </w:r>
      <w:r>
        <w:t xml:space="preserve"> Eingriff in die Intimsphäre muss vermieden werden, da hier der Kern der Menschenwürde betroffen </w:t>
      </w:r>
      <w:r w:rsidRPr="00EE270D">
        <w:t>ist</w:t>
      </w:r>
      <w:r>
        <w:t>. Dieser Kernbereich</w:t>
      </w:r>
      <w:r w:rsidRPr="000175C0">
        <w:t xml:space="preserve"> hat </w:t>
      </w:r>
      <w:r>
        <w:t>„</w:t>
      </w:r>
      <w:r w:rsidRPr="000175C0">
        <w:t xml:space="preserve">seine Grundlage in dem durch </w:t>
      </w:r>
      <w:r w:rsidR="005F5895">
        <w:t>Art. </w:t>
      </w:r>
      <w:r w:rsidRPr="000175C0">
        <w:t xml:space="preserve">2 </w:t>
      </w:r>
      <w:r w:rsidR="005F5895">
        <w:t>Abs. </w:t>
      </w:r>
      <w:r w:rsidRPr="000175C0">
        <w:t xml:space="preserve">1 GG verbürgten Recht auf freie Entfaltung der Persönlichkeit. Bei der Bestimmung von Inhalt und Reichweite des Grundrechts aus </w:t>
      </w:r>
      <w:r w:rsidR="005F5895">
        <w:t>Art. </w:t>
      </w:r>
      <w:r w:rsidRPr="000175C0">
        <w:t xml:space="preserve">2 </w:t>
      </w:r>
      <w:r w:rsidR="005F5895">
        <w:t>Abs. </w:t>
      </w:r>
      <w:r w:rsidRPr="000175C0">
        <w:t>1 GG mu</w:t>
      </w:r>
      <w:r>
        <w:t>ss</w:t>
      </w:r>
      <w:r w:rsidRPr="000175C0">
        <w:t xml:space="preserve"> berücksichtigt werden, da</w:t>
      </w:r>
      <w:r>
        <w:t>ss</w:t>
      </w:r>
      <w:r w:rsidRPr="000175C0">
        <w:t xml:space="preserve"> nach der Grundnorm des </w:t>
      </w:r>
      <w:r w:rsidR="005F5895">
        <w:t>Art. </w:t>
      </w:r>
      <w:r w:rsidRPr="000175C0">
        <w:t xml:space="preserve">1 </w:t>
      </w:r>
      <w:r w:rsidR="005F5895">
        <w:t>Abs. </w:t>
      </w:r>
      <w:r w:rsidRPr="000175C0">
        <w:t>1 GG die Würde des Menschen unantastbar ist und gegenüber aller staatlichen Gewalt Achtung und Schutz beansprucht.</w:t>
      </w:r>
      <w:r>
        <w:t xml:space="preserve"> </w:t>
      </w:r>
      <w:r w:rsidRPr="000175C0">
        <w:t xml:space="preserve">Überdies darf nach </w:t>
      </w:r>
      <w:r w:rsidR="005F5895">
        <w:t>Art. </w:t>
      </w:r>
      <w:r w:rsidRPr="000175C0">
        <w:t xml:space="preserve">19 </w:t>
      </w:r>
      <w:r w:rsidR="005F5895">
        <w:t>Abs. </w:t>
      </w:r>
      <w:r w:rsidRPr="000175C0">
        <w:t xml:space="preserve">2 GG auch das Grundrecht aus </w:t>
      </w:r>
      <w:r w:rsidR="005F5895">
        <w:t>Art. </w:t>
      </w:r>
      <w:r w:rsidRPr="000175C0">
        <w:t xml:space="preserve">2 </w:t>
      </w:r>
      <w:r w:rsidR="005F5895">
        <w:t>Abs. </w:t>
      </w:r>
      <w:r w:rsidRPr="000175C0">
        <w:t>1 GG nicht in seinem Wesensgehalt angetastet werden</w:t>
      </w:r>
      <w:r>
        <w:t>. S</w:t>
      </w:r>
      <w:r w:rsidRPr="000175C0">
        <w:t>elbst überwiegende Interessen der Allgemeinheit können einen Eingriff in den absolut geschützten Kernbereich privater Lebensgestaltung nicht rechtfertigen; eine Abwägung nach Maßgabe des Verhältnismäßigkeitsgrundsatzes findet nicht statt.</w:t>
      </w:r>
      <w:r>
        <w:t>“</w:t>
      </w:r>
      <w:r w:rsidRPr="000175C0">
        <w:rPr>
          <w:vertAlign w:val="superscript"/>
        </w:rPr>
        <w:fldChar w:fldCharType="begin"/>
      </w:r>
      <w:r w:rsidRPr="000175C0">
        <w:rPr>
          <w:vertAlign w:val="superscript"/>
        </w:rPr>
        <w:instrText xml:space="preserve"> NOTEREF _Ref156203933 \h </w:instrText>
      </w:r>
      <w:r>
        <w:rPr>
          <w:vertAlign w:val="superscript"/>
        </w:rPr>
        <w:instrText xml:space="preserve"> \* MERGEFORMAT </w:instrText>
      </w:r>
      <w:r w:rsidRPr="000175C0">
        <w:rPr>
          <w:vertAlign w:val="superscript"/>
        </w:rPr>
      </w:r>
      <w:r w:rsidRPr="000175C0">
        <w:rPr>
          <w:vertAlign w:val="superscript"/>
        </w:rPr>
        <w:fldChar w:fldCharType="separate"/>
      </w:r>
      <w:r w:rsidR="00F43608">
        <w:rPr>
          <w:vertAlign w:val="superscript"/>
        </w:rPr>
        <w:t>80</w:t>
      </w:r>
      <w:r w:rsidRPr="000175C0">
        <w:rPr>
          <w:vertAlign w:val="superscript"/>
        </w:rPr>
        <w:fldChar w:fldCharType="end"/>
      </w:r>
    </w:p>
    <w:p w14:paraId="389F0586" w14:textId="72122E7E" w:rsidR="00993649" w:rsidRDefault="00993649" w:rsidP="00993649">
      <w:pPr>
        <w:pStyle w:val="Listenabsatz"/>
        <w:numPr>
          <w:ilvl w:val="0"/>
          <w:numId w:val="12"/>
        </w:numPr>
        <w:suppressAutoHyphens w:val="0"/>
        <w:spacing w:before="40" w:after="80"/>
        <w:jc w:val="left"/>
      </w:pPr>
      <w:r>
        <w:t xml:space="preserve">Soweit staatliche Maßnahmen </w:t>
      </w:r>
      <w:r w:rsidRPr="000175C0">
        <w:t>nicht den unantastbaren Bereich privater Lebensgestaltung beeinträchtigen</w:t>
      </w:r>
      <w:r>
        <w:t>, muss „</w:t>
      </w:r>
      <w:r w:rsidRPr="000175C0">
        <w:t>jedermann staatliche Maßnahmen hinnehmen, die im überwiegenden Interesse der Allgemeinheit unter strikter Wahrung des Verhältnismäßigkeitsgebots getroffen werden</w:t>
      </w:r>
      <w:r>
        <w:t>“.</w:t>
      </w:r>
      <w:r w:rsidRPr="000175C0">
        <w:rPr>
          <w:vertAlign w:val="superscript"/>
        </w:rPr>
        <w:fldChar w:fldCharType="begin"/>
      </w:r>
      <w:r w:rsidRPr="000175C0">
        <w:rPr>
          <w:vertAlign w:val="superscript"/>
        </w:rPr>
        <w:instrText xml:space="preserve"> NOTEREF _Ref156203933 \h  \* MERGEFORMAT </w:instrText>
      </w:r>
      <w:r w:rsidRPr="000175C0">
        <w:rPr>
          <w:vertAlign w:val="superscript"/>
        </w:rPr>
      </w:r>
      <w:r w:rsidRPr="000175C0">
        <w:rPr>
          <w:vertAlign w:val="superscript"/>
        </w:rPr>
        <w:fldChar w:fldCharType="separate"/>
      </w:r>
      <w:r w:rsidR="00F43608">
        <w:rPr>
          <w:vertAlign w:val="superscript"/>
        </w:rPr>
        <w:t>80</w:t>
      </w:r>
      <w:r w:rsidRPr="000175C0">
        <w:rPr>
          <w:vertAlign w:val="superscript"/>
        </w:rPr>
        <w:fldChar w:fldCharType="end"/>
      </w:r>
      <w:r w:rsidRPr="000175C0">
        <w:t xml:space="preserve"> Bei einem Eingriff in d</w:t>
      </w:r>
      <w:r>
        <w:t>ie Privat- oder Sozialsphäre gilt</w:t>
      </w:r>
      <w:r w:rsidR="009C5427">
        <w:t>:</w:t>
      </w:r>
      <w:r>
        <w:t xml:space="preserve"> </w:t>
      </w:r>
      <w:r w:rsidR="009C5427">
        <w:t>J</w:t>
      </w:r>
      <w:r>
        <w:t>e stärker der Eingriff, desto gewichtiger muss das verfolgte Gemeinwohlinteresse (= Verarbeitungszweck) sein.</w:t>
      </w:r>
    </w:p>
    <w:p w14:paraId="4C04AF21" w14:textId="77777777" w:rsidR="00993649" w:rsidRPr="00993649" w:rsidRDefault="00993649" w:rsidP="00993649"/>
    <w:p w14:paraId="70BD4416" w14:textId="26EB0063" w:rsidR="00993649" w:rsidRDefault="00993649" w:rsidP="00993649">
      <w:pPr>
        <w:pStyle w:val="berschrift3"/>
      </w:pPr>
      <w:bookmarkStart w:id="201" w:name="_Toc169934853"/>
      <w:r>
        <w:t>Nachweispflicht</w:t>
      </w:r>
      <w:bookmarkEnd w:id="201"/>
    </w:p>
    <w:p w14:paraId="12C5B4E1" w14:textId="3371D1A5" w:rsidR="00993649" w:rsidRDefault="00993649" w:rsidP="00993649">
      <w:r>
        <w:t xml:space="preserve">Der Wortlaut von </w:t>
      </w:r>
      <w:r w:rsidR="005F5895">
        <w:t>Art. </w:t>
      </w:r>
      <w:r>
        <w:t xml:space="preserve">6 </w:t>
      </w:r>
      <w:r w:rsidR="005F5895">
        <w:t>Abs. </w:t>
      </w:r>
      <w:r>
        <w:t xml:space="preserve">1 </w:t>
      </w:r>
      <w:r w:rsidR="005F5895">
        <w:t>lit. </w:t>
      </w:r>
      <w:r>
        <w:t xml:space="preserve">f DS-GVO beinhaltet indirekt, dass betroffene Personen nachweisen müssen, dass ihre Interessen überwiegen. Diese Betrachtungsweise greift jedoch zu kurz, da einerseits Verantwortliche die </w:t>
      </w:r>
      <w:r w:rsidRPr="00B21FDE">
        <w:t>Rechtmäßigkeit</w:t>
      </w:r>
      <w:r>
        <w:t xml:space="preserve"> der Verarbeitung nachweisen müssen, was ein Überwiegen ihrer Interessen beinhaltet. Andererseits resultiert für Verantwortliche aus </w:t>
      </w:r>
      <w:r w:rsidR="005F5895">
        <w:t>Art. </w:t>
      </w:r>
      <w:r>
        <w:t xml:space="preserve">5 </w:t>
      </w:r>
      <w:r w:rsidR="005F5895">
        <w:t>Abs. </w:t>
      </w:r>
      <w:r>
        <w:t xml:space="preserve">2 DS-GVO zusätzlich eine Nachweispflicht, was ebenfalls den Nachweis verlangt, dass die Interessen betroffener Personen nicht überwiegen. Erfolgt ein auf </w:t>
      </w:r>
      <w:r w:rsidR="005F5895">
        <w:t>Art. </w:t>
      </w:r>
      <w:r>
        <w:t xml:space="preserve">21 </w:t>
      </w:r>
      <w:r w:rsidR="005F5895">
        <w:t>Abs. </w:t>
      </w:r>
      <w:r>
        <w:t xml:space="preserve">1 DS-GVO beruhender Widerspruch der betroffenen Person, so muss ein Verantwortlicher ein Überwiegen seiner Interessen ebenfalls nachweisen. In Summe wird man daher davon ausgehen müssen, dass ein Verantwortlicher zum Nachweis der Rechtmäßigkeit der Verarbeitung bei Nutzung des in </w:t>
      </w:r>
      <w:r w:rsidR="005F5895">
        <w:t>Art. </w:t>
      </w:r>
      <w:r>
        <w:t>6 A</w:t>
      </w:r>
      <w:r w:rsidR="00D71A87">
        <w:t>b</w:t>
      </w:r>
      <w:r>
        <w:t xml:space="preserve">s. 1 </w:t>
      </w:r>
      <w:r w:rsidR="005F5895">
        <w:t>lit. </w:t>
      </w:r>
      <w:r>
        <w:t>f DS-GVO enthaltenen Rechtfertigungsgrundes verpflichtet ist.</w:t>
      </w:r>
    </w:p>
    <w:p w14:paraId="7A7E5952" w14:textId="5AB6C873" w:rsidR="00993649" w:rsidRDefault="00993649" w:rsidP="00993649">
      <w:pPr>
        <w:pStyle w:val="berschrift3"/>
      </w:pPr>
      <w:bookmarkStart w:id="202" w:name="_Toc169934854"/>
      <w:r>
        <w:t>Interessenabwägung bei Kindern</w:t>
      </w:r>
      <w:bookmarkEnd w:id="202"/>
    </w:p>
    <w:p w14:paraId="43E1FDDA" w14:textId="136E4DE2" w:rsidR="00993649" w:rsidRDefault="00993649" w:rsidP="00993649">
      <w:r>
        <w:t xml:space="preserve">Werden personenbezogene Daten von Kindern wie beispielsweise in der pädiatrischen Forschung verarbeitet, ist entsprechend Wortlaut von </w:t>
      </w:r>
      <w:r w:rsidR="005F5895">
        <w:t>Art. </w:t>
      </w:r>
      <w:r>
        <w:t xml:space="preserve">6 </w:t>
      </w:r>
      <w:r w:rsidR="005F5895">
        <w:t>Abs. </w:t>
      </w:r>
      <w:r>
        <w:t xml:space="preserve">1 </w:t>
      </w:r>
      <w:r w:rsidR="005F5895">
        <w:t>lit. </w:t>
      </w:r>
      <w:r>
        <w:t>f DS-GVO v</w:t>
      </w:r>
      <w:r w:rsidRPr="007E53F6">
        <w:t>on einem Überwiegen der Betroffeneninteressen auszugehen.</w:t>
      </w:r>
      <w:r>
        <w:t xml:space="preserve"> „Kind“ wird seitens DS-GVO nicht definiert, in der Literatur findet sich der Hinweis, im </w:t>
      </w:r>
      <w:r w:rsidRPr="007E53F6">
        <w:t>Wege eines Umkehrschlusses</w:t>
      </w:r>
      <w:r>
        <w:rPr>
          <w:rStyle w:val="Funotenzeichen"/>
        </w:rPr>
        <w:footnoteReference w:id="81"/>
      </w:r>
      <w:r w:rsidRPr="007E53F6">
        <w:t xml:space="preserve"> </w:t>
      </w:r>
      <w:r>
        <w:t xml:space="preserve">das Alter des Kindes </w:t>
      </w:r>
      <w:r w:rsidRPr="007E53F6">
        <w:t xml:space="preserve">aus </w:t>
      </w:r>
      <w:r w:rsidR="005F5895">
        <w:t>Art. </w:t>
      </w:r>
      <w:r w:rsidRPr="007E53F6">
        <w:t xml:space="preserve">8 </w:t>
      </w:r>
      <w:r w:rsidR="005F5895">
        <w:t>Abs. </w:t>
      </w:r>
      <w:r w:rsidRPr="007E53F6">
        <w:t>1</w:t>
      </w:r>
      <w:r>
        <w:t xml:space="preserve"> DS-GVO abzuleiten, sodass </w:t>
      </w:r>
      <w:r w:rsidRPr="007E53F6">
        <w:t xml:space="preserve">jedenfalls bis zum vollendeten </w:t>
      </w:r>
      <w:r w:rsidRPr="00AF706C">
        <w:t>sechzehnte</w:t>
      </w:r>
      <w:r w:rsidR="009E49BA">
        <w:t>n</w:t>
      </w:r>
      <w:r w:rsidRPr="00AF706C">
        <w:t xml:space="preserve"> </w:t>
      </w:r>
      <w:r w:rsidRPr="007E53F6">
        <w:t xml:space="preserve">Lebensjahr von einer </w:t>
      </w:r>
      <w:r>
        <w:t xml:space="preserve">besonderen </w:t>
      </w:r>
      <w:r w:rsidRPr="007E53F6">
        <w:t>Schutzbedürftigkeit ausgegangen werden kann</w:t>
      </w:r>
      <w:r>
        <w:t>, im Fall des dreizehnten Jahres i. d. R. auch von einer überwiegenden Schutzbedürftigkeit.</w:t>
      </w:r>
    </w:p>
    <w:p w14:paraId="5B69B2CB" w14:textId="3F110374" w:rsidR="003147ED" w:rsidRDefault="003147ED" w:rsidP="00993649">
      <w:pPr>
        <w:pStyle w:val="berschrift3"/>
      </w:pPr>
      <w:bookmarkStart w:id="203" w:name="_Toc169934855"/>
      <w:r>
        <w:t>Informationspflichten</w:t>
      </w:r>
      <w:bookmarkEnd w:id="203"/>
    </w:p>
    <w:p w14:paraId="61916648" w14:textId="5B3D852C" w:rsidR="003147ED" w:rsidRPr="003147ED" w:rsidRDefault="003147ED" w:rsidP="003147ED">
      <w:r>
        <w:t xml:space="preserve">Verantwortliche müssen betroffene Personen entsprechend </w:t>
      </w:r>
      <w:r w:rsidR="005F5895">
        <w:t>Art. </w:t>
      </w:r>
      <w:r>
        <w:t xml:space="preserve">13 </w:t>
      </w:r>
      <w:r w:rsidR="005F5895">
        <w:t>Abs. </w:t>
      </w:r>
      <w:r w:rsidRPr="008B0D52">
        <w:t>1</w:t>
      </w:r>
      <w:r w:rsidR="008B0D52" w:rsidRPr="008B0D52">
        <w:t xml:space="preserve"> </w:t>
      </w:r>
      <w:r w:rsidR="005F5895">
        <w:t>lit. </w:t>
      </w:r>
      <w:r>
        <w:t xml:space="preserve">d bzw. </w:t>
      </w:r>
      <w:r w:rsidR="005F5895">
        <w:t>Art. </w:t>
      </w:r>
      <w:r>
        <w:t xml:space="preserve">14 </w:t>
      </w:r>
      <w:r w:rsidR="005F5895">
        <w:t>Abs. </w:t>
      </w:r>
      <w:r>
        <w:t xml:space="preserve">2 </w:t>
      </w:r>
      <w:r w:rsidR="005F5895">
        <w:t>lit. </w:t>
      </w:r>
      <w:r>
        <w:t xml:space="preserve">b DS-GVO aktiv </w:t>
      </w:r>
      <w:r w:rsidRPr="003147ED">
        <w:t xml:space="preserve">über </w:t>
      </w:r>
      <w:r>
        <w:t xml:space="preserve">die </w:t>
      </w:r>
      <w:r w:rsidRPr="003147ED">
        <w:t xml:space="preserve">(überwiegenden) Interessen </w:t>
      </w:r>
      <w:r>
        <w:t xml:space="preserve">des Verantwortlichen </w:t>
      </w:r>
      <w:r w:rsidRPr="003147ED">
        <w:t>informieren.</w:t>
      </w:r>
    </w:p>
    <w:p w14:paraId="7C304395" w14:textId="66FB8D54" w:rsidR="00993649" w:rsidRDefault="00993649" w:rsidP="00993649">
      <w:pPr>
        <w:pStyle w:val="berschrift3"/>
      </w:pPr>
      <w:bookmarkStart w:id="204" w:name="_Toc169934856"/>
      <w:r>
        <w:t>Widerspruchsrecht beachten</w:t>
      </w:r>
      <w:bookmarkEnd w:id="204"/>
    </w:p>
    <w:p w14:paraId="79933B19" w14:textId="1E5245F5" w:rsidR="00993649" w:rsidRDefault="00993649" w:rsidP="00993649">
      <w:pPr>
        <w:spacing w:after="0"/>
      </w:pPr>
      <w:r>
        <w:t xml:space="preserve">Entsprechend </w:t>
      </w:r>
      <w:r w:rsidR="005F5895">
        <w:t>Art. </w:t>
      </w:r>
      <w:r>
        <w:t xml:space="preserve">21 </w:t>
      </w:r>
      <w:r w:rsidR="005F5895">
        <w:t>Abs. </w:t>
      </w:r>
      <w:r>
        <w:t xml:space="preserve">1 DS-GVO hat eine betroffene Person das Recht, </w:t>
      </w:r>
      <w:r w:rsidRPr="00124ED1">
        <w:t xml:space="preserve">jederzeit gegen die Verarbeitung sie betreffender personenbezogener Daten, die aufgrund von </w:t>
      </w:r>
      <w:r w:rsidR="005F5895">
        <w:t>Art. </w:t>
      </w:r>
      <w:r w:rsidRPr="00124ED1">
        <w:t xml:space="preserve">6 </w:t>
      </w:r>
      <w:r w:rsidR="005F5895">
        <w:t>Abs. </w:t>
      </w:r>
      <w:r w:rsidRPr="00124ED1">
        <w:t xml:space="preserve">1 </w:t>
      </w:r>
      <w:r w:rsidR="005F5895">
        <w:t>lit. </w:t>
      </w:r>
      <w:r w:rsidRPr="00124ED1">
        <w:t>f erfolgt, Widerspruch einzulegen</w:t>
      </w:r>
      <w:r>
        <w:t xml:space="preserve">. Dieses Recht kann die betroffene Person natürlich nur </w:t>
      </w:r>
      <w:r w:rsidR="00303763">
        <w:t>ausüben</w:t>
      </w:r>
      <w:r>
        <w:t xml:space="preserve">, wenn sie zuvor über diese Verarbeitung informiert wurde; die Informationspflicht des </w:t>
      </w:r>
      <w:r w:rsidR="00303763">
        <w:t xml:space="preserve">für die Verarbeitung </w:t>
      </w:r>
      <w:r>
        <w:t xml:space="preserve">Verantwortlichen </w:t>
      </w:r>
      <w:r w:rsidR="00303763">
        <w:t xml:space="preserve">ist hier die </w:t>
      </w:r>
      <w:r>
        <w:t xml:space="preserve">Grundlage dafür, dass eine Person ihr Widerspruchsrecht </w:t>
      </w:r>
      <w:r w:rsidR="00303763">
        <w:t>ausüben</w:t>
      </w:r>
      <w:r>
        <w:t xml:space="preserve"> kann. Erfolgt ein Widerspruch, so dürfen die vom Widerspruch erfassten Daten nicht mehr verarbeitet werden. Eine Weiterverarbeitung ist nur möglich, </w:t>
      </w:r>
      <w:r w:rsidRPr="005F5895">
        <w:t>wenn</w:t>
      </w:r>
    </w:p>
    <w:p w14:paraId="204F25F8" w14:textId="77777777" w:rsidR="00993649" w:rsidRDefault="00993649" w:rsidP="00993649">
      <w:pPr>
        <w:pStyle w:val="Listenabsatz"/>
        <w:numPr>
          <w:ilvl w:val="0"/>
          <w:numId w:val="23"/>
        </w:numPr>
        <w:suppressAutoHyphens w:val="0"/>
        <w:spacing w:after="160" w:line="259" w:lineRule="auto"/>
      </w:pPr>
      <w:r w:rsidRPr="005F5895">
        <w:t>der</w:t>
      </w:r>
      <w:r>
        <w:t xml:space="preserve"> Verantwortliche entweder </w:t>
      </w:r>
      <w:r w:rsidRPr="00124ED1">
        <w:t>zwingende schutzwürdige Gründe</w:t>
      </w:r>
      <w:r>
        <w:t xml:space="preserve">, </w:t>
      </w:r>
      <w:r w:rsidRPr="00124ED1">
        <w:t>die die Interessen, Rechte und Freiheiten der betroffenen Person überwiegen</w:t>
      </w:r>
      <w:r>
        <w:t xml:space="preserve">, </w:t>
      </w:r>
      <w:r w:rsidRPr="00124ED1">
        <w:t>für die Verarbeitung nachweisen</w:t>
      </w:r>
      <w:r>
        <w:t xml:space="preserve"> kann</w:t>
      </w:r>
      <w:r w:rsidRPr="00124ED1">
        <w:t>,</w:t>
      </w:r>
    </w:p>
    <w:p w14:paraId="1770668D" w14:textId="77777777" w:rsidR="00993649" w:rsidRDefault="00993649" w:rsidP="00993649">
      <w:pPr>
        <w:pStyle w:val="Listenabsatz"/>
        <w:numPr>
          <w:ilvl w:val="0"/>
          <w:numId w:val="23"/>
        </w:numPr>
        <w:suppressAutoHyphens w:val="0"/>
        <w:spacing w:after="160" w:line="259" w:lineRule="auto"/>
      </w:pPr>
      <w:r w:rsidRPr="005F5895">
        <w:t>oder</w:t>
      </w:r>
      <w:r w:rsidRPr="00124ED1">
        <w:t xml:space="preserve"> die Verarbeitung der Geltendmachung, Ausübung oder Verteidigung von Rechtsansprüchen dient.</w:t>
      </w:r>
    </w:p>
    <w:p w14:paraId="68013D50" w14:textId="36617EC7" w:rsidR="00993649" w:rsidRPr="00993649" w:rsidRDefault="00993649" w:rsidP="00993649">
      <w:r>
        <w:t xml:space="preserve">Entsprechend </w:t>
      </w:r>
      <w:r w:rsidR="005F5895">
        <w:t>Art. </w:t>
      </w:r>
      <w:r>
        <w:t xml:space="preserve">21 </w:t>
      </w:r>
      <w:r w:rsidR="005F5895">
        <w:t>Abs. </w:t>
      </w:r>
      <w:r>
        <w:t xml:space="preserve">6 DS-GVO besitzt eine betroffene Person ebenfalls ein Widerspruchsrecht, wenn </w:t>
      </w:r>
      <w:r w:rsidRPr="00124ED1">
        <w:t>sie betreffende personenbezogene Daten</w:t>
      </w:r>
      <w:r>
        <w:t xml:space="preserve"> </w:t>
      </w:r>
      <w:r w:rsidRPr="00124ED1">
        <w:t>zu wissenschaftlichen oder historischen Forschungszwecken oder zu statistischen Zwecken</w:t>
      </w:r>
      <w:r>
        <w:t xml:space="preserve"> verarbeitet werden. Dem Widerspruch muss Folge geleistet werden, d. h. die Daten dürfen nicht weiter verarbeitet werden, ausgenommen</w:t>
      </w:r>
      <w:r w:rsidRPr="00124ED1">
        <w:t>, die Verarbeitung ist zur Erfüllung einer im öffentlichen Interesse liegenden Aufgabe erforderlich</w:t>
      </w:r>
      <w:r>
        <w:t>.</w:t>
      </w:r>
    </w:p>
    <w:p w14:paraId="28DC2DA5" w14:textId="0038B079" w:rsidR="00993649" w:rsidRDefault="00993649" w:rsidP="00993649">
      <w:pPr>
        <w:pStyle w:val="berschrift2"/>
      </w:pPr>
      <w:bookmarkStart w:id="205" w:name="_Toc169934857"/>
      <w:r>
        <w:t>Rechtsprechung des EuGH</w:t>
      </w:r>
      <w:bookmarkEnd w:id="205"/>
    </w:p>
    <w:p w14:paraId="618420DA" w14:textId="480CF1E3" w:rsidR="00993649" w:rsidRDefault="00993649" w:rsidP="00993649">
      <w:pPr>
        <w:spacing w:after="0"/>
      </w:pPr>
      <w:r>
        <w:t>Entsprechend Rechtsprechung des EuGH sind bei einer Interessenabwägung immer drei Voraussetzungen zu erfüllen:</w:t>
      </w:r>
      <w:r>
        <w:rPr>
          <w:rStyle w:val="Funotenzeichen"/>
        </w:rPr>
        <w:footnoteReference w:id="82"/>
      </w:r>
    </w:p>
    <w:p w14:paraId="24ED36CB" w14:textId="27EFA334" w:rsidR="00993649" w:rsidRDefault="00993649" w:rsidP="00993649">
      <w:pPr>
        <w:pStyle w:val="Listenabsatz"/>
        <w:numPr>
          <w:ilvl w:val="0"/>
          <w:numId w:val="9"/>
        </w:numPr>
        <w:suppressAutoHyphens w:val="0"/>
        <w:spacing w:after="160" w:line="259" w:lineRule="auto"/>
      </w:pPr>
      <w:r>
        <w:t xml:space="preserve">Es </w:t>
      </w:r>
      <w:r w:rsidRPr="005F5895">
        <w:t>muss von dem für die Verarbeitung Verantwortlichen oder von einem Dritten ein berech</w:t>
      </w:r>
      <w:r w:rsidR="008B0D52" w:rsidRPr="005F5895">
        <w:t>t</w:t>
      </w:r>
      <w:r w:rsidRPr="005F5895">
        <w:t>igtes Interesse</w:t>
      </w:r>
      <w:r w:rsidRPr="00B06D9D">
        <w:t xml:space="preserve"> wahrgenommen werden</w:t>
      </w:r>
      <w:r>
        <w:t xml:space="preserve">. </w:t>
      </w:r>
      <w:r w:rsidRPr="007E53F6">
        <w:t xml:space="preserve">Dies setzt </w:t>
      </w:r>
      <w:r>
        <w:t xml:space="preserve">zwingend </w:t>
      </w:r>
      <w:r w:rsidRPr="007E53F6">
        <w:t xml:space="preserve">voraus, dass die mit der Verarbeitung verfolgten Ziele rechtmäßig sind und im Einklang mit der Rechtsordnung des jeweiligen Mitgliedstaats und </w:t>
      </w:r>
      <w:r>
        <w:t xml:space="preserve">dem </w:t>
      </w:r>
      <w:r w:rsidRPr="007E53F6">
        <w:t>Unionsrecht stehen.</w:t>
      </w:r>
    </w:p>
    <w:p w14:paraId="3B5BDD4B" w14:textId="2C2108F5" w:rsidR="00993649" w:rsidRDefault="00993649" w:rsidP="00993649">
      <w:pPr>
        <w:pStyle w:val="Listenabsatz"/>
        <w:numPr>
          <w:ilvl w:val="0"/>
          <w:numId w:val="9"/>
        </w:numPr>
        <w:suppressAutoHyphens w:val="0"/>
        <w:spacing w:after="160" w:line="259" w:lineRule="auto"/>
      </w:pPr>
      <w:r>
        <w:t>D</w:t>
      </w:r>
      <w:r w:rsidRPr="00B06D9D">
        <w:t xml:space="preserve">ie Verarbeitung der personenbezogenen Daten </w:t>
      </w:r>
      <w:r>
        <w:t xml:space="preserve">muss </w:t>
      </w:r>
      <w:r w:rsidRPr="00B06D9D">
        <w:t>zur Verwirklichung des berechtigten Interesses erforderlich sein</w:t>
      </w:r>
      <w:r>
        <w:t>. Hierbei ist stets zu prüfen, „</w:t>
      </w:r>
      <w:r w:rsidRPr="00B06D9D">
        <w:t xml:space="preserve">ob das berechtigte Interesse an der Verarbeitung der Daten nicht in zumutbarer Weise ebenso wirksam mit anderen Mitteln erreicht werden kann, die weniger stark in die Grundrechte und Grundfreiheiten der betroffenen Personen, insbesondere die durch die </w:t>
      </w:r>
      <w:r w:rsidR="005F5895">
        <w:t>Art. </w:t>
      </w:r>
      <w:r w:rsidRPr="00B06D9D">
        <w:t>7 und 8 der Charta garantierten Rechte auf Achtung des Privatlebens und auf Schutz personenbezogener Daten, eingreifen</w:t>
      </w:r>
      <w:r>
        <w:t>“.</w:t>
      </w:r>
    </w:p>
    <w:p w14:paraId="4E454E07" w14:textId="77777777" w:rsidR="00993649" w:rsidRDefault="00993649" w:rsidP="00993649">
      <w:pPr>
        <w:pStyle w:val="Listenabsatz"/>
        <w:numPr>
          <w:ilvl w:val="0"/>
          <w:numId w:val="9"/>
        </w:numPr>
        <w:suppressAutoHyphens w:val="0"/>
        <w:spacing w:after="160" w:line="259" w:lineRule="auto"/>
      </w:pPr>
      <w:r>
        <w:t>D</w:t>
      </w:r>
      <w:r w:rsidRPr="00B06D9D">
        <w:t>ie Interessen oder Grundrechte und Grundfreiheiten der Person, deren Daten geschützt werden sollen, dürfen nicht überwiegen</w:t>
      </w:r>
      <w:r>
        <w:t>.</w:t>
      </w:r>
    </w:p>
    <w:p w14:paraId="7DC75495" w14:textId="10FA011F" w:rsidR="00993649" w:rsidRDefault="00993649" w:rsidP="00993649">
      <w:pPr>
        <w:pStyle w:val="berschrift3"/>
      </w:pPr>
      <w:bookmarkStart w:id="206" w:name="_Toc169934858"/>
      <w:r>
        <w:t>Konkrete Umstände und Sensibilität der Daten berücksichtigen</w:t>
      </w:r>
      <w:bookmarkEnd w:id="206"/>
    </w:p>
    <w:p w14:paraId="411C2C45" w14:textId="03F89166" w:rsidR="00993649" w:rsidRDefault="00993649" w:rsidP="00993649">
      <w:r>
        <w:t xml:space="preserve">Die im Rahmen einer Interessenabwägung </w:t>
      </w:r>
      <w:r w:rsidRPr="007E53F6">
        <w:t xml:space="preserve">einander gegenüberstehenden Rechte und Interessen </w:t>
      </w:r>
      <w:r>
        <w:t xml:space="preserve">von Verantwortlichem und betroffenen Personen müssen </w:t>
      </w:r>
      <w:r w:rsidRPr="007E53F6">
        <w:t xml:space="preserve">grundsätzlich </w:t>
      </w:r>
      <w:r>
        <w:t xml:space="preserve">anhand der </w:t>
      </w:r>
      <w:r w:rsidRPr="007E53F6">
        <w:t>konkreten Umstände des betroffenen Einzelfalls ermittel</w:t>
      </w:r>
      <w:r>
        <w:t>t und bewertet werden.</w:t>
      </w:r>
      <w:bookmarkStart w:id="207" w:name="_Ref163623038"/>
      <w:r>
        <w:rPr>
          <w:rStyle w:val="Funotenzeichen"/>
        </w:rPr>
        <w:footnoteReference w:id="83"/>
      </w:r>
      <w:bookmarkEnd w:id="207"/>
    </w:p>
    <w:p w14:paraId="5DA3380A" w14:textId="49729BE8" w:rsidR="00993649" w:rsidRDefault="00993649" w:rsidP="00993649">
      <w:r>
        <w:t>Dabei gilt laut Urteil des EuGH</w:t>
      </w:r>
      <w:r>
        <w:rPr>
          <w:rStyle w:val="Funotenzeichen"/>
        </w:rPr>
        <w:footnoteReference w:id="84"/>
      </w:r>
      <w:r>
        <w:t xml:space="preserve">: Je sensibler die zu verarbeitenden Daten, desto schwerer ist der </w:t>
      </w:r>
      <w:r w:rsidRPr="00D234C9">
        <w:t xml:space="preserve">Eingriff in die in </w:t>
      </w:r>
      <w:r w:rsidR="005F5895">
        <w:t>Art. </w:t>
      </w:r>
      <w:r w:rsidRPr="00D234C9">
        <w:t>7 und 8 der Charta verankerten Grundrechte der betroffenen Person</w:t>
      </w:r>
      <w:r>
        <w:t xml:space="preserve">, sodass auch die Sensibilität der Daten im Rahmen einer Interessenabwägung zu berücksichtigen ist. Bei den in </w:t>
      </w:r>
      <w:r w:rsidR="005F5895">
        <w:t>Art. </w:t>
      </w:r>
      <w:r>
        <w:t xml:space="preserve">9 </w:t>
      </w:r>
      <w:r w:rsidR="005F5895">
        <w:t>Abs. </w:t>
      </w:r>
      <w:r>
        <w:t xml:space="preserve">1 DS-GVO benannten besonderen Kategorien von personenbezogenen Daten handelt es sich naturgemäß um Daten der besonders schützenswerten Kategorien, entsprechend hoch sind die Interessen betroffener Personen zu bewerten und </w:t>
      </w:r>
      <w:r w:rsidR="00303763">
        <w:t xml:space="preserve">zu </w:t>
      </w:r>
      <w:r>
        <w:t>berücksichtigen.</w:t>
      </w:r>
    </w:p>
    <w:p w14:paraId="18AC4397" w14:textId="65BF06D0" w:rsidR="0061796E" w:rsidRDefault="0061796E" w:rsidP="0061796E">
      <w:r>
        <w:t xml:space="preserve">Im Unterschied zur Verarbeitung von Daten, die aus öffentlich zugänglichen Quellen stammen, impliziert die Verarbeitung von Daten aus nicht öffentlich zugänglichen Quellen, dass der für die Verarbeitung Verantwortliche und gegebenenfalls der bzw. die Dritten, denen die Daten übermittelt werden, von Informationen über die Privatsphäre der betroffenen Person Kenntnis erlangen. Dies stellt eine schwerere Beeinträchtigung der in den </w:t>
      </w:r>
      <w:r w:rsidR="005F5895">
        <w:t>Art. </w:t>
      </w:r>
      <w:r>
        <w:t>7 und 8 der Charta verbürgten Rechte der betroffenen Person dar und ist bei einer Interessenabwägung entsprechend zu berücksichtigen und gegen das berechtigte Interesse abzuwägen, das von dem für die Verarbeitung Verantwortlichen oder von dem bzw. den Dritten wahrgenommen wird, denen die Daten übermittelt werden.</w:t>
      </w:r>
      <w:r>
        <w:rPr>
          <w:rStyle w:val="Funotenzeichen"/>
        </w:rPr>
        <w:footnoteReference w:id="85"/>
      </w:r>
    </w:p>
    <w:p w14:paraId="1148559B" w14:textId="7A9AB524" w:rsidR="003147ED" w:rsidRDefault="003147ED" w:rsidP="00993649">
      <w:pPr>
        <w:pStyle w:val="berschrift3"/>
      </w:pPr>
      <w:bookmarkStart w:id="208" w:name="_Toc169934859"/>
      <w:r>
        <w:t>Einzelfallbetrachtung erforderlich</w:t>
      </w:r>
      <w:bookmarkEnd w:id="208"/>
    </w:p>
    <w:p w14:paraId="450D2EBE" w14:textId="3218647E" w:rsidR="003147ED" w:rsidRDefault="003147ED" w:rsidP="003147ED">
      <w:r>
        <w:t>Bei der Bewertung, ob die Interessen oder Grundfreiheiten und Grundrechte der Person, deren Daten geschützt werden sollen, gegenüber dem berechtigten Interesse des Verantwortlichen oder eines Dritten überwiegen oder nicht, ist immer eine Abwägung der jeweiligen einander gegenüberstehenden Rechte und Interessen erforderlich, die grundsätzlich von den konkreten Umständen des Einzelfalls abhängt.</w:t>
      </w:r>
      <w:bookmarkStart w:id="209" w:name="_Ref161913604"/>
      <w:r>
        <w:rPr>
          <w:rStyle w:val="Funotenzeichen"/>
        </w:rPr>
        <w:footnoteReference w:id="86"/>
      </w:r>
      <w:bookmarkEnd w:id="209"/>
    </w:p>
    <w:p w14:paraId="1FEC06F7" w14:textId="005A98B5" w:rsidR="003147ED" w:rsidRDefault="003147ED" w:rsidP="003147ED">
      <w:r>
        <w:t xml:space="preserve">Außerdem können die Interessen und Grundrechte der betroffenen Person das Interesse des Verantwortlichen insbesondere dann überwiegen, wenn personenbezogene Daten in Situationen verarbeitet werden, in denen eine betroffene Person vernünftigerweise nicht mit einer solchen Verarbeitung </w:t>
      </w:r>
      <w:r w:rsidRPr="005F5895">
        <w:t>rechnet.</w:t>
      </w:r>
      <w:r w:rsidRPr="005F5895">
        <w:rPr>
          <w:vertAlign w:val="superscript"/>
        </w:rPr>
        <w:fldChar w:fldCharType="begin"/>
      </w:r>
      <w:r w:rsidRPr="005F5895">
        <w:rPr>
          <w:vertAlign w:val="superscript"/>
        </w:rPr>
        <w:instrText xml:space="preserve"> NOTEREF _Ref161913604 \h  \* MERGEFORMAT </w:instrText>
      </w:r>
      <w:r w:rsidRPr="005F5895">
        <w:rPr>
          <w:vertAlign w:val="superscript"/>
        </w:rPr>
      </w:r>
      <w:r w:rsidRPr="005F5895">
        <w:rPr>
          <w:vertAlign w:val="superscript"/>
        </w:rPr>
        <w:fldChar w:fldCharType="separate"/>
      </w:r>
      <w:r w:rsidR="00F43608">
        <w:rPr>
          <w:vertAlign w:val="superscript"/>
        </w:rPr>
        <w:t>86</w:t>
      </w:r>
      <w:r w:rsidRPr="005F5895">
        <w:rPr>
          <w:vertAlign w:val="superscript"/>
        </w:rPr>
        <w:fldChar w:fldCharType="end"/>
      </w:r>
    </w:p>
    <w:p w14:paraId="608ECC04" w14:textId="45FADE9F" w:rsidR="003147ED" w:rsidRDefault="003147ED" w:rsidP="003147ED">
      <w:pPr>
        <w:pStyle w:val="berschrift3"/>
      </w:pPr>
      <w:bookmarkStart w:id="210" w:name="_Toc169934860"/>
      <w:r>
        <w:t>Zusammenführen/Verketten personenbezogener Daten</w:t>
      </w:r>
      <w:bookmarkEnd w:id="210"/>
    </w:p>
    <w:p w14:paraId="5300B3E7" w14:textId="74103E68" w:rsidR="003147ED" w:rsidRPr="003147ED" w:rsidRDefault="003147ED" w:rsidP="003147ED">
      <w:r>
        <w:t xml:space="preserve">Das </w:t>
      </w:r>
      <w:r w:rsidR="00303763">
        <w:t>Vorhandensein</w:t>
      </w:r>
      <w:r>
        <w:t xml:space="preserve"> derselben personenbezogenen Daten in mehreren Quellen verstärkt den Eingriff in das Recht der </w:t>
      </w:r>
      <w:r w:rsidR="00303763">
        <w:t xml:space="preserve">betroffenen </w:t>
      </w:r>
      <w:r>
        <w:t>Person auf Achtung des</w:t>
      </w:r>
      <w:r w:rsidR="00303763">
        <w:t xml:space="preserve"> eigenen</w:t>
      </w:r>
      <w:r>
        <w:t xml:space="preserve"> </w:t>
      </w:r>
      <w:r w:rsidRPr="005F5895">
        <w:t>Privatlebens.</w:t>
      </w:r>
      <w:r w:rsidRPr="005F5895">
        <w:rPr>
          <w:vertAlign w:val="superscript"/>
        </w:rPr>
        <w:fldChar w:fldCharType="begin"/>
      </w:r>
      <w:r w:rsidRPr="005F5895">
        <w:rPr>
          <w:vertAlign w:val="superscript"/>
        </w:rPr>
        <w:instrText xml:space="preserve"> NOTEREF _Ref161913604 \h  \* MERGEFORMAT </w:instrText>
      </w:r>
      <w:r w:rsidRPr="005F5895">
        <w:rPr>
          <w:vertAlign w:val="superscript"/>
        </w:rPr>
      </w:r>
      <w:r w:rsidRPr="005F5895">
        <w:rPr>
          <w:vertAlign w:val="superscript"/>
        </w:rPr>
        <w:fldChar w:fldCharType="separate"/>
      </w:r>
      <w:r w:rsidR="00F43608">
        <w:rPr>
          <w:vertAlign w:val="superscript"/>
        </w:rPr>
        <w:t>86</w:t>
      </w:r>
      <w:r w:rsidRPr="005F5895">
        <w:rPr>
          <w:vertAlign w:val="superscript"/>
        </w:rPr>
        <w:fldChar w:fldCharType="end"/>
      </w:r>
      <w:r>
        <w:t xml:space="preserve"> </w:t>
      </w:r>
      <w:r w:rsidRPr="005F5895">
        <w:t>Daher</w:t>
      </w:r>
      <w:r>
        <w:t xml:space="preserve"> ist in allen Fällen, in denen personenbezogene </w:t>
      </w:r>
      <w:r w:rsidR="008B0D52" w:rsidRPr="008B0D52">
        <w:t>D</w:t>
      </w:r>
      <w:r w:rsidRPr="008B0D52">
        <w:t>aten</w:t>
      </w:r>
      <w:r>
        <w:t xml:space="preserve"> zusammengeführt werden, eine entsprechend höhere Gewichtung bei den Interessen der betroffenen Personen zu beachten, die Rechte und Freiheiten betroffener Personen entsprechend höher zu gewichten.</w:t>
      </w:r>
    </w:p>
    <w:p w14:paraId="04EE7132" w14:textId="21994DBF" w:rsidR="003147ED" w:rsidRDefault="003147ED" w:rsidP="00993649">
      <w:pPr>
        <w:pStyle w:val="berschrift3"/>
      </w:pPr>
      <w:bookmarkStart w:id="211" w:name="_Toc169934861"/>
      <w:r>
        <w:t>Interesse muss aktuell vorliegen</w:t>
      </w:r>
      <w:bookmarkEnd w:id="211"/>
    </w:p>
    <w:p w14:paraId="5EBDC95D" w14:textId="34EB8CC8" w:rsidR="003147ED" w:rsidRDefault="003147ED" w:rsidP="003147ED">
      <w:r>
        <w:t xml:space="preserve">Ein berechtigtes Interesse muss </w:t>
      </w:r>
      <w:r w:rsidRPr="003147ED">
        <w:t>zum Zeitpunkt der Verarbeitung</w:t>
      </w:r>
      <w:r>
        <w:t xml:space="preserve">, inklusive der Erhebung der Daten, tatsächlich </w:t>
      </w:r>
      <w:r w:rsidRPr="003147ED">
        <w:t>vorhanden sein</w:t>
      </w:r>
      <w:r>
        <w:rPr>
          <w:rStyle w:val="Funotenzeichen"/>
        </w:rPr>
        <w:footnoteReference w:id="87"/>
      </w:r>
      <w:r>
        <w:t xml:space="preserve">. Zu diesem </w:t>
      </w:r>
      <w:r w:rsidRPr="003147ED">
        <w:t xml:space="preserve">Zeitpunkt </w:t>
      </w:r>
      <w:r>
        <w:t xml:space="preserve">darf das Interesse </w:t>
      </w:r>
      <w:r w:rsidRPr="003147ED">
        <w:t>nicht hypothetisch</w:t>
      </w:r>
      <w:r>
        <w:t xml:space="preserve">er Natur </w:t>
      </w:r>
      <w:r w:rsidRPr="003147ED">
        <w:t>sein</w:t>
      </w:r>
      <w:r>
        <w:t>.</w:t>
      </w:r>
    </w:p>
    <w:p w14:paraId="3BC648E8" w14:textId="18668950" w:rsidR="003147ED" w:rsidRPr="003147ED" w:rsidRDefault="003147ED" w:rsidP="003147ED">
      <w:r>
        <w:t xml:space="preserve">Eine Vorratsdatenspeicherung kann also niemals durch </w:t>
      </w:r>
      <w:r w:rsidR="00303763">
        <w:t xml:space="preserve">eine Interessenabwägung </w:t>
      </w:r>
      <w:r>
        <w:t xml:space="preserve">legitimiert werden. Ebenso wenig können beispielsweise Daten länger gespeichert werden, weil </w:t>
      </w:r>
      <w:r w:rsidRPr="008B0D52">
        <w:t>möglich</w:t>
      </w:r>
      <w:r w:rsidR="008B0D52" w:rsidRPr="008B0D52">
        <w:t>er</w:t>
      </w:r>
      <w:r w:rsidRPr="008B0D52">
        <w:t>weise</w:t>
      </w:r>
      <w:r>
        <w:t xml:space="preserve"> ein Gerichtsprozess kommen könnte, wo man diese Daten noch brauchen könnte. Ohne konkreten Anhaltspunkt für das Stattfinden eines Ereignisses sind die Interessen immer nur hypothetischer Natur, können entsprechend der Rechtsprechung des EuGH kein berechtigtes Interesse im Sinne von </w:t>
      </w:r>
      <w:r w:rsidR="005F5895">
        <w:t>Art. </w:t>
      </w:r>
      <w:r>
        <w:t xml:space="preserve">6 </w:t>
      </w:r>
      <w:r w:rsidR="005F5895">
        <w:t>Abs. </w:t>
      </w:r>
      <w:r>
        <w:t xml:space="preserve">1 </w:t>
      </w:r>
      <w:r w:rsidR="005F5895">
        <w:t>lit. </w:t>
      </w:r>
      <w:r>
        <w:t>f DS-GVO darstellen.</w:t>
      </w:r>
    </w:p>
    <w:p w14:paraId="70BACFD1" w14:textId="240C3F8B" w:rsidR="00993649" w:rsidRDefault="00993649" w:rsidP="00993649">
      <w:pPr>
        <w:pStyle w:val="berschrift3"/>
      </w:pPr>
      <w:bookmarkStart w:id="212" w:name="_Toc169934862"/>
      <w:r>
        <w:t>Informationspflichten beachten</w:t>
      </w:r>
      <w:bookmarkEnd w:id="212"/>
    </w:p>
    <w:p w14:paraId="6623F87D" w14:textId="7E557DFA" w:rsidR="00993649" w:rsidRDefault="00993649" w:rsidP="00993649">
      <w:r>
        <w:t xml:space="preserve">Zu beachten ist weiterhin, dass </w:t>
      </w:r>
      <w:r w:rsidR="005F5895">
        <w:t>Art. </w:t>
      </w:r>
      <w:r>
        <w:t xml:space="preserve">13 </w:t>
      </w:r>
      <w:r w:rsidR="005F5895">
        <w:t>Abs. </w:t>
      </w:r>
      <w:r>
        <w:t xml:space="preserve">1 </w:t>
      </w:r>
      <w:r w:rsidR="005F5895">
        <w:t>lit. </w:t>
      </w:r>
      <w:r>
        <w:t xml:space="preserve">d sowie </w:t>
      </w:r>
      <w:r w:rsidR="005F5895">
        <w:t>Art. </w:t>
      </w:r>
      <w:r>
        <w:t xml:space="preserve">14 </w:t>
      </w:r>
      <w:r w:rsidR="005F5895">
        <w:t>Abs. </w:t>
      </w:r>
      <w:r>
        <w:t xml:space="preserve">2 </w:t>
      </w:r>
      <w:r w:rsidR="005F5895">
        <w:t>lit. </w:t>
      </w:r>
      <w:r>
        <w:t xml:space="preserve">b DS-GVO verlangen, dass betroffene Personen über </w:t>
      </w:r>
      <w:r w:rsidRPr="00AB6ECD">
        <w:t>die berechtigten Interessen</w:t>
      </w:r>
      <w:r>
        <w:t xml:space="preserve"> informiert werden m</w:t>
      </w:r>
      <w:r w:rsidR="00562420">
        <w:t>ü</w:t>
      </w:r>
      <w:r>
        <w:t>ss</w:t>
      </w:r>
      <w:r w:rsidR="00562420">
        <w:t>en</w:t>
      </w:r>
      <w:r>
        <w:t xml:space="preserve">. Der EuGH urteilte sogar, dass </w:t>
      </w:r>
      <w:r w:rsidRPr="00AB6ECD">
        <w:t>eine solche Verarbeitung nur dann als zur Wahrung der berechtigten Interessen des Verantwortlichen oder eines Dritten erforderlich</w:t>
      </w:r>
      <w:r>
        <w:t xml:space="preserve"> angesehen werden kann, wenn ein Verantwortlicher betroffenen Personen </w:t>
      </w:r>
      <w:r w:rsidRPr="00AB6ECD">
        <w:t>ein mit der Datenverarbeitung verfolgtes berechtigtes Interesse mitteilt</w:t>
      </w:r>
      <w:r>
        <w:t>e.</w:t>
      </w:r>
      <w:r>
        <w:rPr>
          <w:rStyle w:val="Funotenzeichen"/>
        </w:rPr>
        <w:footnoteReference w:id="88"/>
      </w:r>
      <w:r>
        <w:t xml:space="preserve"> Zu beachten: Entsprechend </w:t>
      </w:r>
      <w:r w:rsidR="005F5895">
        <w:t>Art. </w:t>
      </w:r>
      <w:r>
        <w:t xml:space="preserve">21 </w:t>
      </w:r>
      <w:r w:rsidR="005F5895">
        <w:t>Abs. </w:t>
      </w:r>
      <w:r>
        <w:t xml:space="preserve">4 DS-GVO muss eine betroffene Person auf das Recht zum Widerspruch einer Verarbeitung auf Grundlage einer </w:t>
      </w:r>
      <w:r w:rsidR="00303763">
        <w:t xml:space="preserve">Interessenabwägung </w:t>
      </w:r>
      <w:r>
        <w:t>hingewiesen werden.</w:t>
      </w:r>
    </w:p>
    <w:p w14:paraId="4A181C5A" w14:textId="77777777" w:rsidR="00DE57B2" w:rsidRDefault="00DE57B2">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7A959CF7" w14:textId="2737A25B" w:rsidR="00993649" w:rsidRDefault="00993649" w:rsidP="00DE57B2">
      <w:pPr>
        <w:pStyle w:val="berschrift1"/>
      </w:pPr>
      <w:bookmarkStart w:id="213" w:name="_Toc169934863"/>
      <w:r>
        <w:t>Beispiele</w:t>
      </w:r>
      <w:bookmarkEnd w:id="213"/>
    </w:p>
    <w:p w14:paraId="69D898D3" w14:textId="7696B9D1" w:rsidR="00993649" w:rsidRDefault="00DE57B2" w:rsidP="00DE57B2">
      <w:pPr>
        <w:pStyle w:val="berschrift2"/>
      </w:pPr>
      <w:bookmarkStart w:id="214" w:name="_Toc169934864"/>
      <w:r>
        <w:t>Radiologische Forschung: Daten aus dem niedergelassenen Bereich</w:t>
      </w:r>
      <w:bookmarkEnd w:id="214"/>
    </w:p>
    <w:p w14:paraId="1772D291" w14:textId="44153441" w:rsidR="00DE57B2" w:rsidRDefault="00DE57B2" w:rsidP="00DE57B2">
      <w:pPr>
        <w:pStyle w:val="berschrift3"/>
      </w:pPr>
      <w:bookmarkStart w:id="215" w:name="_Toc169934865"/>
      <w:r>
        <w:t xml:space="preserve">Beschreibung des </w:t>
      </w:r>
      <w:r w:rsidRPr="00B96AC2">
        <w:t>Vorhabens</w:t>
      </w:r>
      <w:bookmarkEnd w:id="215"/>
    </w:p>
    <w:p w14:paraId="59D819AD" w14:textId="02AD0D93" w:rsidR="00DE57B2" w:rsidRDefault="00DE57B2" w:rsidP="00DE57B2">
      <w:r>
        <w:t xml:space="preserve">Zielsetzung und somit Zweck der Forschung: </w:t>
      </w:r>
      <w:r w:rsidRPr="00DE57B2">
        <w:t xml:space="preserve">Reduzierung der initialen Fehldiagnosen beim </w:t>
      </w:r>
      <w:r w:rsidRPr="005F5895">
        <w:t>Mammographie</w:t>
      </w:r>
      <w:r w:rsidR="00B96AC2" w:rsidRPr="005F5895">
        <w:t>-S</w:t>
      </w:r>
      <w:r w:rsidRPr="005F5895">
        <w:t>creening</w:t>
      </w:r>
    </w:p>
    <w:p w14:paraId="6AFB1137" w14:textId="5E25A758" w:rsidR="00DE57B2" w:rsidRDefault="00DE57B2" w:rsidP="00DE57B2">
      <w:r>
        <w:t>Hintergrund des Forschungsvorhabens:</w:t>
      </w:r>
    </w:p>
    <w:p w14:paraId="5C01CF38" w14:textId="79A0F57A" w:rsidR="00DE57B2" w:rsidRDefault="00DE57B2" w:rsidP="00DE57B2">
      <w:r>
        <w:t xml:space="preserve">Die Befunde von </w:t>
      </w:r>
      <w:r w:rsidRPr="00DE57B2">
        <w:t>250 bis 400 pro 1000 Frauen (je nach Studie Untersuchungszeitraum 20 Jahre)</w:t>
      </w:r>
      <w:r>
        <w:t xml:space="preserve"> werden fehlerhaft als gutartig eingestuft</w:t>
      </w:r>
      <w:r w:rsidRPr="00B96AC2">
        <w:t>.</w:t>
      </w:r>
      <w:r>
        <w:t xml:space="preserve"> </w:t>
      </w:r>
      <w:r w:rsidRPr="00DE57B2">
        <w:t>Daraus resultieren auch Nachuntersuchungen mit zusätzlicher Strahlenbelastung</w:t>
      </w:r>
      <w:r>
        <w:t>.</w:t>
      </w:r>
    </w:p>
    <w:p w14:paraId="7F0128CE" w14:textId="5B555622" w:rsidR="00DE57B2" w:rsidRDefault="00DE57B2" w:rsidP="00131035">
      <w:pPr>
        <w:spacing w:after="0"/>
      </w:pPr>
      <w:r>
        <w:t>Das Forschungsvorhaben soll</w:t>
      </w:r>
      <w:r w:rsidR="00131035">
        <w:t xml:space="preserve"> eine </w:t>
      </w:r>
      <w:r w:rsidRPr="00DE57B2">
        <w:t>Verringerung der falsch negativen, als auch die falsch positiven Befunde</w:t>
      </w:r>
      <w:r w:rsidR="00131035">
        <w:t xml:space="preserve"> erzielt werden. Hierzu sollen </w:t>
      </w:r>
      <w:r w:rsidRPr="00DE57B2">
        <w:t>automatisierte Qualitätssicherungsmaßnahmen entwickel</w:t>
      </w:r>
      <w:r w:rsidR="00131035">
        <w:t>t werde</w:t>
      </w:r>
      <w:r w:rsidRPr="00DE57B2">
        <w:t xml:space="preserve">n, </w:t>
      </w:r>
      <w:r w:rsidR="00131035">
        <w:t xml:space="preserve">welche einem </w:t>
      </w:r>
      <w:r w:rsidRPr="00DE57B2">
        <w:t>Screeningarzt bei seiner Arbeit zusätzlich unterstützen</w:t>
      </w:r>
      <w:r w:rsidR="00131035">
        <w:t>. Dies soll durch eine KI erfolgen: A</w:t>
      </w:r>
      <w:r w:rsidRPr="00DE57B2">
        <w:t xml:space="preserve">utomatisierte Qualitätssicherungsmaßnahmen </w:t>
      </w:r>
      <w:r w:rsidR="00131035">
        <w:t xml:space="preserve">sollen </w:t>
      </w:r>
      <w:r w:rsidRPr="00DE57B2">
        <w:t xml:space="preserve">aus </w:t>
      </w:r>
      <w:r w:rsidR="00131035">
        <w:t xml:space="preserve">dem </w:t>
      </w:r>
      <w:r w:rsidRPr="00DE57B2">
        <w:t xml:space="preserve">Training eines </w:t>
      </w:r>
      <w:r w:rsidR="00131035">
        <w:t xml:space="preserve">neuronalen Netzwerkes („KI“) </w:t>
      </w:r>
      <w:r w:rsidR="00131035" w:rsidRPr="00DE57B2">
        <w:t>resultieren</w:t>
      </w:r>
      <w:r w:rsidR="00131035">
        <w:t>, welches eine a</w:t>
      </w:r>
      <w:r w:rsidRPr="00DE57B2">
        <w:t>utomatische Detektion relevanter Befunde</w:t>
      </w:r>
      <w:r w:rsidR="00131035">
        <w:t xml:space="preserve"> </w:t>
      </w:r>
      <w:r w:rsidR="00131035" w:rsidRPr="00B96AC2">
        <w:t>ermöglicht</w:t>
      </w:r>
      <w:r w:rsidR="00131035">
        <w:t>.</w:t>
      </w:r>
    </w:p>
    <w:p w14:paraId="1E67F0E9" w14:textId="49BA8AF4" w:rsidR="00DE57B2" w:rsidRDefault="00DE57B2" w:rsidP="00131035">
      <w:r w:rsidRPr="00DE57B2">
        <w:t xml:space="preserve">Zum Training </w:t>
      </w:r>
      <w:r w:rsidR="00131035">
        <w:t xml:space="preserve">dieser KI </w:t>
      </w:r>
      <w:r w:rsidRPr="00DE57B2">
        <w:t>werden die Bilddaten und endgültigen Befunde vorhandener Untersuchungen benötigt</w:t>
      </w:r>
      <w:r w:rsidR="00131035">
        <w:t>.</w:t>
      </w:r>
    </w:p>
    <w:p w14:paraId="3DA179A7" w14:textId="63CFCE49" w:rsidR="00DE57B2" w:rsidRDefault="00DE57B2" w:rsidP="00DE57B2">
      <w:pPr>
        <w:pStyle w:val="berschrift3"/>
      </w:pPr>
      <w:bookmarkStart w:id="216" w:name="_Toc169934866"/>
      <w:r>
        <w:t>Berechtigtes Interesse</w:t>
      </w:r>
      <w:bookmarkEnd w:id="216"/>
    </w:p>
    <w:p w14:paraId="670175DE" w14:textId="7EE1ED4D" w:rsidR="00DE57B2" w:rsidRDefault="00DE57B2" w:rsidP="00DE57B2">
      <w:pPr>
        <w:contextualSpacing/>
      </w:pPr>
      <w:r>
        <w:t xml:space="preserve">Die Reduzierung der Strahlenbelastung für Patientinnen stellt </w:t>
      </w:r>
      <w:r w:rsidRPr="00B96AC2">
        <w:t>ein</w:t>
      </w:r>
      <w:r>
        <w:t xml:space="preserve"> legitimes Interesse dar. Das Vorhaben findet eine Erlaubnisnorm in </w:t>
      </w:r>
      <w:r w:rsidR="005F5895">
        <w:t>§ </w:t>
      </w:r>
      <w:r w:rsidRPr="00DE57B2">
        <w:t xml:space="preserve">27 </w:t>
      </w:r>
      <w:r w:rsidR="005F5895">
        <w:t>Abs. </w:t>
      </w:r>
      <w:r w:rsidRPr="00DE57B2">
        <w:t>1 BDSG</w:t>
      </w:r>
      <w:r>
        <w:t xml:space="preserve">: </w:t>
      </w:r>
    </w:p>
    <w:p w14:paraId="051FCAC3" w14:textId="6DA0D5B9" w:rsidR="00DE57B2" w:rsidRDefault="00DE57B2" w:rsidP="00DE57B2">
      <w:pPr>
        <w:ind w:left="708"/>
      </w:pPr>
      <w:r>
        <w:t>„</w:t>
      </w:r>
      <w:r w:rsidRPr="00DE57B2">
        <w:t>[…] auch ohne Einwilligung für wissenschaftliche oder historische Forschungszwecke oder für statistische Zwecke zulässig, wenn die Verarbeitung zu diesen Zwecken erforderlich ist und die Interessen des Verantwortlichen an der Verarbeitung die Interessen der betroffenen Person an einem Ausschluss der Verarbeitung erheblich überwiegen</w:t>
      </w:r>
      <w:r>
        <w:t>.“</w:t>
      </w:r>
    </w:p>
    <w:p w14:paraId="633796D4" w14:textId="4BC4156D" w:rsidR="00DE57B2" w:rsidRDefault="00DE57B2" w:rsidP="00DE57B2">
      <w:r>
        <w:t>Für den niedergelassenen Bereich findet das BDSG Anwendung, Landeskrankenhausgesetze sind für diesen Bereich nicht anwendbar. Jedoch sind Vorgaben der Berufsordnung für Ärztinnen/Ärzte zu beachten.</w:t>
      </w:r>
    </w:p>
    <w:p w14:paraId="049D975E" w14:textId="5671001C" w:rsidR="00DE57B2" w:rsidRDefault="005F5895" w:rsidP="00DE57B2">
      <w:pPr>
        <w:spacing w:after="0"/>
      </w:pPr>
      <w:r>
        <w:t>§ </w:t>
      </w:r>
      <w:r w:rsidR="00DE57B2" w:rsidRPr="00DE57B2">
        <w:t xml:space="preserve">27 </w:t>
      </w:r>
      <w:r>
        <w:t>Abs. </w:t>
      </w:r>
      <w:r w:rsidR="00DE57B2" w:rsidRPr="00DE57B2">
        <w:t>1 BDSG</w:t>
      </w:r>
      <w:r w:rsidR="00DE57B2">
        <w:t xml:space="preserve"> stellt die nationale Umsetzung der rechtlichen Vorgaben von </w:t>
      </w:r>
      <w:r>
        <w:t>Art. </w:t>
      </w:r>
      <w:r w:rsidR="00DE57B2">
        <w:t xml:space="preserve">9 </w:t>
      </w:r>
      <w:r>
        <w:t>Abs. </w:t>
      </w:r>
      <w:r w:rsidR="00DE57B2">
        <w:t xml:space="preserve">2 </w:t>
      </w:r>
      <w:r>
        <w:t>lit. </w:t>
      </w:r>
      <w:r w:rsidR="00DE57B2">
        <w:t xml:space="preserve">j DS-GVO dar. </w:t>
      </w:r>
      <w:r>
        <w:t>Art. </w:t>
      </w:r>
      <w:r w:rsidR="00DE57B2">
        <w:t xml:space="preserve">9 </w:t>
      </w:r>
      <w:r>
        <w:t>Abs. </w:t>
      </w:r>
      <w:r w:rsidR="00DE57B2">
        <w:t xml:space="preserve">2 </w:t>
      </w:r>
      <w:r>
        <w:t>lit. </w:t>
      </w:r>
      <w:r w:rsidR="00DE57B2">
        <w:t xml:space="preserve">j DS-GVO verlangt von der Rechtsnorm, dass </w:t>
      </w:r>
      <w:r w:rsidR="00DE57B2" w:rsidRPr="005F5895">
        <w:t>diese</w:t>
      </w:r>
    </w:p>
    <w:p w14:paraId="66437B32" w14:textId="77777777" w:rsidR="00DE57B2" w:rsidRDefault="00DE57B2" w:rsidP="00DE57B2">
      <w:pPr>
        <w:pStyle w:val="Listenabsatz"/>
        <w:numPr>
          <w:ilvl w:val="0"/>
          <w:numId w:val="25"/>
        </w:numPr>
      </w:pPr>
      <w:r w:rsidRPr="005F5895">
        <w:t>in</w:t>
      </w:r>
      <w:r w:rsidRPr="00DE57B2">
        <w:t xml:space="preserve"> angemessenem Verhältnis zu dem verfolgten Ziel steht,</w:t>
      </w:r>
    </w:p>
    <w:p w14:paraId="70E355C8" w14:textId="77777777" w:rsidR="00DE57B2" w:rsidRDefault="00DE57B2" w:rsidP="00DE57B2">
      <w:pPr>
        <w:pStyle w:val="Listenabsatz"/>
        <w:numPr>
          <w:ilvl w:val="0"/>
          <w:numId w:val="25"/>
        </w:numPr>
      </w:pPr>
      <w:r w:rsidRPr="005F5895">
        <w:t>den</w:t>
      </w:r>
      <w:r w:rsidRPr="00DE57B2">
        <w:t xml:space="preserve"> Wesensgehalt des Rechts auf Datenschutz wahrt </w:t>
      </w:r>
      <w:r w:rsidRPr="005F5895">
        <w:t>und</w:t>
      </w:r>
    </w:p>
    <w:p w14:paraId="1369E660" w14:textId="3F2474F7" w:rsidR="00DE57B2" w:rsidRDefault="00DE57B2" w:rsidP="00DE57B2">
      <w:pPr>
        <w:pStyle w:val="Listenabsatz"/>
        <w:numPr>
          <w:ilvl w:val="0"/>
          <w:numId w:val="25"/>
        </w:numPr>
        <w:spacing w:after="0"/>
        <w:ind w:left="714" w:hanging="357"/>
      </w:pPr>
      <w:r w:rsidRPr="005F5895">
        <w:t>angemessene</w:t>
      </w:r>
      <w:r w:rsidRPr="00DE57B2">
        <w:t xml:space="preserve"> und spezifische Maßnahmen zur Wahrung der Grundrechte und Interessen der betroffenen Person vorsieht</w:t>
      </w:r>
      <w:r>
        <w:t>.</w:t>
      </w:r>
    </w:p>
    <w:p w14:paraId="6E0BB7C4" w14:textId="1288AD1A" w:rsidR="00DE57B2" w:rsidRDefault="005F5895" w:rsidP="00DE57B2">
      <w:r>
        <w:t>§ </w:t>
      </w:r>
      <w:r w:rsidR="00DE57B2" w:rsidRPr="00DE57B2">
        <w:t xml:space="preserve">27 </w:t>
      </w:r>
      <w:r>
        <w:t>Abs. </w:t>
      </w:r>
      <w:r w:rsidR="00DE57B2" w:rsidRPr="00DE57B2">
        <w:t>1 BDSG</w:t>
      </w:r>
      <w:r w:rsidR="00DE57B2">
        <w:t xml:space="preserve"> entspricht vom Wortlaut </w:t>
      </w:r>
      <w:r>
        <w:t>Art. </w:t>
      </w:r>
      <w:r w:rsidR="00DE57B2">
        <w:t xml:space="preserve">9 </w:t>
      </w:r>
      <w:r>
        <w:t>Abs. </w:t>
      </w:r>
      <w:r w:rsidR="00DE57B2">
        <w:t xml:space="preserve">2 </w:t>
      </w:r>
      <w:r>
        <w:t>lit. </w:t>
      </w:r>
      <w:r w:rsidR="00DE57B2">
        <w:t xml:space="preserve">j DS-GVO, entspricht also seitens der Angemessenheit </w:t>
      </w:r>
      <w:r w:rsidR="00DE57B2" w:rsidRPr="00B96AC2">
        <w:t>der</w:t>
      </w:r>
      <w:r w:rsidR="00B96AC2" w:rsidRPr="00B96AC2">
        <w:t>jenigen</w:t>
      </w:r>
      <w:r w:rsidR="00DE57B2" w:rsidRPr="00B96AC2">
        <w:t xml:space="preserve"> der</w:t>
      </w:r>
      <w:r w:rsidR="00DE57B2">
        <w:t xml:space="preserve"> DS-GVO und wahrt ebenso das </w:t>
      </w:r>
      <w:r w:rsidR="00971E28">
        <w:t>R</w:t>
      </w:r>
      <w:r w:rsidR="00DE57B2">
        <w:t>echt auf Datenschutz der betroffenen Person. Hinsichtlich der „</w:t>
      </w:r>
      <w:r w:rsidR="00DE57B2" w:rsidRPr="00DE57B2">
        <w:t>angemessene</w:t>
      </w:r>
      <w:r w:rsidR="00DE57B2">
        <w:t>n</w:t>
      </w:r>
      <w:r w:rsidR="00DE57B2" w:rsidRPr="00DE57B2">
        <w:t xml:space="preserve"> und spezifische</w:t>
      </w:r>
      <w:r w:rsidR="00DE57B2">
        <w:t>n</w:t>
      </w:r>
      <w:r w:rsidR="00DE57B2" w:rsidRPr="00DE57B2">
        <w:t xml:space="preserve"> Maßnahmen</w:t>
      </w:r>
      <w:r w:rsidR="00DE57B2">
        <w:t xml:space="preserve">“ verweist </w:t>
      </w:r>
      <w:r>
        <w:t>§ </w:t>
      </w:r>
      <w:r w:rsidR="00DE57B2" w:rsidRPr="00DE57B2">
        <w:t xml:space="preserve">27 </w:t>
      </w:r>
      <w:r>
        <w:t>Abs. </w:t>
      </w:r>
      <w:r w:rsidR="00DE57B2" w:rsidRPr="00DE57B2">
        <w:t xml:space="preserve">1 </w:t>
      </w:r>
      <w:r w:rsidR="00DE57B2">
        <w:t xml:space="preserve">S. 2 </w:t>
      </w:r>
      <w:r w:rsidR="00DE57B2" w:rsidRPr="00DE57B2">
        <w:t>BDSG</w:t>
      </w:r>
      <w:r w:rsidR="00DE57B2">
        <w:t xml:space="preserve"> auf </w:t>
      </w:r>
      <w:r>
        <w:t>§ </w:t>
      </w:r>
      <w:r w:rsidR="00DE57B2" w:rsidRPr="00DE57B2">
        <w:t xml:space="preserve">22 </w:t>
      </w:r>
      <w:r>
        <w:t>Abs. </w:t>
      </w:r>
      <w:r w:rsidR="00DE57B2" w:rsidRPr="00DE57B2">
        <w:t>2 S</w:t>
      </w:r>
      <w:r w:rsidR="00DE57B2">
        <w:t>. </w:t>
      </w:r>
      <w:r w:rsidR="00DE57B2" w:rsidRPr="00DE57B2">
        <w:t>2</w:t>
      </w:r>
      <w:r w:rsidR="00DE57B2">
        <w:t xml:space="preserve"> BDSG.</w:t>
      </w:r>
    </w:p>
    <w:p w14:paraId="0666D008" w14:textId="712EC11E" w:rsidR="00DE57B2" w:rsidRDefault="00DE57B2" w:rsidP="00971E28">
      <w:pPr>
        <w:spacing w:after="0"/>
      </w:pPr>
      <w:r w:rsidRPr="00DE57B2">
        <w:t xml:space="preserve">Die Vorgaben in </w:t>
      </w:r>
      <w:r w:rsidR="005F5895">
        <w:t>§ </w:t>
      </w:r>
      <w:r w:rsidRPr="00DE57B2">
        <w:t xml:space="preserve">22 </w:t>
      </w:r>
      <w:r w:rsidR="005F5895">
        <w:t>Abs. </w:t>
      </w:r>
      <w:r w:rsidRPr="00DE57B2">
        <w:t xml:space="preserve">2 </w:t>
      </w:r>
      <w:r>
        <w:t xml:space="preserve">S. 2 </w:t>
      </w:r>
      <w:r w:rsidRPr="00DE57B2">
        <w:t xml:space="preserve">BDSG enthalten teilweise dieselben Anforderungen wie </w:t>
      </w:r>
      <w:r w:rsidR="005F5895">
        <w:t>Art. </w:t>
      </w:r>
      <w:r w:rsidRPr="00DE57B2">
        <w:t>32 DS-GVO</w:t>
      </w:r>
      <w:r>
        <w:t>, stellen also lediglich Wiederholungen dar. Dies gilt für:</w:t>
      </w:r>
    </w:p>
    <w:p w14:paraId="1C515AA8" w14:textId="6692EFFE" w:rsidR="00DE57B2" w:rsidRDefault="005F5895" w:rsidP="00DE57B2">
      <w:pPr>
        <w:pStyle w:val="Listenabsatz"/>
        <w:numPr>
          <w:ilvl w:val="0"/>
          <w:numId w:val="18"/>
        </w:numPr>
      </w:pPr>
      <w:r>
        <w:t>§ </w:t>
      </w:r>
      <w:r w:rsidR="00DE57B2" w:rsidRPr="00DE57B2">
        <w:t xml:space="preserve">22 </w:t>
      </w:r>
      <w:r>
        <w:t>Abs. </w:t>
      </w:r>
      <w:r w:rsidR="00DE57B2" w:rsidRPr="00DE57B2">
        <w:t xml:space="preserve">2 </w:t>
      </w:r>
      <w:r w:rsidR="00DE57B2">
        <w:t xml:space="preserve">S. 2 </w:t>
      </w:r>
      <w:r w:rsidRPr="005F5895">
        <w:t>Ziff. </w:t>
      </w:r>
      <w:r w:rsidR="00DE57B2">
        <w:t xml:space="preserve">1 </w:t>
      </w:r>
      <w:r w:rsidR="00DE57B2" w:rsidRPr="00DE57B2">
        <w:t>BDSG</w:t>
      </w:r>
      <w:r w:rsidR="00DE57B2">
        <w:t xml:space="preserve">: Wiederholung von </w:t>
      </w:r>
      <w:r>
        <w:t>Art. </w:t>
      </w:r>
      <w:r w:rsidR="00DE57B2">
        <w:t xml:space="preserve">24 </w:t>
      </w:r>
      <w:r>
        <w:t>Abs. </w:t>
      </w:r>
      <w:r w:rsidR="00DE57B2">
        <w:t>1 DS-GVO</w:t>
      </w:r>
    </w:p>
    <w:p w14:paraId="6895B654" w14:textId="61A0E1BF" w:rsidR="00DE57B2" w:rsidRDefault="005F5895" w:rsidP="00DE57B2">
      <w:pPr>
        <w:pStyle w:val="Listenabsatz"/>
        <w:numPr>
          <w:ilvl w:val="0"/>
          <w:numId w:val="18"/>
        </w:numPr>
      </w:pPr>
      <w:r>
        <w:t>§ </w:t>
      </w:r>
      <w:r w:rsidR="00DE57B2" w:rsidRPr="00DE57B2">
        <w:t xml:space="preserve">22 </w:t>
      </w:r>
      <w:r>
        <w:t>Abs. </w:t>
      </w:r>
      <w:r w:rsidR="00DE57B2" w:rsidRPr="00DE57B2">
        <w:t xml:space="preserve">2 </w:t>
      </w:r>
      <w:r w:rsidR="00DE57B2">
        <w:t xml:space="preserve">S. 2 </w:t>
      </w:r>
      <w:r w:rsidRPr="005F5895">
        <w:t>Ziff. </w:t>
      </w:r>
      <w:r w:rsidR="00DE57B2">
        <w:t xml:space="preserve">2 </w:t>
      </w:r>
      <w:r w:rsidR="00DE57B2" w:rsidRPr="00DE57B2">
        <w:t>BDSG</w:t>
      </w:r>
      <w:r w:rsidR="00DE57B2">
        <w:t>:</w:t>
      </w:r>
      <w:r w:rsidR="00DE57B2" w:rsidRPr="00DE57B2">
        <w:t xml:space="preserve"> </w:t>
      </w:r>
      <w:r w:rsidR="00DE57B2">
        <w:t xml:space="preserve">Wiederholung von </w:t>
      </w:r>
      <w:r>
        <w:t>Art. </w:t>
      </w:r>
      <w:r w:rsidR="00DE57B2">
        <w:t xml:space="preserve">32 </w:t>
      </w:r>
      <w:r>
        <w:t>Abs. </w:t>
      </w:r>
      <w:r w:rsidR="00DE57B2">
        <w:t xml:space="preserve">1 </w:t>
      </w:r>
      <w:r>
        <w:t>lit. </w:t>
      </w:r>
      <w:r w:rsidR="00DE57B2">
        <w:t>b DS-GVO</w:t>
      </w:r>
    </w:p>
    <w:p w14:paraId="16ECC276" w14:textId="7055E08A" w:rsidR="00DE57B2" w:rsidRDefault="005F5895" w:rsidP="00DE57B2">
      <w:pPr>
        <w:pStyle w:val="Listenabsatz"/>
        <w:numPr>
          <w:ilvl w:val="0"/>
          <w:numId w:val="18"/>
        </w:numPr>
      </w:pPr>
      <w:r>
        <w:t>§ </w:t>
      </w:r>
      <w:r w:rsidR="00DE57B2" w:rsidRPr="00DE57B2">
        <w:t xml:space="preserve">22 </w:t>
      </w:r>
      <w:r>
        <w:t>Abs. </w:t>
      </w:r>
      <w:r w:rsidR="00DE57B2" w:rsidRPr="00DE57B2">
        <w:t xml:space="preserve">2 </w:t>
      </w:r>
      <w:r w:rsidR="00DE57B2">
        <w:t>S. </w:t>
      </w:r>
      <w:r w:rsidR="00971E28">
        <w:t>4</w:t>
      </w:r>
      <w:r w:rsidR="00DE57B2">
        <w:t xml:space="preserve"> </w:t>
      </w:r>
      <w:r w:rsidRPr="005F5895">
        <w:t>Ziff. </w:t>
      </w:r>
      <w:r w:rsidR="00971E28">
        <w:t>5</w:t>
      </w:r>
      <w:r w:rsidR="00DE57B2">
        <w:t xml:space="preserve"> </w:t>
      </w:r>
      <w:r w:rsidR="00DE57B2" w:rsidRPr="00DE57B2">
        <w:t>BDSG</w:t>
      </w:r>
      <w:r w:rsidR="00DE57B2">
        <w:t>:</w:t>
      </w:r>
      <w:r w:rsidR="00971E28">
        <w:t xml:space="preserve"> Da alle erforderlichen Zugriffe erfolgen müssen, folgt diese Anforderung unmittelbar aus </w:t>
      </w:r>
      <w:r>
        <w:t>Art. </w:t>
      </w:r>
      <w:r w:rsidR="00971E28">
        <w:t xml:space="preserve">5 </w:t>
      </w:r>
      <w:r>
        <w:t>Abs. </w:t>
      </w:r>
      <w:r w:rsidR="00971E28">
        <w:t xml:space="preserve">1 </w:t>
      </w:r>
      <w:r w:rsidR="00971E28" w:rsidRPr="005F5895">
        <w:t>DS-GVO</w:t>
      </w:r>
    </w:p>
    <w:p w14:paraId="0134529F" w14:textId="2B9B7D2B" w:rsidR="00971E28" w:rsidRDefault="005F5895" w:rsidP="00DE57B2">
      <w:pPr>
        <w:pStyle w:val="Listenabsatz"/>
        <w:numPr>
          <w:ilvl w:val="0"/>
          <w:numId w:val="18"/>
        </w:numPr>
      </w:pPr>
      <w:r>
        <w:t>§ </w:t>
      </w:r>
      <w:r w:rsidR="00971E28" w:rsidRPr="00DE57B2">
        <w:t xml:space="preserve">22 </w:t>
      </w:r>
      <w:r>
        <w:t>Abs. </w:t>
      </w:r>
      <w:r w:rsidR="00971E28" w:rsidRPr="00DE57B2">
        <w:t xml:space="preserve">2 </w:t>
      </w:r>
      <w:r w:rsidR="00971E28">
        <w:t xml:space="preserve">S. 2 </w:t>
      </w:r>
      <w:r w:rsidRPr="005F5895">
        <w:t>Ziff. </w:t>
      </w:r>
      <w:r w:rsidR="00971E28">
        <w:t xml:space="preserve">6 </w:t>
      </w:r>
      <w:r w:rsidR="00971E28" w:rsidRPr="00DE57B2">
        <w:t>BDSG</w:t>
      </w:r>
      <w:r w:rsidR="00971E28">
        <w:t xml:space="preserve">: Wiederholung von </w:t>
      </w:r>
      <w:r>
        <w:t>Art. </w:t>
      </w:r>
      <w:r w:rsidR="00971E28" w:rsidRPr="00971E28">
        <w:t xml:space="preserve">32 </w:t>
      </w:r>
      <w:r>
        <w:t>Abs. </w:t>
      </w:r>
      <w:r w:rsidR="00971E28" w:rsidRPr="00971E28">
        <w:t xml:space="preserve">1 </w:t>
      </w:r>
      <w:r>
        <w:t>Buchst. </w:t>
      </w:r>
      <w:r w:rsidR="00971E28" w:rsidRPr="00971E28">
        <w:t>a DS-GVO</w:t>
      </w:r>
    </w:p>
    <w:p w14:paraId="09419072" w14:textId="18C38E80" w:rsidR="00971E28" w:rsidRDefault="005F5895" w:rsidP="00971E28">
      <w:pPr>
        <w:pStyle w:val="Listenabsatz"/>
        <w:numPr>
          <w:ilvl w:val="0"/>
          <w:numId w:val="18"/>
        </w:numPr>
      </w:pPr>
      <w:r>
        <w:t>§ </w:t>
      </w:r>
      <w:r w:rsidR="00971E28" w:rsidRPr="00DE57B2">
        <w:t xml:space="preserve">22 </w:t>
      </w:r>
      <w:r>
        <w:t>Abs. </w:t>
      </w:r>
      <w:r w:rsidR="00971E28" w:rsidRPr="00DE57B2">
        <w:t xml:space="preserve">2 </w:t>
      </w:r>
      <w:r w:rsidR="00971E28">
        <w:t xml:space="preserve">S. 2 </w:t>
      </w:r>
      <w:r w:rsidRPr="005F5895">
        <w:t>Ziff. </w:t>
      </w:r>
      <w:r w:rsidR="00971E28">
        <w:t xml:space="preserve">7 </w:t>
      </w:r>
      <w:r w:rsidR="00971E28" w:rsidRPr="00DE57B2">
        <w:t>BDSG</w:t>
      </w:r>
      <w:r w:rsidR="00971E28">
        <w:t xml:space="preserve">: Wiederholung von </w:t>
      </w:r>
      <w:r>
        <w:t>Art. </w:t>
      </w:r>
      <w:r w:rsidR="00971E28" w:rsidRPr="00971E28">
        <w:t xml:space="preserve">32 </w:t>
      </w:r>
      <w:r>
        <w:t>Abs. </w:t>
      </w:r>
      <w:r w:rsidR="00971E28" w:rsidRPr="00971E28">
        <w:t xml:space="preserve">1 </w:t>
      </w:r>
      <w:r>
        <w:t>Buchst. </w:t>
      </w:r>
      <w:r w:rsidR="00971E28" w:rsidRPr="00971E28">
        <w:t>a DS-GVO</w:t>
      </w:r>
    </w:p>
    <w:p w14:paraId="686E9412" w14:textId="760BD24A" w:rsidR="00971E28" w:rsidRDefault="005F5895" w:rsidP="00971E28">
      <w:pPr>
        <w:pStyle w:val="Listenabsatz"/>
        <w:numPr>
          <w:ilvl w:val="0"/>
          <w:numId w:val="18"/>
        </w:numPr>
      </w:pPr>
      <w:r>
        <w:t>§ </w:t>
      </w:r>
      <w:r w:rsidR="00971E28" w:rsidRPr="00DE57B2">
        <w:t xml:space="preserve">22 </w:t>
      </w:r>
      <w:r>
        <w:t>Abs. </w:t>
      </w:r>
      <w:r w:rsidR="00971E28" w:rsidRPr="00DE57B2">
        <w:t xml:space="preserve">2 </w:t>
      </w:r>
      <w:r w:rsidR="00971E28">
        <w:t xml:space="preserve">S. 2 </w:t>
      </w:r>
      <w:r w:rsidRPr="005F5895">
        <w:t>Ziff. </w:t>
      </w:r>
      <w:r w:rsidR="00971E28">
        <w:t xml:space="preserve">8 </w:t>
      </w:r>
      <w:r w:rsidR="00971E28" w:rsidRPr="00DE57B2">
        <w:t>BDSG</w:t>
      </w:r>
      <w:r w:rsidR="00971E28">
        <w:t xml:space="preserve">: Wiederholung von </w:t>
      </w:r>
      <w:r>
        <w:t>Art. </w:t>
      </w:r>
      <w:r w:rsidR="00971E28" w:rsidRPr="00971E28">
        <w:t xml:space="preserve">32 </w:t>
      </w:r>
      <w:r>
        <w:t>Abs. </w:t>
      </w:r>
      <w:r w:rsidR="00971E28" w:rsidRPr="00971E28">
        <w:t xml:space="preserve">1 </w:t>
      </w:r>
      <w:r>
        <w:t>Buchst. </w:t>
      </w:r>
      <w:r w:rsidR="00971E28" w:rsidRPr="00971E28">
        <w:t>b, c DS-GVO</w:t>
      </w:r>
    </w:p>
    <w:p w14:paraId="1A909637" w14:textId="1BD48E9A" w:rsidR="00971E28" w:rsidRDefault="005F5895" w:rsidP="00971E28">
      <w:pPr>
        <w:pStyle w:val="Listenabsatz"/>
        <w:numPr>
          <w:ilvl w:val="0"/>
          <w:numId w:val="18"/>
        </w:numPr>
      </w:pPr>
      <w:r>
        <w:t>§ </w:t>
      </w:r>
      <w:r w:rsidR="00971E28" w:rsidRPr="00DE57B2">
        <w:t xml:space="preserve">22 </w:t>
      </w:r>
      <w:r>
        <w:t>Abs. </w:t>
      </w:r>
      <w:r w:rsidR="00971E28" w:rsidRPr="00DE57B2">
        <w:t xml:space="preserve">2 </w:t>
      </w:r>
      <w:r w:rsidR="00971E28">
        <w:t xml:space="preserve">S. 2 </w:t>
      </w:r>
      <w:r w:rsidRPr="005F5895">
        <w:t>Ziff. </w:t>
      </w:r>
      <w:r w:rsidR="00971E28">
        <w:t xml:space="preserve">9 </w:t>
      </w:r>
      <w:r w:rsidR="00971E28" w:rsidRPr="00DE57B2">
        <w:t>BDSG</w:t>
      </w:r>
      <w:r w:rsidR="00971E28">
        <w:t xml:space="preserve">: Wiederholung von </w:t>
      </w:r>
      <w:r>
        <w:t>Art. </w:t>
      </w:r>
      <w:r w:rsidR="00971E28" w:rsidRPr="00971E28">
        <w:t xml:space="preserve">32 </w:t>
      </w:r>
      <w:r>
        <w:t>Abs. </w:t>
      </w:r>
      <w:r w:rsidR="00971E28" w:rsidRPr="00971E28">
        <w:t xml:space="preserve">1 </w:t>
      </w:r>
      <w:r>
        <w:t>Buchst. </w:t>
      </w:r>
      <w:r w:rsidR="00971E28" w:rsidRPr="00971E28">
        <w:t>d DS-GVO</w:t>
      </w:r>
    </w:p>
    <w:p w14:paraId="2B5815DE" w14:textId="03E635CB" w:rsidR="00971E28" w:rsidRDefault="005F5895" w:rsidP="00971E28">
      <w:pPr>
        <w:pStyle w:val="Listenabsatz"/>
        <w:numPr>
          <w:ilvl w:val="0"/>
          <w:numId w:val="18"/>
        </w:numPr>
        <w:spacing w:after="0"/>
        <w:ind w:left="714" w:hanging="357"/>
      </w:pPr>
      <w:r>
        <w:t>§ </w:t>
      </w:r>
      <w:r w:rsidR="00971E28" w:rsidRPr="00DE57B2">
        <w:t xml:space="preserve">22 </w:t>
      </w:r>
      <w:r>
        <w:t>Abs. </w:t>
      </w:r>
      <w:r w:rsidR="00971E28" w:rsidRPr="00DE57B2">
        <w:t xml:space="preserve">2 </w:t>
      </w:r>
      <w:r w:rsidR="00971E28">
        <w:t xml:space="preserve">S. 2 </w:t>
      </w:r>
      <w:r w:rsidRPr="005F5895">
        <w:t>Ziff. </w:t>
      </w:r>
      <w:r w:rsidR="00971E28">
        <w:t xml:space="preserve">10 </w:t>
      </w:r>
      <w:r w:rsidR="00971E28" w:rsidRPr="00DE57B2">
        <w:t>BDSG</w:t>
      </w:r>
      <w:r w:rsidR="00971E28">
        <w:t xml:space="preserve">: </w:t>
      </w:r>
      <w:r w:rsidR="00971E28" w:rsidRPr="00B96AC2">
        <w:t>S</w:t>
      </w:r>
      <w:r w:rsidR="00B96AC2" w:rsidRPr="00B96AC2">
        <w:t>t</w:t>
      </w:r>
      <w:r w:rsidR="00971E28" w:rsidRPr="00B96AC2">
        <w:t>ellt</w:t>
      </w:r>
      <w:r w:rsidR="00971E28">
        <w:t xml:space="preserve"> lediglich die Aufforderung dar, sich an </w:t>
      </w:r>
      <w:r w:rsidR="00971E28" w:rsidRPr="00B96AC2">
        <w:t>bestehendes</w:t>
      </w:r>
      <w:r w:rsidR="00B96AC2" w:rsidRPr="00B96AC2">
        <w:t xml:space="preserve"> </w:t>
      </w:r>
      <w:r w:rsidR="00B96AC2">
        <w:t>R</w:t>
      </w:r>
      <w:r w:rsidR="00971E28">
        <w:t>echt zu halten.</w:t>
      </w:r>
    </w:p>
    <w:p w14:paraId="351963F7" w14:textId="3E30112F" w:rsidR="00DE57B2" w:rsidRDefault="00DE57B2" w:rsidP="00DE57B2">
      <w:r>
        <w:t xml:space="preserve">Entsprechend der Rechtsprechung des EuGH stellen Wiederholungen der DS-GVO im nationalen </w:t>
      </w:r>
      <w:r w:rsidR="00562420">
        <w:t>R</w:t>
      </w:r>
      <w:r>
        <w:t>echt jedoch keine „spezifischen“ Maßnahmen dar.</w:t>
      </w:r>
    </w:p>
    <w:p w14:paraId="22F0BCAE" w14:textId="6574156F" w:rsidR="00DE57B2" w:rsidRDefault="005F5895" w:rsidP="00971E28">
      <w:pPr>
        <w:spacing w:after="0"/>
      </w:pPr>
      <w:r>
        <w:t>§ </w:t>
      </w:r>
      <w:r w:rsidR="00DE57B2" w:rsidRPr="00DE57B2">
        <w:t xml:space="preserve">22 </w:t>
      </w:r>
      <w:r>
        <w:t>Abs. </w:t>
      </w:r>
      <w:r w:rsidR="00DE57B2" w:rsidRPr="00DE57B2">
        <w:t xml:space="preserve">2 </w:t>
      </w:r>
      <w:r w:rsidR="00DE57B2">
        <w:t xml:space="preserve">S. 3 </w:t>
      </w:r>
      <w:r w:rsidRPr="005F5895">
        <w:t>Ziff. </w:t>
      </w:r>
      <w:r w:rsidR="00971E28">
        <w:t>3 und 4</w:t>
      </w:r>
      <w:r w:rsidR="00DE57B2">
        <w:t xml:space="preserve"> </w:t>
      </w:r>
      <w:r w:rsidR="00DE57B2" w:rsidRPr="00DE57B2">
        <w:t>BDSG</w:t>
      </w:r>
      <w:r w:rsidR="00971E28">
        <w:t xml:space="preserve"> stellen keine Wiederholungen dar, können als die DS-GVO ergänzende spezifischere Maßnahme gelten. Daraus folgt, dass </w:t>
      </w:r>
      <w:r>
        <w:t>§ </w:t>
      </w:r>
      <w:r w:rsidR="00971E28">
        <w:t xml:space="preserve">27 </w:t>
      </w:r>
      <w:r>
        <w:t>Abs. </w:t>
      </w:r>
      <w:r w:rsidR="00971E28">
        <w:t xml:space="preserve">1 BDSG aus Sicht der </w:t>
      </w:r>
      <w:r w:rsidR="00971E28" w:rsidRPr="00B96AC2">
        <w:t>D</w:t>
      </w:r>
      <w:r w:rsidR="00B96AC2" w:rsidRPr="00B96AC2">
        <w:t>S</w:t>
      </w:r>
      <w:r w:rsidR="00971E28" w:rsidRPr="00B96AC2">
        <w:t>-GVO</w:t>
      </w:r>
      <w:r w:rsidR="00971E28">
        <w:t xml:space="preserve"> eine Konkretisierung </w:t>
      </w:r>
      <w:r>
        <w:t>Art. </w:t>
      </w:r>
      <w:r w:rsidR="00971E28">
        <w:t xml:space="preserve">9 </w:t>
      </w:r>
      <w:r>
        <w:t>Abs. </w:t>
      </w:r>
      <w:r w:rsidR="00971E28">
        <w:t xml:space="preserve">2 </w:t>
      </w:r>
      <w:r>
        <w:t>lit. </w:t>
      </w:r>
      <w:r w:rsidR="00971E28">
        <w:t xml:space="preserve">j DS-GVO darstellt und somit eine Verarbeitung als nationales Recht legitimieren kann. Forschende, die sich auf diese </w:t>
      </w:r>
      <w:r w:rsidR="00B96AC2" w:rsidRPr="00B96AC2">
        <w:t>E</w:t>
      </w:r>
      <w:r w:rsidR="00971E28" w:rsidRPr="00B96AC2">
        <w:t>rlaubnisnorm</w:t>
      </w:r>
      <w:r w:rsidR="00971E28">
        <w:t xml:space="preserve"> berufen, müssen bei </w:t>
      </w:r>
      <w:r w:rsidR="00971E28" w:rsidRPr="005F5895">
        <w:t>Forschungsprojekten</w:t>
      </w:r>
    </w:p>
    <w:p w14:paraId="20C0DFA5" w14:textId="5D21370E" w:rsidR="00971E28" w:rsidRDefault="00971E28" w:rsidP="00971E28">
      <w:pPr>
        <w:pStyle w:val="Listenabsatz"/>
        <w:numPr>
          <w:ilvl w:val="0"/>
          <w:numId w:val="18"/>
        </w:numPr>
      </w:pPr>
      <w:r w:rsidRPr="005F5895">
        <w:t>einen</w:t>
      </w:r>
      <w:r>
        <w:t xml:space="preserve"> Datenschutzbeauftragten benannt haben (</w:t>
      </w:r>
      <w:r w:rsidR="005F5895">
        <w:t>§ </w:t>
      </w:r>
      <w:r>
        <w:t xml:space="preserve">22 </w:t>
      </w:r>
      <w:r w:rsidR="005F5895">
        <w:t>Abs. </w:t>
      </w:r>
      <w:r>
        <w:t xml:space="preserve">2 </w:t>
      </w:r>
      <w:r w:rsidR="00B96AC2" w:rsidRPr="00B96AC2">
        <w:t>S</w:t>
      </w:r>
      <w:r w:rsidRPr="00B96AC2">
        <w:t>.</w:t>
      </w:r>
      <w:r w:rsidR="00B96AC2" w:rsidRPr="00B96AC2">
        <w:t> </w:t>
      </w:r>
      <w:r w:rsidRPr="00B96AC2">
        <w:t>2</w:t>
      </w:r>
      <w:r>
        <w:t xml:space="preserve"> </w:t>
      </w:r>
      <w:r w:rsidR="005F5895" w:rsidRPr="005F5895">
        <w:t>Ziff. </w:t>
      </w:r>
      <w:r>
        <w:t>4 BDSG) und ebenso</w:t>
      </w:r>
    </w:p>
    <w:p w14:paraId="3169C624" w14:textId="00000114" w:rsidR="00971E28" w:rsidRDefault="00971E28" w:rsidP="00971E28">
      <w:pPr>
        <w:pStyle w:val="Listenabsatz"/>
        <w:numPr>
          <w:ilvl w:val="0"/>
          <w:numId w:val="18"/>
        </w:numPr>
        <w:spacing w:after="0"/>
        <w:ind w:left="714" w:hanging="357"/>
      </w:pPr>
      <w:r w:rsidRPr="005F5895">
        <w:t>an</w:t>
      </w:r>
      <w:r w:rsidRPr="00971E28">
        <w:t xml:space="preserve"> </w:t>
      </w:r>
      <w:r>
        <w:t xml:space="preserve">den </w:t>
      </w:r>
      <w:r w:rsidRPr="00971E28">
        <w:t xml:space="preserve">Verarbeitungsvorgängen </w:t>
      </w:r>
      <w:r>
        <w:t>b</w:t>
      </w:r>
      <w:r w:rsidRPr="00971E28">
        <w:t>eteiligte</w:t>
      </w:r>
      <w:r>
        <w:t xml:space="preserve"> Personen sensibilisieren</w:t>
      </w:r>
      <w:r w:rsidR="00B96AC2">
        <w:t xml:space="preserve"> (</w:t>
      </w:r>
      <w:r w:rsidR="005F5895">
        <w:t>§ </w:t>
      </w:r>
      <w:r w:rsidR="00B96AC2">
        <w:t xml:space="preserve">22 </w:t>
      </w:r>
      <w:r w:rsidR="005F5895">
        <w:t>Abs. </w:t>
      </w:r>
      <w:r w:rsidR="00B96AC2">
        <w:t xml:space="preserve">2 </w:t>
      </w:r>
      <w:r w:rsidR="00B96AC2" w:rsidRPr="00B96AC2">
        <w:t>S. 2</w:t>
      </w:r>
      <w:r w:rsidR="00B96AC2">
        <w:t xml:space="preserve"> </w:t>
      </w:r>
      <w:r w:rsidR="005F5895" w:rsidRPr="005F5895">
        <w:t>Ziff. </w:t>
      </w:r>
      <w:r w:rsidR="00B96AC2">
        <w:t>3 BDSG)</w:t>
      </w:r>
      <w:r>
        <w:t>,</w:t>
      </w:r>
    </w:p>
    <w:p w14:paraId="5ECD0A90" w14:textId="01300EA2" w:rsidR="00DE57B2" w:rsidRDefault="00971E28" w:rsidP="00DE57B2">
      <w:r w:rsidRPr="005F5895">
        <w:t>damit</w:t>
      </w:r>
      <w:r>
        <w:t xml:space="preserve"> eine Verarbeitung als rechtskonform angesehen werden kann.</w:t>
      </w:r>
    </w:p>
    <w:p w14:paraId="188D6F04" w14:textId="04890CE6" w:rsidR="00DE57B2" w:rsidRDefault="00DE57B2" w:rsidP="00DE57B2">
      <w:r>
        <w:t xml:space="preserve">Die </w:t>
      </w:r>
      <w:r w:rsidR="00B96AC2">
        <w:t>„</w:t>
      </w:r>
      <w:r>
        <w:t xml:space="preserve">(Muster-)Berufsordnung für die in </w:t>
      </w:r>
      <w:r w:rsidRPr="00B96AC2">
        <w:t xml:space="preserve">Deutschland </w:t>
      </w:r>
      <w:r>
        <w:t xml:space="preserve">tätigen Ärztinnen und Ärzte“ (MBO-Ä) selbst </w:t>
      </w:r>
      <w:r w:rsidR="00B96AC2">
        <w:t>stellt lediglich</w:t>
      </w:r>
      <w:r>
        <w:t xml:space="preserve"> ein</w:t>
      </w:r>
      <w:r w:rsidR="00B96AC2">
        <w:t>e</w:t>
      </w:r>
      <w:r>
        <w:t xml:space="preserve"> Muster</w:t>
      </w:r>
      <w:r w:rsidR="00B96AC2">
        <w:t>formulierung ohne Rechtswirkung dar</w:t>
      </w:r>
      <w:r>
        <w:t xml:space="preserve">, </w:t>
      </w:r>
      <w:r w:rsidR="00B96AC2">
        <w:t xml:space="preserve">ist </w:t>
      </w:r>
      <w:r>
        <w:t xml:space="preserve">rechtlich </w:t>
      </w:r>
      <w:r w:rsidR="00B96AC2">
        <w:t xml:space="preserve">also </w:t>
      </w:r>
      <w:r>
        <w:t xml:space="preserve">nicht </w:t>
      </w:r>
      <w:r w:rsidRPr="00B96AC2">
        <w:t>binden</w:t>
      </w:r>
      <w:r w:rsidR="00B96AC2" w:rsidRPr="00B96AC2">
        <w:t>d</w:t>
      </w:r>
      <w:r>
        <w:t xml:space="preserve">. Dies sind nur die </w:t>
      </w:r>
      <w:r w:rsidRPr="00B96AC2">
        <w:t>Berufsor</w:t>
      </w:r>
      <w:r w:rsidR="00B96AC2" w:rsidRPr="00B96AC2">
        <w:t>d</w:t>
      </w:r>
      <w:r w:rsidRPr="00B96AC2">
        <w:t>nungen</w:t>
      </w:r>
      <w:r>
        <w:t xml:space="preserve"> der jeweiligen </w:t>
      </w:r>
      <w:r w:rsidR="00B96AC2">
        <w:t>deutschen Bundesl</w:t>
      </w:r>
      <w:r>
        <w:t xml:space="preserve">änder. Die </w:t>
      </w:r>
      <w:r w:rsidRPr="00B96AC2">
        <w:t>Regelung</w:t>
      </w:r>
      <w:r>
        <w:t xml:space="preserve"> zur Forschung aus der </w:t>
      </w:r>
      <w:r w:rsidRPr="00B96AC2">
        <w:t>Mus</w:t>
      </w:r>
      <w:r w:rsidR="00B96AC2" w:rsidRPr="00B96AC2">
        <w:t>t</w:t>
      </w:r>
      <w:r w:rsidRPr="00B96AC2">
        <w:t>er-Be</w:t>
      </w:r>
      <w:r w:rsidR="00B96AC2" w:rsidRPr="00B96AC2">
        <w:t>r</w:t>
      </w:r>
      <w:r w:rsidRPr="00B96AC2">
        <w:t>ufsordnung</w:t>
      </w:r>
      <w:r>
        <w:t xml:space="preserve"> wird jedoch in jeder </w:t>
      </w:r>
      <w:r w:rsidR="00B96AC2">
        <w:t xml:space="preserve">der </w:t>
      </w:r>
      <w:r>
        <w:t>Landesberufsordnung</w:t>
      </w:r>
      <w:r w:rsidR="00B96AC2">
        <w:t>en</w:t>
      </w:r>
      <w:r>
        <w:t xml:space="preserve"> übernommen, sodass die Bewertung der Muster-Berufsordnung zugleich eine Bewertung jeder einzelnen Landesberufsordnung entspricht.</w:t>
      </w:r>
    </w:p>
    <w:p w14:paraId="275E36B9" w14:textId="063A245A" w:rsidR="00DE57B2" w:rsidRDefault="00DE57B2" w:rsidP="00DE57B2">
      <w:pPr>
        <w:spacing w:after="0"/>
      </w:pPr>
      <w:r>
        <w:t xml:space="preserve">Die aktuelle </w:t>
      </w:r>
      <w:r w:rsidRPr="00DE57B2">
        <w:t>Fassung</w:t>
      </w:r>
      <w:r>
        <w:t xml:space="preserve"> der </w:t>
      </w:r>
      <w:r w:rsidRPr="00B96AC2">
        <w:t>Muster-Berufsordnung</w:t>
      </w:r>
      <w:r w:rsidR="00B96AC2" w:rsidRPr="00B96AC2">
        <w:t xml:space="preserve"> </w:t>
      </w:r>
      <w:r w:rsidRPr="00B96AC2">
        <w:t>ist</w:t>
      </w:r>
      <w:r>
        <w:t xml:space="preserve"> die Fassung </w:t>
      </w:r>
      <w:r w:rsidRPr="00DE57B2">
        <w:t>des Beschlusses des 124. Deutschen Ärztetages vom 5. Mai 2021</w:t>
      </w:r>
      <w:r>
        <w:t xml:space="preserve">. Die Regelung zu Forschung findet sich </w:t>
      </w:r>
      <w:r w:rsidRPr="00B96AC2">
        <w:t>in</w:t>
      </w:r>
      <w:r w:rsidR="00B96AC2" w:rsidRPr="00B96AC2">
        <w:t xml:space="preserve"> </w:t>
      </w:r>
      <w:r w:rsidR="005F5895">
        <w:t>§ </w:t>
      </w:r>
      <w:r>
        <w:t>15 MBO-Ä. Darin finden sich folgende Vorgaben:</w:t>
      </w:r>
    </w:p>
    <w:p w14:paraId="2E9D657D" w14:textId="04A04A43" w:rsidR="00DE57B2" w:rsidRDefault="005F5895" w:rsidP="00174CBD">
      <w:pPr>
        <w:pStyle w:val="Listenabsatz"/>
        <w:numPr>
          <w:ilvl w:val="0"/>
          <w:numId w:val="18"/>
        </w:numPr>
      </w:pPr>
      <w:r>
        <w:t>§ </w:t>
      </w:r>
      <w:r w:rsidR="00DE57B2">
        <w:t xml:space="preserve">15 </w:t>
      </w:r>
      <w:r>
        <w:t>Abs. </w:t>
      </w:r>
      <w:r w:rsidR="00DE57B2">
        <w:t>1 MBO-Ä: Werden in einem Forschungsprojekt Daten verwendet, die sich einem bestimmten Menschen zuordnen lassen, muss sichergestellt werden, dass vor der Durchführung des Forschungsvorhabens eine Beratung erfolgt, die auf die mit ihm verbundenen berufsethischen und berufsrechtlichen Fragen zielt und die von einer bei der zuständigen Ärztekammer gebildeten Ethik-Kommission oder von einer anderen, nach Landesrecht gebildeten unabhängigen und interdisziplinär besetzten Ethik-Kommission durchgeführt wird.</w:t>
      </w:r>
    </w:p>
    <w:p w14:paraId="2E924815" w14:textId="12BB95B6" w:rsidR="00DE57B2" w:rsidRDefault="005F5895" w:rsidP="003E5E0D">
      <w:pPr>
        <w:pStyle w:val="Listenabsatz"/>
        <w:numPr>
          <w:ilvl w:val="0"/>
          <w:numId w:val="18"/>
        </w:numPr>
      </w:pPr>
      <w:r>
        <w:t>§ </w:t>
      </w:r>
      <w:r w:rsidR="00DE57B2">
        <w:t xml:space="preserve">15 </w:t>
      </w:r>
      <w:r>
        <w:t>Abs. </w:t>
      </w:r>
      <w:r w:rsidR="00DE57B2">
        <w:t xml:space="preserve">3 MBO-Ä: Ärztinnen und Ärzte beachten bei der Forschung am Menschen nach </w:t>
      </w:r>
      <w:r>
        <w:t>§ </w:t>
      </w:r>
      <w:r w:rsidR="00DE57B2">
        <w:t xml:space="preserve">15 Absatz 1 die in der Deklaration von Helsinki des Weltärztebundes in der Fassung der 64. Generalversammlung 2013 in </w:t>
      </w:r>
      <w:r w:rsidR="00DE57B2" w:rsidRPr="005F5895">
        <w:t>Fortaleza</w:t>
      </w:r>
      <w:r w:rsidR="00DE57B2">
        <w:t xml:space="preserve"> niedergelegten ethischen Grundsätze für die medizinische Forschung am Menschen.</w:t>
      </w:r>
    </w:p>
    <w:p w14:paraId="5EF17127" w14:textId="745B28C8" w:rsidR="00DE57B2" w:rsidRDefault="00DE57B2" w:rsidP="00DE57B2">
      <w:r>
        <w:t>Bzgl. Forschung enthält die MBO-Ä keine Erlaubnisnorm, wohl aber zu beachtende Vorgaben für von Ärztinnen und Ärzten durchgeführte Forschungsprojekte.</w:t>
      </w:r>
    </w:p>
    <w:p w14:paraId="73D6665A" w14:textId="443B92A6" w:rsidR="00DE57B2" w:rsidRDefault="00DE57B2" w:rsidP="00DE57B2">
      <w:r>
        <w:t xml:space="preserve">Für das Forschungsvorhaben besteht ein berechtigtes Interesse im Sinne </w:t>
      </w:r>
      <w:r w:rsidR="005F5895">
        <w:t>§ </w:t>
      </w:r>
      <w:r w:rsidRPr="00DE57B2">
        <w:t xml:space="preserve">27 </w:t>
      </w:r>
      <w:r w:rsidR="005F5895">
        <w:t>Abs. </w:t>
      </w:r>
      <w:r w:rsidRPr="00DE57B2">
        <w:t>1 BDSG</w:t>
      </w:r>
      <w:r>
        <w:t xml:space="preserve"> i. V. m. </w:t>
      </w:r>
      <w:r w:rsidR="005F5895">
        <w:t>Art. </w:t>
      </w:r>
      <w:r>
        <w:t xml:space="preserve">9 </w:t>
      </w:r>
      <w:r w:rsidR="005F5895">
        <w:t>Abs. </w:t>
      </w:r>
      <w:r>
        <w:t xml:space="preserve">2 </w:t>
      </w:r>
      <w:r w:rsidR="005F5895">
        <w:t>lit. </w:t>
      </w:r>
      <w:r>
        <w:t>j DS-GVO</w:t>
      </w:r>
      <w:r w:rsidR="00B96AC2">
        <w:t>,</w:t>
      </w:r>
      <w:r>
        <w:t xml:space="preserve"> </w:t>
      </w:r>
      <w:r w:rsidR="005F5895">
        <w:t>Art. </w:t>
      </w:r>
      <w:r>
        <w:t xml:space="preserve">6 </w:t>
      </w:r>
      <w:r w:rsidR="005F5895">
        <w:t>Abs. </w:t>
      </w:r>
      <w:r w:rsidRPr="00B96AC2">
        <w:t>1</w:t>
      </w:r>
      <w:r>
        <w:t xml:space="preserve"> </w:t>
      </w:r>
      <w:r w:rsidR="005F5895">
        <w:t>lit. </w:t>
      </w:r>
      <w:r>
        <w:t xml:space="preserve">f DS-GVO </w:t>
      </w:r>
      <w:r w:rsidRPr="00B96AC2">
        <w:t>bildet</w:t>
      </w:r>
      <w:r>
        <w:t xml:space="preserve"> den dazu</w:t>
      </w:r>
      <w:r w:rsidR="00131035">
        <w:t xml:space="preserve"> </w:t>
      </w:r>
      <w:r>
        <w:t>gehörenden Rechtfertigungstatbest</w:t>
      </w:r>
      <w:r w:rsidR="00131035">
        <w:t>a</w:t>
      </w:r>
      <w:r>
        <w:t>nd</w:t>
      </w:r>
      <w:r w:rsidR="00B96AC2">
        <w:t>.</w:t>
      </w:r>
      <w:r>
        <w:t xml:space="preserve"> </w:t>
      </w:r>
      <w:r w:rsidRPr="00B96AC2">
        <w:t>Die</w:t>
      </w:r>
      <w:r>
        <w:t xml:space="preserve"> Forschung ist </w:t>
      </w:r>
      <w:r w:rsidR="00B96AC2">
        <w:t xml:space="preserve">daher </w:t>
      </w:r>
      <w:r>
        <w:t>legitim</w:t>
      </w:r>
      <w:r w:rsidR="00B96AC2">
        <w:t>, das Interesse somit als „berechtigtes Interesse“ i. S. d. DS-GVO zu werten.</w:t>
      </w:r>
    </w:p>
    <w:p w14:paraId="0462F808" w14:textId="7B3E1A8C" w:rsidR="00DE57B2" w:rsidRDefault="00DE57B2" w:rsidP="00DE57B2">
      <w:pPr>
        <w:pStyle w:val="berschrift3"/>
      </w:pPr>
      <w:bookmarkStart w:id="217" w:name="_Toc169934867"/>
      <w:r>
        <w:t>Erforderlichkeit</w:t>
      </w:r>
      <w:bookmarkEnd w:id="217"/>
    </w:p>
    <w:p w14:paraId="2919F395" w14:textId="481B11E4" w:rsidR="00DE57B2" w:rsidRDefault="00131035" w:rsidP="00DE57B2">
      <w:r w:rsidRPr="00B96AC2">
        <w:t>Die</w:t>
      </w:r>
      <w:r>
        <w:t xml:space="preserve"> Daten müssen zur Erreichung </w:t>
      </w:r>
      <w:r w:rsidRPr="00B96AC2">
        <w:t>des Zweck</w:t>
      </w:r>
      <w:r w:rsidR="00B96AC2" w:rsidRPr="00B96AC2">
        <w:t>es</w:t>
      </w:r>
      <w:r>
        <w:t xml:space="preserve"> verarbeitet werden, anders kann der Zweck nicht erreicht werden.</w:t>
      </w:r>
    </w:p>
    <w:p w14:paraId="0DB0248E" w14:textId="5781D727" w:rsidR="00131035" w:rsidRDefault="00131035" w:rsidP="00DE57B2">
      <w:r>
        <w:t>Zum Training der KI sowie zur Evaluation des KI-Modells werden die Bilddaten selbst sowie die Befunde benötigt. Jedoch werden Namen von Patienten und Untersuchern, die sich in den DICOM-Daten befinden nicht benötigt, müssen also entfernt werden. Die Daten werden als „pseudonyme Daten“ klassifiziert, da ein binärer Abgleich der Forschungsdaten mit den Originaldaten in den jeweiligen niedergelassenen Arztpraxen eine Re-Identifizierung ermöglichen würde.</w:t>
      </w:r>
    </w:p>
    <w:p w14:paraId="68BCD7A1" w14:textId="5AC4200C" w:rsidR="00DE57B2" w:rsidRDefault="00DE57B2" w:rsidP="00DE57B2">
      <w:pPr>
        <w:pStyle w:val="berschrift3"/>
      </w:pPr>
      <w:bookmarkStart w:id="218" w:name="_Toc169934868"/>
      <w:r>
        <w:t>Interessenabwägung</w:t>
      </w:r>
      <w:bookmarkEnd w:id="218"/>
    </w:p>
    <w:p w14:paraId="7A7034BC" w14:textId="0F70B468" w:rsidR="00131035" w:rsidRPr="00131035" w:rsidRDefault="005F5895" w:rsidP="00131035">
      <w:pPr>
        <w:spacing w:after="0"/>
      </w:pPr>
      <w:r>
        <w:t>§ </w:t>
      </w:r>
      <w:r w:rsidR="00131035" w:rsidRPr="00DE57B2">
        <w:t xml:space="preserve">27 </w:t>
      </w:r>
      <w:r>
        <w:t>Abs. </w:t>
      </w:r>
      <w:r w:rsidR="00131035" w:rsidRPr="00DE57B2">
        <w:t>1 BDSG</w:t>
      </w:r>
      <w:r w:rsidR="00131035">
        <w:t xml:space="preserve"> verlangt ein „erhebliches“ überwiegendes Interesse des Verantwortlichen. Von </w:t>
      </w:r>
      <w:r w:rsidR="00131035" w:rsidRPr="00B96AC2">
        <w:t>einem überwiegende</w:t>
      </w:r>
      <w:r w:rsidR="00B96AC2" w:rsidRPr="00B96AC2">
        <w:t>n</w:t>
      </w:r>
      <w:r w:rsidR="00131035" w:rsidRPr="00B96AC2">
        <w:t xml:space="preserve"> Forschungsinteresse</w:t>
      </w:r>
      <w:r w:rsidR="00131035" w:rsidRPr="00131035">
        <w:t xml:space="preserve"> </w:t>
      </w:r>
      <w:r w:rsidR="00131035">
        <w:t>kann insbesondere ausgegangen werden</w:t>
      </w:r>
      <w:r w:rsidR="00131035" w:rsidRPr="00131035">
        <w:t xml:space="preserve">, </w:t>
      </w:r>
      <w:r w:rsidR="00131035" w:rsidRPr="005F5895">
        <w:t>wenn</w:t>
      </w:r>
    </w:p>
    <w:p w14:paraId="3DA40017" w14:textId="77777777" w:rsidR="00131035" w:rsidRPr="00131035" w:rsidRDefault="00131035" w:rsidP="00131035">
      <w:pPr>
        <w:pStyle w:val="Listenabsatz"/>
        <w:numPr>
          <w:ilvl w:val="0"/>
          <w:numId w:val="27"/>
        </w:numPr>
      </w:pPr>
      <w:r w:rsidRPr="005F5895">
        <w:t>an</w:t>
      </w:r>
      <w:r w:rsidRPr="00131035">
        <w:t xml:space="preserve"> der Durchführung des Forschungsvorhabens ein öffentliches Interesse besteht </w:t>
      </w:r>
      <w:r w:rsidRPr="005F5895">
        <w:t>und</w:t>
      </w:r>
      <w:r w:rsidRPr="00131035">
        <w:t xml:space="preserve"> </w:t>
      </w:r>
    </w:p>
    <w:p w14:paraId="57A44C7E" w14:textId="77777777" w:rsidR="00131035" w:rsidRPr="00131035" w:rsidRDefault="00131035" w:rsidP="00131035">
      <w:pPr>
        <w:pStyle w:val="Listenabsatz"/>
        <w:numPr>
          <w:ilvl w:val="0"/>
          <w:numId w:val="27"/>
        </w:numPr>
      </w:pPr>
      <w:r w:rsidRPr="005F5895">
        <w:t>der</w:t>
      </w:r>
      <w:r w:rsidRPr="00131035">
        <w:t xml:space="preserve"> Eingriff in die Rechte der betroffenen Person so gering wie nur möglich gehalten wird </w:t>
      </w:r>
      <w:r w:rsidRPr="005F5895">
        <w:t>und</w:t>
      </w:r>
    </w:p>
    <w:p w14:paraId="33877334" w14:textId="55176B51" w:rsidR="00DE57B2" w:rsidRDefault="00131035" w:rsidP="00131035">
      <w:pPr>
        <w:pStyle w:val="Listenabsatz"/>
        <w:numPr>
          <w:ilvl w:val="0"/>
          <w:numId w:val="27"/>
        </w:numPr>
      </w:pPr>
      <w:r w:rsidRPr="005F5895">
        <w:t>der</w:t>
      </w:r>
      <w:r w:rsidRPr="00131035">
        <w:t xml:space="preserve"> Grundrechtseingriff gegenüber der betroffenen Person nicht außer Verhältnis zu dem angestrebten Zweck steht.</w:t>
      </w:r>
    </w:p>
    <w:p w14:paraId="73491C12" w14:textId="1FC221BC" w:rsidR="00131035" w:rsidRDefault="00131035" w:rsidP="00131035">
      <w:pPr>
        <w:spacing w:after="0"/>
      </w:pPr>
      <w:r>
        <w:t xml:space="preserve">Der </w:t>
      </w:r>
      <w:r w:rsidRPr="00131035">
        <w:t xml:space="preserve">Nachweis, dass das öffentliche Interesse an den Ergebnissen der Forschung </w:t>
      </w:r>
      <w:r>
        <w:t xml:space="preserve">vorhanden ist, stellt auch ein entsprechendes überwiegendes Interesse dar. Um „öffentliches Interesse“ darstellen zu können, kann man </w:t>
      </w:r>
      <w:r w:rsidRPr="00131035">
        <w:t>Abschnitt 86 Richtlinien für das Strafverfahren und das Bußgeldverfahren (</w:t>
      </w:r>
      <w:r w:rsidRPr="005F5895">
        <w:t>RiStBV</w:t>
      </w:r>
      <w:r w:rsidRPr="00131035">
        <w:t>)</w:t>
      </w:r>
      <w:r>
        <w:t xml:space="preserve"> analog anwenden. Dementsprechend liegt ein öffentliches Interesse vor, </w:t>
      </w:r>
      <w:r w:rsidRPr="005F5895">
        <w:t>wenn</w:t>
      </w:r>
    </w:p>
    <w:p w14:paraId="7435B78B" w14:textId="77777777" w:rsidR="00131035" w:rsidRPr="00131035" w:rsidRDefault="00131035" w:rsidP="00131035">
      <w:pPr>
        <w:pStyle w:val="Listenabsatz"/>
        <w:numPr>
          <w:ilvl w:val="0"/>
          <w:numId w:val="18"/>
        </w:numPr>
      </w:pPr>
      <w:r w:rsidRPr="005F5895">
        <w:t>das</w:t>
      </w:r>
      <w:r w:rsidRPr="00131035">
        <w:t xml:space="preserve"> Vorhaben ein gegenwärtiges Anliegen der Allgemeinheit beinhaltet </w:t>
      </w:r>
      <w:r w:rsidRPr="005F5895">
        <w:t>oder</w:t>
      </w:r>
    </w:p>
    <w:p w14:paraId="6DE12561" w14:textId="4BCF450F" w:rsidR="00DE57B2" w:rsidRDefault="00131035" w:rsidP="00131035">
      <w:pPr>
        <w:pStyle w:val="Listenabsatz"/>
        <w:numPr>
          <w:ilvl w:val="0"/>
          <w:numId w:val="18"/>
        </w:numPr>
      </w:pPr>
      <w:r w:rsidRPr="005F5895">
        <w:t>das</w:t>
      </w:r>
      <w:r w:rsidRPr="00131035">
        <w:t xml:space="preserve"> Vorhaben ein gegenwärtiges Anliegen der Allgemeinheit ist.</w:t>
      </w:r>
    </w:p>
    <w:p w14:paraId="30DAF9E9" w14:textId="1869A85E" w:rsidR="00131035" w:rsidRDefault="00131035" w:rsidP="00131035">
      <w:pPr>
        <w:spacing w:after="0"/>
      </w:pPr>
      <w:r>
        <w:t xml:space="preserve">Zum Nachweis eines „öffentlichen </w:t>
      </w:r>
      <w:r w:rsidRPr="00B96AC2">
        <w:t>Intere</w:t>
      </w:r>
      <w:r w:rsidR="00B96AC2" w:rsidRPr="00B96AC2">
        <w:t>s</w:t>
      </w:r>
      <w:r w:rsidRPr="00B96AC2">
        <w:t>ses</w:t>
      </w:r>
      <w:r>
        <w:t xml:space="preserve">“ müssen daher </w:t>
      </w:r>
      <w:r w:rsidR="00B96AC2">
        <w:t>zwei</w:t>
      </w:r>
      <w:r>
        <w:t xml:space="preserve"> Fragen beantwortet werden:</w:t>
      </w:r>
    </w:p>
    <w:p w14:paraId="3954AB47" w14:textId="4C7745A9" w:rsidR="00131035" w:rsidRPr="00131035" w:rsidRDefault="00131035" w:rsidP="00131035">
      <w:pPr>
        <w:pStyle w:val="Listenabsatz"/>
        <w:numPr>
          <w:ilvl w:val="0"/>
          <w:numId w:val="26"/>
        </w:numPr>
      </w:pPr>
      <w:r w:rsidRPr="00131035">
        <w:t>Interessiert das Vorhaben die Allgemeinheit?</w:t>
      </w:r>
    </w:p>
    <w:p w14:paraId="6C33A6A9" w14:textId="003B8A47" w:rsidR="00131035" w:rsidRDefault="00131035" w:rsidP="00131035">
      <w:pPr>
        <w:pStyle w:val="Listenabsatz"/>
        <w:numPr>
          <w:ilvl w:val="0"/>
          <w:numId w:val="26"/>
        </w:numPr>
      </w:pPr>
      <w:r w:rsidRPr="00131035">
        <w:t>Nützt das Ergebnis des Vorhabens der Allgemeinheit?</w:t>
      </w:r>
    </w:p>
    <w:p w14:paraId="5FE1FBD3" w14:textId="41FC62E2" w:rsidR="00131035" w:rsidRDefault="00131035" w:rsidP="00131035">
      <w:pPr>
        <w:pStyle w:val="berschrift4"/>
      </w:pPr>
      <w:bookmarkStart w:id="219" w:name="_Toc169934869"/>
      <w:r w:rsidRPr="00131035">
        <w:t>Interessiert das Vorhaben die Allgemeinheit</w:t>
      </w:r>
      <w:r>
        <w:t xml:space="preserve"> und n</w:t>
      </w:r>
      <w:r w:rsidRPr="00131035">
        <w:t xml:space="preserve">ützt das </w:t>
      </w:r>
      <w:r>
        <w:t>Forschungse</w:t>
      </w:r>
      <w:r w:rsidRPr="00131035">
        <w:t>rgebnis der Allgemeinheit</w:t>
      </w:r>
      <w:r>
        <w:t>?</w:t>
      </w:r>
      <w:bookmarkEnd w:id="219"/>
    </w:p>
    <w:p w14:paraId="7AA07536" w14:textId="7CA8E8DA" w:rsidR="00131035" w:rsidRPr="00131035" w:rsidRDefault="00131035" w:rsidP="00131035">
      <w:r w:rsidRPr="00131035">
        <w:t>Brustkrebs ist weltweit die häufigste krebsbedingte Todesursache</w:t>
      </w:r>
      <w:r>
        <w:t xml:space="preserve">: In der </w:t>
      </w:r>
      <w:r w:rsidRPr="00131035">
        <w:t>Gruppe der 50 bis 51-jährigen Frauen</w:t>
      </w:r>
      <w:r>
        <w:t xml:space="preserve"> gibt es </w:t>
      </w:r>
      <w:r w:rsidRPr="00131035">
        <w:t>690.500 Frauen</w:t>
      </w:r>
      <w:r>
        <w:rPr>
          <w:rStyle w:val="Funotenzeichen"/>
        </w:rPr>
        <w:footnoteReference w:id="89"/>
      </w:r>
      <w:r w:rsidRPr="00131035">
        <w:t>, die aufgrund ihres Alters berechtigt am Screeningprogramm teilnehmen dürfen</w:t>
      </w:r>
      <w:r>
        <w:t xml:space="preserve">, </w:t>
      </w:r>
      <w:r w:rsidRPr="00131035">
        <w:t>2014 nahmen 624.800 Frauen</w:t>
      </w:r>
      <w:r>
        <w:rPr>
          <w:rStyle w:val="Funotenzeichen"/>
        </w:rPr>
        <w:footnoteReference w:id="90"/>
      </w:r>
      <w:r w:rsidRPr="00131035">
        <w:t xml:space="preserve"> am Screening teil</w:t>
      </w:r>
      <w:r>
        <w:t>.</w:t>
      </w:r>
    </w:p>
    <w:p w14:paraId="2821AA08" w14:textId="68D3BEEE" w:rsidR="00131035" w:rsidRDefault="00131035" w:rsidP="00131035">
      <w:r w:rsidRPr="00131035">
        <w:t>Daraus resultier</w:t>
      </w:r>
      <w:r>
        <w:t xml:space="preserve">t statistisch, dass </w:t>
      </w:r>
      <w:r w:rsidRPr="00131035">
        <w:t>156.200 Frauen in 20 Jahren Screening einen in der Abklärung negativen Befund erhalten</w:t>
      </w:r>
      <w:r>
        <w:t>, d</w:t>
      </w:r>
      <w:r w:rsidRPr="00131035">
        <w:t>ies entspricht 7810 Frauen pro Jahr</w:t>
      </w:r>
      <w:r>
        <w:t>. Aber statistisch entsprechen b</w:t>
      </w:r>
      <w:r w:rsidRPr="00131035">
        <w:t xml:space="preserve">ei 8.510 Frauen pro Jahr die endgültigen Ergebnisse nicht dem </w:t>
      </w:r>
      <w:r w:rsidR="00B96AC2" w:rsidRPr="00B96AC2">
        <w:t>i</w:t>
      </w:r>
      <w:r w:rsidRPr="00B96AC2">
        <w:t>nitialen</w:t>
      </w:r>
      <w:r w:rsidRPr="00131035">
        <w:t xml:space="preserve"> Screeningbefund</w:t>
      </w:r>
      <w:r>
        <w:t>.</w:t>
      </w:r>
    </w:p>
    <w:p w14:paraId="4CE7E060" w14:textId="5BF02DC3" w:rsidR="00131035" w:rsidRDefault="00131035" w:rsidP="00B96AC2">
      <w:pPr>
        <w:spacing w:after="0"/>
      </w:pPr>
      <w:r>
        <w:t>Daraus resultieren zum einen Kosten für die Allgemeinheit:</w:t>
      </w:r>
    </w:p>
    <w:p w14:paraId="4A8CFEFD" w14:textId="7324BF8D" w:rsidR="00131035" w:rsidRDefault="00131035" w:rsidP="00864AFC">
      <w:pPr>
        <w:pStyle w:val="Listenabsatz"/>
        <w:numPr>
          <w:ilvl w:val="0"/>
          <w:numId w:val="18"/>
        </w:numPr>
      </w:pPr>
      <w:r>
        <w:t>I</w:t>
      </w:r>
      <w:r w:rsidRPr="00131035">
        <w:t xml:space="preserve">nnerhalb von 20 Jahren Screening werden zusätzlich ca. 22.400 Frauen </w:t>
      </w:r>
      <w:r w:rsidRPr="005F5895">
        <w:t>biopsiert</w:t>
      </w:r>
      <w:r w:rsidRPr="00131035">
        <w:t>, bei denen kein Karzinom nachweisbar ist</w:t>
      </w:r>
      <w:r>
        <w:t xml:space="preserve">. Entsprechend der </w:t>
      </w:r>
      <w:r w:rsidR="005F5895" w:rsidRPr="00131035">
        <w:t>EBM-Ziffer</w:t>
      </w:r>
      <w:r w:rsidRPr="00131035">
        <w:t xml:space="preserve"> 08320 (Mammastanzbiopsie)</w:t>
      </w:r>
      <w:r>
        <w:t xml:space="preserve"> resultieren daraus </w:t>
      </w:r>
      <w:r w:rsidRPr="00131035">
        <w:t>rund 1.000.000 Euro nur für die Stanzbiopsie</w:t>
      </w:r>
      <w:r>
        <w:t>.</w:t>
      </w:r>
    </w:p>
    <w:p w14:paraId="1279AD87" w14:textId="65FC46CA" w:rsidR="00131035" w:rsidRPr="00131035" w:rsidRDefault="00131035" w:rsidP="00131035">
      <w:pPr>
        <w:pStyle w:val="Listenabsatz"/>
        <w:numPr>
          <w:ilvl w:val="0"/>
          <w:numId w:val="18"/>
        </w:numPr>
      </w:pPr>
      <w:r>
        <w:t>Weitere K</w:t>
      </w:r>
      <w:r w:rsidRPr="00131035">
        <w:t>osten</w:t>
      </w:r>
      <w:r w:rsidR="00B96AC2">
        <w:t>,</w:t>
      </w:r>
      <w:r w:rsidRPr="00131035">
        <w:t xml:space="preserve"> d</w:t>
      </w:r>
      <w:r>
        <w:t xml:space="preserve">ie </w:t>
      </w:r>
      <w:r w:rsidRPr="00131035">
        <w:t xml:space="preserve">aufgrund der Diagnosestellung </w:t>
      </w:r>
      <w:r w:rsidRPr="00B96AC2">
        <w:t>resultierenden</w:t>
      </w:r>
      <w:r w:rsidR="00B96AC2" w:rsidRPr="00B96AC2">
        <w:t>:</w:t>
      </w:r>
    </w:p>
    <w:p w14:paraId="63D63C8B" w14:textId="5835849C" w:rsidR="00131035" w:rsidRDefault="00131035" w:rsidP="00131035">
      <w:pPr>
        <w:pStyle w:val="Listenabsatz"/>
        <w:numPr>
          <w:ilvl w:val="1"/>
          <w:numId w:val="18"/>
        </w:numPr>
      </w:pPr>
      <w:r w:rsidRPr="00131035">
        <w:t xml:space="preserve">Falsche Diagnosen bei den Frauen führen direkt zu Ausfällen bei der Arbeit mit entsprechenden wirtschaftlichen </w:t>
      </w:r>
      <w:r w:rsidRPr="00B96AC2">
        <w:t>Verlusten</w:t>
      </w:r>
      <w:r w:rsidR="00B96AC2" w:rsidRPr="00B96AC2">
        <w:t>.</w:t>
      </w:r>
    </w:p>
    <w:p w14:paraId="6102BCA7" w14:textId="79C4B32A" w:rsidR="00131035" w:rsidRPr="00131035" w:rsidRDefault="00131035" w:rsidP="005155CE">
      <w:pPr>
        <w:pStyle w:val="Listenabsatz"/>
        <w:numPr>
          <w:ilvl w:val="1"/>
          <w:numId w:val="18"/>
        </w:numPr>
      </w:pPr>
      <w:r w:rsidRPr="00131035">
        <w:t>Ehe- oder Lebenspartner muss Aufgaben übernehmen, welche die Frau aufgrund ihrer Krankheitsbewältigung nicht länger selbst wahrnehmen kann</w:t>
      </w:r>
      <w:r>
        <w:t xml:space="preserve">. </w:t>
      </w:r>
      <w:r w:rsidRPr="00131035">
        <w:t xml:space="preserve">Fällt die Frau für die Versorgung der Familie aus, so hat dies Auswirkungen bis hin zum Arbeitgeber des Lebenspartners, da dieser dann mehr privat gefordert wird </w:t>
      </w:r>
      <w:r w:rsidRPr="00B96AC2">
        <w:t>und</w:t>
      </w:r>
      <w:r>
        <w:t xml:space="preserve"> </w:t>
      </w:r>
      <w:r w:rsidRPr="00131035">
        <w:t>ggf. im Berufsleben weniger verfügbar ist</w:t>
      </w:r>
      <w:r>
        <w:t>.</w:t>
      </w:r>
    </w:p>
    <w:p w14:paraId="26AC9B1D" w14:textId="5B4B9D56" w:rsidR="00131035" w:rsidRDefault="00131035" w:rsidP="00131035">
      <w:pPr>
        <w:pStyle w:val="Listenabsatz"/>
        <w:numPr>
          <w:ilvl w:val="1"/>
          <w:numId w:val="18"/>
        </w:numPr>
      </w:pPr>
      <w:r w:rsidRPr="00131035">
        <w:t xml:space="preserve">Lebenspartner fällt im Arbeitsleben aus, was – betrachtet man die Summe aller Erkrankten </w:t>
      </w:r>
      <w:r w:rsidR="00B62A63">
        <w:t>–</w:t>
      </w:r>
      <w:r w:rsidRPr="00131035">
        <w:t xml:space="preserve"> wiederum Auswirkungen auf die gesamtwirtschaftliche Leistung in </w:t>
      </w:r>
      <w:r w:rsidRPr="00B96AC2">
        <w:t>Deutschland</w:t>
      </w:r>
      <w:r w:rsidR="009C5427">
        <w:t xml:space="preserve"> hat</w:t>
      </w:r>
      <w:r w:rsidR="00B96AC2" w:rsidRPr="00B96AC2">
        <w:t>.</w:t>
      </w:r>
    </w:p>
    <w:p w14:paraId="6DBC92BE" w14:textId="79CFA1DB" w:rsidR="00131035" w:rsidRDefault="00131035" w:rsidP="00131035">
      <w:r w:rsidRPr="00131035">
        <w:t xml:space="preserve">In Summe werden die Kosten sich </w:t>
      </w:r>
      <w:r w:rsidR="00B62A63">
        <w:t>–</w:t>
      </w:r>
      <w:r w:rsidRPr="00131035">
        <w:t xml:space="preserve"> sehr konservativ geschätzt </w:t>
      </w:r>
      <w:r w:rsidR="00B62A63">
        <w:t>–</w:t>
      </w:r>
      <w:r w:rsidRPr="00131035">
        <w:t xml:space="preserve"> allein für die krankheitsbezogenen medizinischen Maßnahmen sicherlich in einem zweistelligen Millionenbetrag belaufen</w:t>
      </w:r>
      <w:r>
        <w:t xml:space="preserve">. </w:t>
      </w:r>
      <w:r w:rsidRPr="00131035">
        <w:t>Hinzu kommen noch die Begleitkosten</w:t>
      </w:r>
      <w:r>
        <w:t>.</w:t>
      </w:r>
    </w:p>
    <w:p w14:paraId="18F33381" w14:textId="66DF1472" w:rsidR="00131035" w:rsidRDefault="00131035" w:rsidP="00131035">
      <w:r>
        <w:t xml:space="preserve">Es besteht daher ein öffentliches Interesse daran, </w:t>
      </w:r>
      <w:r w:rsidRPr="00131035">
        <w:t>Fehldiagnosen bei Screening reduzieren</w:t>
      </w:r>
      <w:r>
        <w:t xml:space="preserve">, um so die </w:t>
      </w:r>
      <w:r w:rsidR="00303763">
        <w:t>Krankheitskosten</w:t>
      </w:r>
      <w:r w:rsidRPr="00131035">
        <w:t xml:space="preserve"> </w:t>
      </w:r>
      <w:r>
        <w:t xml:space="preserve">zu </w:t>
      </w:r>
      <w:r w:rsidR="00303763">
        <w:t>senken</w:t>
      </w:r>
      <w:r>
        <w:t xml:space="preserve"> und die </w:t>
      </w:r>
      <w:r w:rsidRPr="00131035">
        <w:t>Anzahl der Fehl</w:t>
      </w:r>
      <w:r w:rsidR="00303763">
        <w:t>behandlungen</w:t>
      </w:r>
      <w:r w:rsidRPr="00131035">
        <w:t xml:space="preserve"> generell und </w:t>
      </w:r>
      <w:r w:rsidR="00303763">
        <w:t>insbesondere</w:t>
      </w:r>
      <w:r w:rsidRPr="00131035">
        <w:t xml:space="preserve"> die aufgrund einer fehlerhaften Diagnostik erfolgten Fehl</w:t>
      </w:r>
      <w:r w:rsidR="00303763">
        <w:t>behandlungen</w:t>
      </w:r>
      <w:r w:rsidRPr="00131035">
        <w:t xml:space="preserve"> weiter zu </w:t>
      </w:r>
      <w:r w:rsidR="00303763">
        <w:t>reduzieren</w:t>
      </w:r>
      <w:r>
        <w:t xml:space="preserve"> </w:t>
      </w:r>
      <w:r w:rsidR="00B62A63">
        <w:t>–</w:t>
      </w:r>
      <w:r>
        <w:t xml:space="preserve"> was sich auf die Stabilität der Beitragszahlungen für die Krankenkasse auswirken kann. De</w:t>
      </w:r>
      <w:r w:rsidR="009C5427">
        <w:t>r</w:t>
      </w:r>
      <w:r>
        <w:t xml:space="preserve"> </w:t>
      </w:r>
      <w:r w:rsidRPr="00131035">
        <w:t>Wirtschaftsstandort Deutschland</w:t>
      </w:r>
      <w:r>
        <w:t xml:space="preserve"> </w:t>
      </w:r>
      <w:r w:rsidR="00303763">
        <w:t>profitiert von</w:t>
      </w:r>
      <w:r>
        <w:t xml:space="preserve"> </w:t>
      </w:r>
      <w:r w:rsidRPr="00B96AC2">
        <w:t>de</w:t>
      </w:r>
      <w:r w:rsidR="00303763">
        <w:t>r</w:t>
      </w:r>
      <w:r w:rsidRPr="00131035">
        <w:t xml:space="preserve"> Verringerung </w:t>
      </w:r>
      <w:r w:rsidR="009C5427">
        <w:t xml:space="preserve">von </w:t>
      </w:r>
      <w:r w:rsidRPr="00131035">
        <w:t>Arbeits</w:t>
      </w:r>
      <w:r w:rsidR="00303763">
        <w:t>ausfällen</w:t>
      </w:r>
      <w:r>
        <w:t xml:space="preserve">, woraus </w:t>
      </w:r>
      <w:r w:rsidR="00303763">
        <w:t>sich ebenfalls</w:t>
      </w:r>
      <w:r>
        <w:t xml:space="preserve"> ein entsprechendes Interesse ableite</w:t>
      </w:r>
      <w:r w:rsidR="00303763">
        <w:t>n läss</w:t>
      </w:r>
      <w:r>
        <w:t>t.</w:t>
      </w:r>
    </w:p>
    <w:p w14:paraId="6D95F6DD" w14:textId="7642C14F" w:rsidR="00131035" w:rsidRDefault="00131035" w:rsidP="00131035">
      <w:r w:rsidRPr="00131035">
        <w:t>Es muss von einem hohen öffentlichen Interesse an einer Verringerung der Fehldiagnosen ausgegangen werden</w:t>
      </w:r>
      <w:r>
        <w:t>.</w:t>
      </w:r>
    </w:p>
    <w:p w14:paraId="16CE5A63" w14:textId="10DED480" w:rsidR="00131035" w:rsidRDefault="00131035" w:rsidP="00131035">
      <w:pPr>
        <w:pStyle w:val="berschrift4"/>
      </w:pPr>
      <w:bookmarkStart w:id="220" w:name="_Toc169934870"/>
      <w:r>
        <w:t>Schutz der betroffenen Personen</w:t>
      </w:r>
      <w:bookmarkEnd w:id="220"/>
    </w:p>
    <w:p w14:paraId="61E9A4E6" w14:textId="0565AE05" w:rsidR="00131035" w:rsidRDefault="00131035" w:rsidP="00131035">
      <w:r>
        <w:t xml:space="preserve">Die betroffenen Personen sind für die Forschung nicht identifizierbar. Die </w:t>
      </w:r>
      <w:r w:rsidRPr="00131035">
        <w:t>Überarbeitung der Bildmetadaten gewährleistet, dass die Identifizierung des Bilderzeugers nicht möglich ist</w:t>
      </w:r>
      <w:r>
        <w:t xml:space="preserve">, ebenso ist die </w:t>
      </w:r>
      <w:r w:rsidRPr="00131035">
        <w:t xml:space="preserve">Quelle der Bilddaten nicht </w:t>
      </w:r>
      <w:r>
        <w:t>mehr i</w:t>
      </w:r>
      <w:r w:rsidRPr="00131035">
        <w:t>dentifizierbar</w:t>
      </w:r>
      <w:r>
        <w:t xml:space="preserve">. </w:t>
      </w:r>
      <w:r w:rsidRPr="00131035">
        <w:t xml:space="preserve">Für </w:t>
      </w:r>
      <w:r>
        <w:t xml:space="preserve">das </w:t>
      </w:r>
      <w:r w:rsidRPr="00131035">
        <w:t>Training</w:t>
      </w:r>
      <w:r w:rsidR="00B96AC2">
        <w:t xml:space="preserve"> wie auch der Validierung der KI</w:t>
      </w:r>
      <w:r w:rsidRPr="00131035">
        <w:t xml:space="preserve"> </w:t>
      </w:r>
      <w:r w:rsidRPr="00B96AC2">
        <w:t>werden</w:t>
      </w:r>
      <w:r>
        <w:t xml:space="preserve"> die </w:t>
      </w:r>
      <w:r w:rsidRPr="00131035">
        <w:t xml:space="preserve">Daten beim Export so aufbereitet, dass in den </w:t>
      </w:r>
      <w:r>
        <w:t xml:space="preserve">Bilddaten </w:t>
      </w:r>
      <w:r w:rsidRPr="00131035">
        <w:t xml:space="preserve">alle personenidentifizierbaren Merkmale entfernt </w:t>
      </w:r>
      <w:r w:rsidRPr="00B96AC2">
        <w:t>werden</w:t>
      </w:r>
      <w:r w:rsidR="00B96AC2" w:rsidRPr="00B96AC2">
        <w:t>.</w:t>
      </w:r>
    </w:p>
    <w:p w14:paraId="4064B766" w14:textId="1C6968AC" w:rsidR="00131035" w:rsidRDefault="00131035" w:rsidP="00131035">
      <w:r>
        <w:t>Die Aufbereitung der Bilddaten erfolgt direkt in der Arztpraxis selbst, die Originaldaten stehen den Forschern zu keinem Zeitpunkt zur Verfügung. Mittels Ende-zu-Ende-Verschlüsselung werden die für das Training des KI-Modells sowie der Validierung des KI-Modells benötigten überarbeiteten Daten aus der jeweiligen Arztpraxis an das KI-Trainingszentrum gesendet. Eine e</w:t>
      </w:r>
      <w:r w:rsidRPr="00131035">
        <w:t>lektronische Signatur gewährleistet, dass Veränderungen der Daten für d</w:t>
      </w:r>
      <w:r>
        <w:t>ie</w:t>
      </w:r>
      <w:r w:rsidRPr="00131035">
        <w:t xml:space="preserve"> Forscher unmittelbar ersichtlich sind</w:t>
      </w:r>
      <w:r>
        <w:t>.</w:t>
      </w:r>
    </w:p>
    <w:p w14:paraId="58274B1F" w14:textId="03E05F93" w:rsidR="00131035" w:rsidRPr="00131035" w:rsidRDefault="00131035" w:rsidP="00131035">
      <w:r w:rsidRPr="00131035">
        <w:t xml:space="preserve">Alle Personen </w:t>
      </w:r>
      <w:r>
        <w:t xml:space="preserve">sind </w:t>
      </w:r>
      <w:r w:rsidRPr="00131035">
        <w:t>zusätzlich auf Verschwiegenheit und Einhaltung datenschutzrechtlicher Vorschriften verpflichtet</w:t>
      </w:r>
      <w:r>
        <w:t>.</w:t>
      </w:r>
    </w:p>
    <w:p w14:paraId="659E1CEA" w14:textId="2DB1AE90" w:rsidR="00131035" w:rsidRDefault="00131035" w:rsidP="00131035">
      <w:r>
        <w:t xml:space="preserve">Das </w:t>
      </w:r>
      <w:r w:rsidRPr="00131035">
        <w:t>Ergebnis des trainierten Netzwerks ist vollständig anonymisiert</w:t>
      </w:r>
      <w:r>
        <w:t>.</w:t>
      </w:r>
    </w:p>
    <w:p w14:paraId="15247EC7" w14:textId="7FA837A0" w:rsidR="00131035" w:rsidRPr="00131035" w:rsidRDefault="00131035" w:rsidP="00131035">
      <w:r w:rsidRPr="00131035">
        <w:t xml:space="preserve">Es verbleibt ein minimales Restrisiko, </w:t>
      </w:r>
      <w:r w:rsidRPr="005F5895">
        <w:t>dass</w:t>
      </w:r>
      <w:r w:rsidRPr="00131035">
        <w:t xml:space="preserve"> jemand außerhalb der jeweiligen Screeningeinheit eine Frau </w:t>
      </w:r>
      <w:r w:rsidR="00B30E6F">
        <w:t>anhand</w:t>
      </w:r>
      <w:r w:rsidRPr="00131035">
        <w:t xml:space="preserve"> eines solch aufbereiteten </w:t>
      </w:r>
      <w:r w:rsidRPr="005F5895">
        <w:t>Mammographiebildes</w:t>
      </w:r>
      <w:r w:rsidRPr="00131035">
        <w:t xml:space="preserve"> </w:t>
      </w:r>
      <w:r w:rsidRPr="005F5895">
        <w:t>re-identifizieren</w:t>
      </w:r>
      <w:r w:rsidRPr="00131035">
        <w:t xml:space="preserve"> k</w:t>
      </w:r>
      <w:r w:rsidR="00B30E6F">
        <w:t>a</w:t>
      </w:r>
      <w:r w:rsidRPr="00131035">
        <w:t>nn</w:t>
      </w:r>
      <w:r>
        <w:t xml:space="preserve">. Diese </w:t>
      </w:r>
      <w:r w:rsidRPr="00131035">
        <w:t xml:space="preserve">Re-Identifikation kann nur durch Personen bzw. IT-Systemen erfolgen, denen bereits mindestens eine andere </w:t>
      </w:r>
      <w:r w:rsidRPr="005F5895">
        <w:t>Mammographie</w:t>
      </w:r>
      <w:r w:rsidR="00B96AC2" w:rsidRPr="005F5895">
        <w:t>-U</w:t>
      </w:r>
      <w:r w:rsidRPr="005F5895">
        <w:t>ntersuchung</w:t>
      </w:r>
      <w:r w:rsidRPr="00131035">
        <w:t xml:space="preserve"> der entsprechenden Person inklusive der personenidentifizierenden Merkmale als Referenzwert </w:t>
      </w:r>
      <w:r w:rsidRPr="00B96AC2">
        <w:t>vorliegt</w:t>
      </w:r>
      <w:r w:rsidR="00B96AC2" w:rsidRPr="00B96AC2">
        <w:t>.</w:t>
      </w:r>
      <w:r w:rsidRPr="00B96AC2">
        <w:t xml:space="preserve"> Bei einem </w:t>
      </w:r>
      <w:r w:rsidRPr="005F5895">
        <w:t>Mammographie</w:t>
      </w:r>
      <w:r w:rsidR="00B96AC2" w:rsidRPr="005F5895">
        <w:t>-S</w:t>
      </w:r>
      <w:r w:rsidRPr="005F5895">
        <w:t>creening</w:t>
      </w:r>
      <w:r w:rsidRPr="00B96AC2">
        <w:t xml:space="preserve"> werden</w:t>
      </w:r>
      <w:r>
        <w:t xml:space="preserve"> g</w:t>
      </w:r>
      <w:r w:rsidRPr="00131035">
        <w:t xml:space="preserve">esunde Frauen untersucht, bei denen eine Voruntersuchung </w:t>
      </w:r>
      <w:r w:rsidRPr="00B96AC2">
        <w:t>i.</w:t>
      </w:r>
      <w:r w:rsidR="00B96AC2" w:rsidRPr="00B96AC2">
        <w:t> </w:t>
      </w:r>
      <w:r w:rsidRPr="00B96AC2">
        <w:t>d.</w:t>
      </w:r>
      <w:r w:rsidR="00B96AC2" w:rsidRPr="00B96AC2">
        <w:t> </w:t>
      </w:r>
      <w:r w:rsidRPr="00B96AC2">
        <w:t>R.</w:t>
      </w:r>
      <w:r w:rsidRPr="00131035">
        <w:t xml:space="preserve"> nicht vorliegt</w:t>
      </w:r>
      <w:r>
        <w:t xml:space="preserve">. Die </w:t>
      </w:r>
      <w:r w:rsidRPr="00131035">
        <w:t xml:space="preserve">Wahrscheinlichkeit </w:t>
      </w:r>
      <w:r w:rsidRPr="00B96AC2">
        <w:t>für</w:t>
      </w:r>
      <w:r>
        <w:t xml:space="preserve"> eine Re-Identifikation kann man nur schätzen und </w:t>
      </w:r>
      <w:r w:rsidR="00B96AC2">
        <w:t xml:space="preserve">sie wird </w:t>
      </w:r>
      <w:r w:rsidRPr="00131035">
        <w:t xml:space="preserve">deutlich </w:t>
      </w:r>
      <w:r>
        <w:t xml:space="preserve">geringer </w:t>
      </w:r>
      <w:r w:rsidRPr="00131035">
        <w:t xml:space="preserve">als </w:t>
      </w:r>
      <w:r>
        <w:t>1:</w:t>
      </w:r>
      <w:r w:rsidRPr="00131035">
        <w:t>1:500.000</w:t>
      </w:r>
      <w:r w:rsidR="00B96AC2">
        <w:t xml:space="preserve"> sein</w:t>
      </w:r>
      <w:r>
        <w:t>.</w:t>
      </w:r>
    </w:p>
    <w:p w14:paraId="2FDC9000" w14:textId="69951187" w:rsidR="00131035" w:rsidRDefault="00131035" w:rsidP="00131035">
      <w:pPr>
        <w:pStyle w:val="berschrift4"/>
      </w:pPr>
      <w:bookmarkStart w:id="221" w:name="_Toc169934871"/>
      <w:r>
        <w:t>Individualinteresse der betroffenen Personen</w:t>
      </w:r>
      <w:bookmarkEnd w:id="221"/>
    </w:p>
    <w:p w14:paraId="39D90789" w14:textId="7CC1F8C5" w:rsidR="00131035" w:rsidRDefault="00131035" w:rsidP="00131035">
      <w:r w:rsidRPr="00131035">
        <w:t>Für die operierten Frauen</w:t>
      </w:r>
      <w:r>
        <w:t xml:space="preserve"> resultiert aus einer Brustoperation h</w:t>
      </w:r>
      <w:r w:rsidRPr="00131035">
        <w:t>äufig eine unglaublich starke emotionale Belastung</w:t>
      </w:r>
      <w:r>
        <w:t>, die</w:t>
      </w:r>
      <w:r w:rsidRPr="00131035">
        <w:t xml:space="preserve"> sich </w:t>
      </w:r>
      <w:r>
        <w:t>auch</w:t>
      </w:r>
      <w:r w:rsidRPr="00131035">
        <w:t xml:space="preserve"> zu einer sehr ernsten psychischen Erkrankung wandeln</w:t>
      </w:r>
      <w:r>
        <w:t xml:space="preserve"> kann, </w:t>
      </w:r>
      <w:r w:rsidRPr="00B96AC2">
        <w:t>wenn</w:t>
      </w:r>
      <w:r w:rsidRPr="00131035">
        <w:t xml:space="preserve"> die Brust teilweise oder komplett entfernt wird</w:t>
      </w:r>
      <w:r>
        <w:t>.</w:t>
      </w:r>
    </w:p>
    <w:p w14:paraId="7CE68D4C" w14:textId="7946496E" w:rsidR="00131035" w:rsidRPr="00131035" w:rsidRDefault="00131035" w:rsidP="00131035">
      <w:r>
        <w:t>J</w:t>
      </w:r>
      <w:r w:rsidRPr="00131035">
        <w:t xml:space="preserve">e nach Verwandtschaftsgrad </w:t>
      </w:r>
      <w:r>
        <w:t xml:space="preserve">besteht </w:t>
      </w:r>
      <w:r w:rsidRPr="00131035">
        <w:t>ein deutlich erhöhtes Risiko</w:t>
      </w:r>
      <w:r>
        <w:t xml:space="preserve">, </w:t>
      </w:r>
      <w:r w:rsidRPr="00131035">
        <w:t>ebenfalls ein Mammakarzinom auszubilden</w:t>
      </w:r>
      <w:r>
        <w:t xml:space="preserve">. Die Diagnose </w:t>
      </w:r>
      <w:r w:rsidRPr="00B96AC2">
        <w:t>wie</w:t>
      </w:r>
      <w:r>
        <w:t xml:space="preserve"> auch die Fehldiagnose bei einer Mutter belastet mit auch deren Töchter, was wiederum eine zusätzliche Belastung </w:t>
      </w:r>
      <w:r w:rsidR="00B96AC2" w:rsidRPr="00B96AC2">
        <w:t>f</w:t>
      </w:r>
      <w:r w:rsidRPr="00B96AC2">
        <w:t>ür</w:t>
      </w:r>
      <w:r>
        <w:t xml:space="preserve"> die jeweilige Patientin darstellt.</w:t>
      </w:r>
    </w:p>
    <w:p w14:paraId="71853E6D" w14:textId="5F12A05F" w:rsidR="00131035" w:rsidRDefault="00131035" w:rsidP="00131035">
      <w:r>
        <w:t xml:space="preserve">Es ist daher im Interesse jeder Frau, wenn die </w:t>
      </w:r>
      <w:r w:rsidRPr="00131035">
        <w:t>Anzahl der Fehltherapien generell und vor allem die aufgrund einer fehlerhaften Diagnostik erfolgten Fehltherapien verringert werden</w:t>
      </w:r>
      <w:r>
        <w:t>.</w:t>
      </w:r>
    </w:p>
    <w:p w14:paraId="5681CF6A" w14:textId="5C742BA0" w:rsidR="00131035" w:rsidRDefault="00131035" w:rsidP="00131035">
      <w:r>
        <w:t xml:space="preserve">Aufgrund der </w:t>
      </w:r>
      <w:r w:rsidRPr="00B96AC2">
        <w:t>technisch-organisatorischen</w:t>
      </w:r>
      <w:r>
        <w:t xml:space="preserve"> Maßnahmen ist das Risiko eines Datenmissbrauchs für betroffene Personen denkbar gering. Zugleich können Frauen bei einer weiteren Untersuchung ggfs. von den Ergebnissen der Forschung selbst profitieren, ebenso ihre Töchter.</w:t>
      </w:r>
    </w:p>
    <w:p w14:paraId="18AE9D73" w14:textId="1C0734D5" w:rsidR="00131035" w:rsidRDefault="00131035" w:rsidP="00131035">
      <w:r>
        <w:t>Es muss daher davon ausgegangen werden, dass die Forschung sogar im Interesse der jeweiligen betroffenen Person erfolgt.</w:t>
      </w:r>
    </w:p>
    <w:p w14:paraId="090CB1B7" w14:textId="5C1287FB" w:rsidR="00131035" w:rsidRDefault="00131035" w:rsidP="00131035">
      <w:pPr>
        <w:pStyle w:val="berschrift4"/>
      </w:pPr>
      <w:bookmarkStart w:id="222" w:name="_Toc169934872"/>
      <w:r>
        <w:t>Ergebnis der Interessenabwägung</w:t>
      </w:r>
      <w:bookmarkEnd w:id="222"/>
    </w:p>
    <w:p w14:paraId="6FF3D4FC" w14:textId="5B80771C" w:rsidR="00131035" w:rsidRPr="00131035" w:rsidRDefault="00131035" w:rsidP="00131035">
      <w:r>
        <w:t>Es besteht ein s</w:t>
      </w:r>
      <w:r w:rsidRPr="00131035">
        <w:t xml:space="preserve">ehr großes Interesse der Öffentlichkeit an </w:t>
      </w:r>
      <w:r>
        <w:t xml:space="preserve">einer </w:t>
      </w:r>
      <w:r w:rsidRPr="00131035">
        <w:t xml:space="preserve">Verringerung von Fehldiagnosen beim </w:t>
      </w:r>
      <w:r w:rsidRPr="005F5895">
        <w:t>Mammographie</w:t>
      </w:r>
      <w:r w:rsidR="00B96AC2" w:rsidRPr="005F5895">
        <w:t>-S</w:t>
      </w:r>
      <w:r w:rsidRPr="005F5895">
        <w:t>creening</w:t>
      </w:r>
      <w:r>
        <w:t>.</w:t>
      </w:r>
    </w:p>
    <w:p w14:paraId="783EBB28" w14:textId="4A5C68AB" w:rsidR="00131035" w:rsidRPr="00131035" w:rsidRDefault="00131035" w:rsidP="00131035">
      <w:r>
        <w:t>Das R</w:t>
      </w:r>
      <w:r w:rsidRPr="00131035">
        <w:t xml:space="preserve">isiko für betroffene Personen, dass ihre Daten Unbefugten offenbart werden, </w:t>
      </w:r>
      <w:r>
        <w:t xml:space="preserve">ist </w:t>
      </w:r>
      <w:r w:rsidRPr="00131035">
        <w:t xml:space="preserve">praktisch </w:t>
      </w:r>
      <w:r w:rsidR="005F5895" w:rsidRPr="005F5895">
        <w:t>nicht vorhanden</w:t>
      </w:r>
      <w:r>
        <w:t>.</w:t>
      </w:r>
    </w:p>
    <w:p w14:paraId="058C9EEF" w14:textId="540FD24F" w:rsidR="00131035" w:rsidRDefault="00131035" w:rsidP="00131035">
      <w:pPr>
        <w:spacing w:after="0"/>
      </w:pPr>
      <w:r w:rsidRPr="00131035">
        <w:t xml:space="preserve">Dafür </w:t>
      </w:r>
      <w:r>
        <w:t xml:space="preserve">besteht seitens der </w:t>
      </w:r>
      <w:r w:rsidRPr="00131035">
        <w:t>betroffene</w:t>
      </w:r>
      <w:r>
        <w:t xml:space="preserve">n </w:t>
      </w:r>
      <w:r w:rsidRPr="00131035">
        <w:t>Person</w:t>
      </w:r>
      <w:r w:rsidR="00D71A87">
        <w:t>en</w:t>
      </w:r>
      <w:r w:rsidRPr="00131035">
        <w:t xml:space="preserve"> wahrscheinlich </w:t>
      </w:r>
      <w:r>
        <w:t xml:space="preserve">selbst ein sehr starkes </w:t>
      </w:r>
      <w:r w:rsidRPr="00131035">
        <w:t>Interesse an Reduzierung von Fehldiagnosen</w:t>
      </w:r>
      <w:r>
        <w:t xml:space="preserve">, </w:t>
      </w:r>
      <w:r w:rsidRPr="005F5895">
        <w:t>da</w:t>
      </w:r>
    </w:p>
    <w:p w14:paraId="0BABB52A" w14:textId="61E9EF3D" w:rsidR="00131035" w:rsidRPr="00131035" w:rsidRDefault="00131035" w:rsidP="00131035">
      <w:pPr>
        <w:pStyle w:val="Listenabsatz"/>
        <w:numPr>
          <w:ilvl w:val="0"/>
          <w:numId w:val="18"/>
        </w:numPr>
      </w:pPr>
      <w:r w:rsidRPr="005F5895">
        <w:t>sie</w:t>
      </w:r>
      <w:r>
        <w:t xml:space="preserve"> b</w:t>
      </w:r>
      <w:r w:rsidRPr="00131035">
        <w:t>ei Wiederholungsuntersuchungen im Screening</w:t>
      </w:r>
      <w:r>
        <w:t xml:space="preserve"> selbst von den Ergebnissen profitieren könnten,</w:t>
      </w:r>
    </w:p>
    <w:p w14:paraId="5551C2A8" w14:textId="7FE05407" w:rsidR="00131035" w:rsidRPr="00131035" w:rsidRDefault="00131035" w:rsidP="00131035">
      <w:pPr>
        <w:pStyle w:val="Listenabsatz"/>
        <w:numPr>
          <w:ilvl w:val="0"/>
          <w:numId w:val="18"/>
        </w:numPr>
      </w:pPr>
      <w:r w:rsidRPr="005F5895">
        <w:t>ebenso</w:t>
      </w:r>
      <w:r>
        <w:t xml:space="preserve"> b</w:t>
      </w:r>
      <w:r w:rsidRPr="00131035">
        <w:t xml:space="preserve">ei kurativen </w:t>
      </w:r>
      <w:r w:rsidRPr="005F5895">
        <w:t>Mammographie</w:t>
      </w:r>
      <w:r w:rsidR="00B96AC2" w:rsidRPr="005F5895">
        <w:t>-U</w:t>
      </w:r>
      <w:r w:rsidRPr="005F5895">
        <w:t>ntersuchungen</w:t>
      </w:r>
      <w:r w:rsidRPr="00131035">
        <w:t xml:space="preserve"> in der Nachsorge</w:t>
      </w:r>
      <w:r>
        <w:t xml:space="preserve"> und</w:t>
      </w:r>
    </w:p>
    <w:p w14:paraId="3CA57BED" w14:textId="3FEA1CF8" w:rsidR="00131035" w:rsidRPr="00131035" w:rsidRDefault="00131035" w:rsidP="00131035">
      <w:pPr>
        <w:pStyle w:val="Listenabsatz"/>
        <w:numPr>
          <w:ilvl w:val="0"/>
          <w:numId w:val="18"/>
        </w:numPr>
      </w:pPr>
      <w:r w:rsidRPr="005F5895">
        <w:t>die</w:t>
      </w:r>
      <w:r>
        <w:t xml:space="preserve"> </w:t>
      </w:r>
      <w:r w:rsidRPr="00131035">
        <w:t>eigenen Nachkommen (</w:t>
      </w:r>
      <w:r>
        <w:t>bei c</w:t>
      </w:r>
      <w:r w:rsidRPr="00131035">
        <w:t xml:space="preserve">a. 4 bis </w:t>
      </w:r>
      <w:r w:rsidRPr="00B96AC2">
        <w:t>9</w:t>
      </w:r>
      <w:r w:rsidR="00B96AC2" w:rsidRPr="00B96AC2">
        <w:t> </w:t>
      </w:r>
      <w:r w:rsidRPr="00B96AC2">
        <w:t>%</w:t>
      </w:r>
      <w:r w:rsidRPr="00131035">
        <w:t xml:space="preserve"> aller Neuerkrankungen besteht eine erbliche Vorbelastun</w:t>
      </w:r>
      <w:r>
        <w:t>g</w:t>
      </w:r>
      <w:r>
        <w:rPr>
          <w:rStyle w:val="Funotenzeichen"/>
        </w:rPr>
        <w:footnoteReference w:id="91"/>
      </w:r>
      <w:r w:rsidRPr="00131035">
        <w:t>)</w:t>
      </w:r>
      <w:r>
        <w:t xml:space="preserve"> ebenso von den Forschungsergebnissen profitieren könnten.</w:t>
      </w:r>
    </w:p>
    <w:p w14:paraId="0FF6B135" w14:textId="5B6CDE88" w:rsidR="00131035" w:rsidRDefault="00131035" w:rsidP="00131035">
      <w:pPr>
        <w:pStyle w:val="Listenabsatz"/>
        <w:ind w:left="0"/>
      </w:pPr>
      <w:r>
        <w:t xml:space="preserve">Die </w:t>
      </w:r>
      <w:r w:rsidRPr="00131035">
        <w:t xml:space="preserve">Forschung </w:t>
      </w:r>
      <w:r>
        <w:t xml:space="preserve">erfolgt wahrscheinlich </w:t>
      </w:r>
      <w:r w:rsidRPr="00131035">
        <w:t>sogar im Eigeninteresse der betroffenen Person</w:t>
      </w:r>
      <w:r>
        <w:t>.</w:t>
      </w:r>
    </w:p>
    <w:p w14:paraId="320EE137" w14:textId="245D574B" w:rsidR="00546108" w:rsidRDefault="00546108" w:rsidP="00546108">
      <w:pPr>
        <w:pStyle w:val="berschrift4"/>
      </w:pPr>
      <w:bookmarkStart w:id="223" w:name="_Toc169934873"/>
      <w:r>
        <w:t>Bewertung</w:t>
      </w:r>
      <w:bookmarkEnd w:id="223"/>
    </w:p>
    <w:p w14:paraId="6A1DDEE3" w14:textId="0F3CF222" w:rsidR="00131035" w:rsidRDefault="00131035" w:rsidP="00131035">
      <w:r w:rsidRPr="00B96AC2">
        <w:t>Das öffentliche Interesse</w:t>
      </w:r>
      <w:r w:rsidRPr="00131035">
        <w:t xml:space="preserve"> </w:t>
      </w:r>
      <w:r>
        <w:t xml:space="preserve">an der Forschung </w:t>
      </w:r>
      <w:r w:rsidRPr="00131035">
        <w:t xml:space="preserve">überwiegt </w:t>
      </w:r>
      <w:r>
        <w:t xml:space="preserve">das </w:t>
      </w:r>
      <w:r w:rsidRPr="00131035">
        <w:t xml:space="preserve">Interesse </w:t>
      </w:r>
      <w:r w:rsidRPr="00B96AC2">
        <w:t>der jeweils betroffene</w:t>
      </w:r>
      <w:r w:rsidR="00B96AC2" w:rsidRPr="00B96AC2">
        <w:t>n</w:t>
      </w:r>
      <w:r w:rsidRPr="00B96AC2">
        <w:t xml:space="preserve"> Person</w:t>
      </w:r>
      <w:r w:rsidRPr="00131035">
        <w:t xml:space="preserve"> </w:t>
      </w:r>
      <w:r>
        <w:t xml:space="preserve">an der Nicht-Nutzung ihrer personenbezogenen </w:t>
      </w:r>
      <w:r w:rsidRPr="00131035">
        <w:t>Daten erheblich</w:t>
      </w:r>
      <w:r>
        <w:t xml:space="preserve">. </w:t>
      </w:r>
      <w:r w:rsidRPr="00131035">
        <w:t xml:space="preserve">Damit </w:t>
      </w:r>
      <w:r>
        <w:t xml:space="preserve">besteht </w:t>
      </w:r>
      <w:r w:rsidRPr="00131035">
        <w:t xml:space="preserve">insbesondere auch </w:t>
      </w:r>
      <w:r>
        <w:t xml:space="preserve">ein </w:t>
      </w:r>
      <w:r w:rsidRPr="00131035">
        <w:t>erhebliches überwiegendes Interesse des Verantwortlichen an der Verarbeitung gegenüber den Interessen der betroffenen Person an einem Ausschluss der Verarbeitung</w:t>
      </w:r>
      <w:r>
        <w:t>.</w:t>
      </w:r>
      <w:r w:rsidR="00823FB3">
        <w:t xml:space="preserve"> Die nationale rechtliche Norm, welche die Forschung bei erheblich überwiegendem Interesse gestattet, ist </w:t>
      </w:r>
      <w:r w:rsidR="005F5895">
        <w:t>§ </w:t>
      </w:r>
      <w:r w:rsidR="00823FB3">
        <w:t xml:space="preserve">27 </w:t>
      </w:r>
      <w:r w:rsidR="005F5895">
        <w:t>Abs. </w:t>
      </w:r>
      <w:r w:rsidR="00823FB3">
        <w:t>1 BDSG i.V.m. </w:t>
      </w:r>
      <w:r w:rsidR="005F5895">
        <w:t>Art. </w:t>
      </w:r>
      <w:r w:rsidR="00823FB3">
        <w:t xml:space="preserve">9 </w:t>
      </w:r>
      <w:r w:rsidR="005F5895">
        <w:t>Abs. </w:t>
      </w:r>
      <w:r w:rsidR="00823FB3">
        <w:t xml:space="preserve">2 </w:t>
      </w:r>
      <w:r w:rsidR="005F5895">
        <w:t>lit. </w:t>
      </w:r>
      <w:r w:rsidR="00823FB3">
        <w:t xml:space="preserve">j DS-GVO (siehe auch Kapitel </w:t>
      </w:r>
      <w:r w:rsidR="00823FB3">
        <w:fldChar w:fldCharType="begin"/>
      </w:r>
      <w:r w:rsidR="00823FB3">
        <w:instrText xml:space="preserve"> REF _Ref162674100 \r \h </w:instrText>
      </w:r>
      <w:r w:rsidR="00823FB3">
        <w:fldChar w:fldCharType="separate"/>
      </w:r>
      <w:r w:rsidR="00F43608">
        <w:t>7.1.1.3</w:t>
      </w:r>
      <w:r w:rsidR="00823FB3">
        <w:fldChar w:fldCharType="end"/>
      </w:r>
      <w:r w:rsidR="00823FB3">
        <w:t>)</w:t>
      </w:r>
      <w:r w:rsidR="00546108">
        <w:t xml:space="preserve">, Rechtfertigungstatbestand ist </w:t>
      </w:r>
      <w:r w:rsidR="005F5895">
        <w:t>Art. </w:t>
      </w:r>
      <w:r w:rsidR="00546108">
        <w:t xml:space="preserve">6 </w:t>
      </w:r>
      <w:r w:rsidR="005F5895">
        <w:t>Abs. </w:t>
      </w:r>
      <w:r w:rsidR="00546108">
        <w:t xml:space="preserve">1 </w:t>
      </w:r>
      <w:r w:rsidR="005F5895">
        <w:t>lit. </w:t>
      </w:r>
      <w:r w:rsidR="00546108">
        <w:t>f DS-GVO</w:t>
      </w:r>
      <w:r w:rsidR="00823FB3">
        <w:t>.</w:t>
      </w:r>
    </w:p>
    <w:p w14:paraId="7A43EBF7" w14:textId="31B5AB8D" w:rsidR="00131035" w:rsidRDefault="00B96AC2" w:rsidP="00B96AC2">
      <w:pPr>
        <w:pStyle w:val="berschrift2"/>
      </w:pPr>
      <w:bookmarkStart w:id="224" w:name="_Toc169934874"/>
      <w:r>
        <w:t>Retrospektives Forschungsvorhaben eines Krankenhauses in Schleswig-Holstein</w:t>
      </w:r>
      <w:bookmarkEnd w:id="224"/>
    </w:p>
    <w:p w14:paraId="5ECD90DD" w14:textId="41FC9166" w:rsidR="00B96AC2" w:rsidRDefault="00E343E3" w:rsidP="00B96AC2">
      <w:r>
        <w:t xml:space="preserve">Ein Krankenhaus in Schleswig-Holstein möchte die Daten aus der Patientenversorgung retrospektiv für ein medizinisches Forschungsprojekt nutzen. Eine Einwilligung der Patienten i. S. d. DS-GVO </w:t>
      </w:r>
      <w:r w:rsidR="00B62A63">
        <w:t>–</w:t>
      </w:r>
      <w:r>
        <w:t xml:space="preserve"> </w:t>
      </w:r>
      <w:r w:rsidRPr="00E343E3">
        <w:t xml:space="preserve">für den bestimmten Fall, in informierter Weise </w:t>
      </w:r>
      <w:r>
        <w:t>und ausdrücklich für den konkreten Zweck abgeben – liegt nicht vor.</w:t>
      </w:r>
    </w:p>
    <w:p w14:paraId="7C4B9691" w14:textId="44D144C7" w:rsidR="00E343E3" w:rsidRDefault="005F5895" w:rsidP="00E343E3">
      <w:pPr>
        <w:spacing w:after="0"/>
      </w:pPr>
      <w:r>
        <w:t>§ </w:t>
      </w:r>
      <w:r w:rsidR="00E343E3">
        <w:t xml:space="preserve">6 </w:t>
      </w:r>
      <w:r>
        <w:t>Abs. </w:t>
      </w:r>
      <w:r w:rsidR="00E343E3">
        <w:t>1 S. 1 G</w:t>
      </w:r>
      <w:r w:rsidR="00E343E3" w:rsidRPr="00E343E3">
        <w:t>esundheitsdatennutzungsgesetz</w:t>
      </w:r>
      <w:r w:rsidR="00E343E3">
        <w:t xml:space="preserve"> (</w:t>
      </w:r>
      <w:r w:rsidR="00E343E3" w:rsidRPr="00E343E3">
        <w:t>GDNG</w:t>
      </w:r>
      <w:r w:rsidR="00E343E3">
        <w:t xml:space="preserve">) erlaubt </w:t>
      </w:r>
      <w:r w:rsidR="00E343E3" w:rsidRPr="005F5895">
        <w:t>datenverarbeitenden</w:t>
      </w:r>
      <w:r w:rsidR="00E343E3" w:rsidRPr="00E343E3">
        <w:t xml:space="preserve"> Gesundheitseinrichtungen</w:t>
      </w:r>
      <w:r w:rsidR="00E343E3">
        <w:t xml:space="preserve">, zu denen auch das die Forschung beabsichtigende Krankenhaus gehört, </w:t>
      </w:r>
      <w:r w:rsidR="00E343E3" w:rsidRPr="00E343E3">
        <w:t>rechtmäßig gespeicherte Daten</w:t>
      </w:r>
      <w:r w:rsidR="00E343E3">
        <w:t xml:space="preserve"> für Zwecke der </w:t>
      </w:r>
      <w:r w:rsidR="00E343E3" w:rsidRPr="00E343E3">
        <w:t>medizinischen, zur rehabilitativen und zur pflegerischen Forschung</w:t>
      </w:r>
      <w:r w:rsidR="00E343E3">
        <w:t xml:space="preserve"> </w:t>
      </w:r>
      <w:r w:rsidR="00E343E3" w:rsidRPr="00E343E3">
        <w:t>weiterverarbeiten</w:t>
      </w:r>
      <w:r w:rsidR="00E343E3">
        <w:t>,</w:t>
      </w:r>
      <w:r w:rsidR="00E343E3" w:rsidRPr="00E343E3">
        <w:t xml:space="preserve"> soweit dies erforderlich ist</w:t>
      </w:r>
      <w:r w:rsidR="00E343E3">
        <w:t xml:space="preserve">. </w:t>
      </w:r>
      <w:r>
        <w:t>§ </w:t>
      </w:r>
      <w:r w:rsidR="00E343E3">
        <w:t xml:space="preserve">6 </w:t>
      </w:r>
      <w:r>
        <w:t>Abs. </w:t>
      </w:r>
      <w:r w:rsidR="00E343E3">
        <w:t xml:space="preserve">1 DS-GVO ist somit ein von </w:t>
      </w:r>
      <w:r>
        <w:t>Art. </w:t>
      </w:r>
      <w:r w:rsidR="00E343E3">
        <w:t xml:space="preserve">9 </w:t>
      </w:r>
      <w:r>
        <w:t>Abs. </w:t>
      </w:r>
      <w:r w:rsidR="00E343E3">
        <w:t xml:space="preserve">2 </w:t>
      </w:r>
      <w:r>
        <w:t>lit. </w:t>
      </w:r>
      <w:r w:rsidR="00E343E3">
        <w:t>j DS-GVO adressiertes R</w:t>
      </w:r>
      <w:r w:rsidR="00E343E3" w:rsidRPr="00E343E3">
        <w:t>echt eines Mitgliedstaat</w:t>
      </w:r>
      <w:r w:rsidR="00E343E3">
        <w:t xml:space="preserve">s, </w:t>
      </w:r>
      <w:r w:rsidR="00E343E3" w:rsidRPr="005F5895">
        <w:t>welches Forschung</w:t>
      </w:r>
      <w:r w:rsidR="00E343E3">
        <w:t xml:space="preserve"> erlaubt, wenn dieses Recht des </w:t>
      </w:r>
      <w:r w:rsidR="00E343E3" w:rsidRPr="005F5895">
        <w:t>Mitgliedstaats</w:t>
      </w:r>
    </w:p>
    <w:p w14:paraId="0B3EA9E4" w14:textId="77777777" w:rsidR="00E343E3" w:rsidRDefault="00E343E3" w:rsidP="00E343E3">
      <w:pPr>
        <w:pStyle w:val="Listenabsatz"/>
        <w:numPr>
          <w:ilvl w:val="0"/>
          <w:numId w:val="28"/>
        </w:numPr>
      </w:pPr>
      <w:r w:rsidRPr="005F5895">
        <w:t>in</w:t>
      </w:r>
      <w:r w:rsidRPr="00E343E3">
        <w:t xml:space="preserve"> angemessenem Verhältnis zu dem verfolgten Ziel steht,</w:t>
      </w:r>
    </w:p>
    <w:p w14:paraId="6E44F11D" w14:textId="77777777" w:rsidR="00E343E3" w:rsidRDefault="00E343E3" w:rsidP="00E343E3">
      <w:pPr>
        <w:pStyle w:val="Listenabsatz"/>
        <w:numPr>
          <w:ilvl w:val="0"/>
          <w:numId w:val="28"/>
        </w:numPr>
      </w:pPr>
      <w:r w:rsidRPr="005F5895">
        <w:t>den</w:t>
      </w:r>
      <w:r w:rsidRPr="00E343E3">
        <w:t xml:space="preserve"> Wesensgehalt des Rechts auf Datenschutz wahrt </w:t>
      </w:r>
      <w:r w:rsidRPr="005F5895">
        <w:t>und</w:t>
      </w:r>
    </w:p>
    <w:p w14:paraId="6CC823F2" w14:textId="29FB72D4" w:rsidR="00E343E3" w:rsidRDefault="00E343E3" w:rsidP="00E343E3">
      <w:pPr>
        <w:pStyle w:val="Listenabsatz"/>
        <w:numPr>
          <w:ilvl w:val="0"/>
          <w:numId w:val="28"/>
        </w:numPr>
      </w:pPr>
      <w:r w:rsidRPr="005F5895">
        <w:t>angemessene</w:t>
      </w:r>
      <w:r w:rsidRPr="00E343E3">
        <w:t xml:space="preserve"> und spezifische Maßnahmen zur Wahrung der Grundrechte und Interessen der betroffenen Person vorsieht</w:t>
      </w:r>
      <w:r>
        <w:t>.</w:t>
      </w:r>
    </w:p>
    <w:p w14:paraId="43AD249E" w14:textId="0FD3EA19" w:rsidR="00E343E3" w:rsidRDefault="005F5895" w:rsidP="00E343E3">
      <w:pPr>
        <w:spacing w:after="0"/>
      </w:pPr>
      <w:r>
        <w:t>§ </w:t>
      </w:r>
      <w:r w:rsidR="00E343E3">
        <w:t xml:space="preserve">6 </w:t>
      </w:r>
      <w:r w:rsidR="00E343E3" w:rsidRPr="00E343E3">
        <w:t>GDNG</w:t>
      </w:r>
      <w:r w:rsidR="00E343E3">
        <w:t xml:space="preserve"> enthalten folgende </w:t>
      </w:r>
      <w:r w:rsidR="00E343E3" w:rsidRPr="005F5895">
        <w:t>Anforderungen</w:t>
      </w:r>
    </w:p>
    <w:p w14:paraId="663E94EA" w14:textId="5BC9F9FA" w:rsidR="00E343E3" w:rsidRDefault="005F5895" w:rsidP="00EB1661">
      <w:pPr>
        <w:pStyle w:val="Listenabsatz"/>
        <w:numPr>
          <w:ilvl w:val="0"/>
          <w:numId w:val="18"/>
        </w:numPr>
      </w:pPr>
      <w:r>
        <w:t>§ </w:t>
      </w:r>
      <w:r w:rsidR="00E343E3">
        <w:t xml:space="preserve">6 </w:t>
      </w:r>
      <w:r>
        <w:t>Abs. </w:t>
      </w:r>
      <w:r w:rsidR="00E343E3">
        <w:t xml:space="preserve">1 S. 2 </w:t>
      </w:r>
      <w:r w:rsidR="00E343E3" w:rsidRPr="00E343E3">
        <w:t>GDNG</w:t>
      </w:r>
      <w:r w:rsidR="00E343E3">
        <w:t>: Die personenbezogenen Daten sind zu pseudonymisieren; sie sind zu anonymisieren, sobald dies im Rahmen der Weiterverarbeitung für den jeweiligen Zweck nach Satz 1 möglich ist.</w:t>
      </w:r>
    </w:p>
    <w:p w14:paraId="54CD80B9" w14:textId="6C011BAE" w:rsidR="00E343E3" w:rsidRDefault="005F5895" w:rsidP="008F4454">
      <w:pPr>
        <w:pStyle w:val="Listenabsatz"/>
        <w:numPr>
          <w:ilvl w:val="0"/>
          <w:numId w:val="18"/>
        </w:numPr>
      </w:pPr>
      <w:r>
        <w:t>§ </w:t>
      </w:r>
      <w:r w:rsidR="00E343E3">
        <w:t xml:space="preserve">6 </w:t>
      </w:r>
      <w:r>
        <w:t>Abs. </w:t>
      </w:r>
      <w:r w:rsidR="00E343E3">
        <w:t xml:space="preserve">1 S. 3 </w:t>
      </w:r>
      <w:r w:rsidR="00E343E3" w:rsidRPr="00E343E3">
        <w:t>GDNG</w:t>
      </w:r>
      <w:r w:rsidR="00E343E3">
        <w:t xml:space="preserve">: Sind mehrere natürliche Personen in der </w:t>
      </w:r>
      <w:r w:rsidR="00E343E3" w:rsidRPr="005F5895">
        <w:t>datenverarbeitenden</w:t>
      </w:r>
      <w:r w:rsidR="00E343E3">
        <w:t xml:space="preserve"> Gesundheitseinrichtung tätig, hat ein Rechte- und Rollenkonzept zu gewährleisten, dass nur befugte Personen die Daten nach weiterverarbeiten können sowie unbefugte Weiterverarbeitungen protokolliert und geahndet werden können.</w:t>
      </w:r>
    </w:p>
    <w:p w14:paraId="417D06CF" w14:textId="2D1E3C51" w:rsidR="00E343E3" w:rsidRDefault="005F5895" w:rsidP="00E343E3">
      <w:pPr>
        <w:pStyle w:val="Listenabsatz"/>
        <w:numPr>
          <w:ilvl w:val="0"/>
          <w:numId w:val="18"/>
        </w:numPr>
        <w:spacing w:after="0"/>
        <w:ind w:left="714" w:hanging="357"/>
      </w:pPr>
      <w:r>
        <w:t>§ </w:t>
      </w:r>
      <w:r w:rsidR="00E343E3">
        <w:t xml:space="preserve">6 </w:t>
      </w:r>
      <w:r>
        <w:t>Abs. </w:t>
      </w:r>
      <w:r w:rsidR="00E343E3">
        <w:t xml:space="preserve">1 S. 4 </w:t>
      </w:r>
      <w:r w:rsidR="00E343E3" w:rsidRPr="00E343E3">
        <w:t>GDNG</w:t>
      </w:r>
      <w:r w:rsidR="00E343E3">
        <w:t xml:space="preserve">: Daten, die im Rahmen einer Weiterverarbeitung nach Satz 1 gespeichert werden, sind spätestens nach zehn </w:t>
      </w:r>
      <w:r w:rsidR="00E343E3" w:rsidRPr="005F5895">
        <w:t>Jahren</w:t>
      </w:r>
      <w:r w:rsidR="00D71A87">
        <w:t>,</w:t>
      </w:r>
      <w:r w:rsidR="00E343E3">
        <w:t xml:space="preserve"> nachdem die Rechtsgrundlage für die ursprüngliche Datenerhebung weggefallen ist, zu löschen, sofern nicht andere gesetzliche Regelungen der Löschung entgegenstehen.</w:t>
      </w:r>
    </w:p>
    <w:p w14:paraId="66B52B70" w14:textId="4E70752C" w:rsidR="00E343E3" w:rsidRDefault="005F5895" w:rsidP="00D44DD8">
      <w:pPr>
        <w:pStyle w:val="Listenabsatz"/>
        <w:numPr>
          <w:ilvl w:val="0"/>
          <w:numId w:val="18"/>
        </w:numPr>
        <w:spacing w:after="0"/>
      </w:pPr>
      <w:r>
        <w:t>§ </w:t>
      </w:r>
      <w:r w:rsidR="00E343E3">
        <w:t xml:space="preserve">6 </w:t>
      </w:r>
      <w:r>
        <w:t>Abs. </w:t>
      </w:r>
      <w:r w:rsidR="00E343E3">
        <w:t xml:space="preserve">3 </w:t>
      </w:r>
      <w:r w:rsidR="00E343E3" w:rsidRPr="00E343E3">
        <w:t>GDNG</w:t>
      </w:r>
      <w:r w:rsidR="00E343E3">
        <w:t xml:space="preserve">: Die Weitergabe der personenbezogenen Daten an Dritte ist im Rahmen der Weiterverarbeitung nach Absatz 1 untersagt. Abweichend von Satz 1 ist die Weitergabe von personenbezogenen Daten im Rahmen der Weiterverarbeitung nach </w:t>
      </w:r>
      <w:r w:rsidR="00E343E3" w:rsidRPr="00E343E3">
        <w:t>Absatz 1</w:t>
      </w:r>
      <w:r w:rsidR="00E343E3">
        <w:t xml:space="preserve"> zulässig, soweit die betroffene Person eingewilligt hat oder eine andere gesetzliche Vorschrift dies vorsieht. Die </w:t>
      </w:r>
      <w:r w:rsidR="00E343E3" w:rsidRPr="005F5895">
        <w:t>datenverarbeitenden</w:t>
      </w:r>
      <w:r w:rsidR="00E343E3">
        <w:t xml:space="preserve"> Gesundheitseinrichtungen dürfen die für die in Artikel 9 Absatz 2 Buchstabe h der Verordnung (EU) 2016/679 rechtmäßig gespeicherten Gesundheitsdaten anonymisieren, um die anonymisierten Daten zu den in Absatz 1 Satz 1 genannten Zwecken an Dritte zu übermitteln.</w:t>
      </w:r>
    </w:p>
    <w:p w14:paraId="3047D5C2" w14:textId="536CAB83" w:rsidR="00B96AC2" w:rsidRDefault="00E343E3" w:rsidP="00B96AC2">
      <w:r>
        <w:t xml:space="preserve">Bewertung: Pseudonymisierung wird bereits von </w:t>
      </w:r>
      <w:r w:rsidR="005F5895">
        <w:t>Art. </w:t>
      </w:r>
      <w:r>
        <w:t xml:space="preserve">32 </w:t>
      </w:r>
      <w:r w:rsidR="005F5895">
        <w:t>Abs. </w:t>
      </w:r>
      <w:r>
        <w:t xml:space="preserve">1 </w:t>
      </w:r>
      <w:r w:rsidR="005F5895">
        <w:t>lit. </w:t>
      </w:r>
      <w:r>
        <w:t xml:space="preserve">a DS-GVO gefordert. Dass der Zugriff nur für befugte Personen im erforderlichen Umfang statthaft ist, ist eine direkte Auswirkung von </w:t>
      </w:r>
      <w:r w:rsidR="005F5895">
        <w:t>Art. </w:t>
      </w:r>
      <w:r>
        <w:t xml:space="preserve">5 DS-GVO, </w:t>
      </w:r>
      <w:r w:rsidR="005F5895">
        <w:t>Art. </w:t>
      </w:r>
      <w:r>
        <w:t xml:space="preserve">32 </w:t>
      </w:r>
      <w:r w:rsidR="005F5895">
        <w:t>Abs. </w:t>
      </w:r>
      <w:r>
        <w:t xml:space="preserve">1 </w:t>
      </w:r>
      <w:r w:rsidR="005F5895">
        <w:t>lit. </w:t>
      </w:r>
      <w:r>
        <w:t xml:space="preserve">b DS-GVO verlangt entsprechende technische und organisatorische Maßnahmen. Die Löschvorgaben der DS-GVO bedingen eine Löschung nach Erreichung des Zweckes, die in </w:t>
      </w:r>
      <w:r w:rsidR="005F5895">
        <w:t>§ </w:t>
      </w:r>
      <w:r>
        <w:t xml:space="preserve">6 </w:t>
      </w:r>
      <w:r w:rsidR="005F5895">
        <w:t>Abs. </w:t>
      </w:r>
      <w:r>
        <w:t xml:space="preserve">2 S. 4 </w:t>
      </w:r>
      <w:r w:rsidRPr="00E343E3">
        <w:t>GDNG</w:t>
      </w:r>
      <w:r>
        <w:t xml:space="preserve"> deutlich länger </w:t>
      </w:r>
      <w:r w:rsidRPr="00E343E3">
        <w:t>angegebene</w:t>
      </w:r>
      <w:r>
        <w:t xml:space="preserve"> Speicherdauer steht in keinem angemessenen Verhältnis zum Zweck/Ziel und wahr</w:t>
      </w:r>
      <w:r w:rsidR="00562420">
        <w:t>t</w:t>
      </w:r>
      <w:r>
        <w:t xml:space="preserve"> auch nicht den Wesensgehalt auf Datenschutz. Die in </w:t>
      </w:r>
      <w:r w:rsidR="005F5895">
        <w:t>§ </w:t>
      </w:r>
      <w:r>
        <w:t xml:space="preserve">6 </w:t>
      </w:r>
      <w:r w:rsidR="005F5895">
        <w:t>Abs. </w:t>
      </w:r>
      <w:r>
        <w:t xml:space="preserve">2 S. 2 bis 4 </w:t>
      </w:r>
      <w:r w:rsidRPr="00E343E3">
        <w:t>GDNG</w:t>
      </w:r>
      <w:r>
        <w:t xml:space="preserve"> angegeben</w:t>
      </w:r>
      <w:r w:rsidR="00D71A87">
        <w:t>en</w:t>
      </w:r>
      <w:r>
        <w:t xml:space="preserve"> Maßnahmen erfüllen somit nicht die Anforderungen von </w:t>
      </w:r>
      <w:r w:rsidR="005F5895">
        <w:t>Art. </w:t>
      </w:r>
      <w:r>
        <w:t xml:space="preserve">9 </w:t>
      </w:r>
      <w:r w:rsidR="005F5895">
        <w:t>Abs. </w:t>
      </w:r>
      <w:r>
        <w:t xml:space="preserve">2 </w:t>
      </w:r>
      <w:r w:rsidR="005F5895">
        <w:t>lit. </w:t>
      </w:r>
      <w:r>
        <w:t xml:space="preserve">j DS-GVO. </w:t>
      </w:r>
      <w:r w:rsidR="005F5895">
        <w:t>§ </w:t>
      </w:r>
      <w:r>
        <w:t xml:space="preserve">6 </w:t>
      </w:r>
      <w:r w:rsidR="005F5895">
        <w:t>Abs. </w:t>
      </w:r>
      <w:r>
        <w:t xml:space="preserve">3 </w:t>
      </w:r>
      <w:r w:rsidRPr="00E343E3">
        <w:t>GDNG</w:t>
      </w:r>
      <w:r>
        <w:t xml:space="preserve"> erlaubt die Weitergabe der Patientendaten an Dritte ohne Einwilligung, was eher eine Einschränkung </w:t>
      </w:r>
      <w:r w:rsidRPr="00E343E3">
        <w:t>der Grundrechte und Interessen der betroffenen Person</w:t>
      </w:r>
      <w:r>
        <w:t xml:space="preserve"> entspricht, somit ebenfalls nicht die in </w:t>
      </w:r>
      <w:r w:rsidR="005F5895">
        <w:t>Art. </w:t>
      </w:r>
      <w:r>
        <w:t xml:space="preserve">9 </w:t>
      </w:r>
      <w:r w:rsidR="005F5895">
        <w:t>Abs. </w:t>
      </w:r>
      <w:r>
        <w:t xml:space="preserve">2 </w:t>
      </w:r>
      <w:r w:rsidR="005F5895">
        <w:t>lit. </w:t>
      </w:r>
      <w:r>
        <w:t>j DS-GVO genannten Anforderungen erfüllt.</w:t>
      </w:r>
    </w:p>
    <w:p w14:paraId="797E755E" w14:textId="05C96641" w:rsidR="00E343E3" w:rsidRDefault="00E343E3" w:rsidP="00B96AC2">
      <w:r>
        <w:t xml:space="preserve">2022 </w:t>
      </w:r>
      <w:r w:rsidRPr="008B0D52">
        <w:t xml:space="preserve">wurde vom </w:t>
      </w:r>
      <w:r>
        <w:t xml:space="preserve">wissenschaftlichen </w:t>
      </w:r>
      <w:r w:rsidRPr="008B0D52">
        <w:t xml:space="preserve">Dienst </w:t>
      </w:r>
      <w:r>
        <w:t xml:space="preserve">des Bundestages </w:t>
      </w:r>
      <w:r w:rsidRPr="00E343E3">
        <w:t>der verfassungsrechtliche Rahmen</w:t>
      </w:r>
      <w:r w:rsidRPr="000835B4">
        <w:t xml:space="preserve"> für die Regelung der stationären medizinischen Versorgung</w:t>
      </w:r>
      <w:r>
        <w:t xml:space="preserve"> im Rahmen einer Kurzinformation dargestellt</w:t>
      </w:r>
      <w:r>
        <w:rPr>
          <w:rStyle w:val="Funotenzeichen"/>
        </w:rPr>
        <w:footnoteReference w:id="92"/>
      </w:r>
      <w:r>
        <w:t xml:space="preserve"> und dabei festgestellt, dass Krankenhausorganisation und die Krankenhausplanung in die Gesetzgebungskompetenz der Länder fallen; daher ist bei rechtlichen Widersprüchen in diesen Fällen das Landesrecht vorrangig gegenüber dem Bundesrecht anzuwenden.</w:t>
      </w:r>
    </w:p>
    <w:p w14:paraId="7C687526" w14:textId="56B340CF" w:rsidR="00E343E3" w:rsidRDefault="00E343E3" w:rsidP="00B96AC2">
      <w:r>
        <w:t xml:space="preserve">Grundsätzlich ist daher zu prüfen, ob der jeweilige Gesetzgeber des betreffenden </w:t>
      </w:r>
      <w:r w:rsidRPr="00E343E3">
        <w:t>Bundeslandes</w:t>
      </w:r>
      <w:r>
        <w:t xml:space="preserve"> seine Gesetzgebungskompetenz nutz</w:t>
      </w:r>
      <w:r w:rsidR="00D71A87">
        <w:t>t</w:t>
      </w:r>
      <w:r>
        <w:t>e. Ist dies nicht der Fall, kann Bundesrecht angewendet werden, ansonsten ist vorrangig das Landesrecht anzuwenden.</w:t>
      </w:r>
    </w:p>
    <w:p w14:paraId="79EE6F54" w14:textId="11254DCA" w:rsidR="00E343E3" w:rsidRDefault="005F5895" w:rsidP="00B96AC2">
      <w:r>
        <w:t>§ </w:t>
      </w:r>
      <w:r w:rsidR="00E343E3">
        <w:t xml:space="preserve">38 </w:t>
      </w:r>
      <w:r w:rsidR="00E343E3" w:rsidRPr="00E343E3">
        <w:t>LKHG</w:t>
      </w:r>
      <w:r w:rsidR="00E343E3">
        <w:t xml:space="preserve"> </w:t>
      </w:r>
      <w:r w:rsidR="00E343E3" w:rsidRPr="00E343E3">
        <w:t>Schleswig-Holstein</w:t>
      </w:r>
      <w:r w:rsidR="00E343E3">
        <w:t xml:space="preserve"> enthält spezielle Vorgaben für die </w:t>
      </w:r>
      <w:r w:rsidR="00E343E3" w:rsidRPr="00E343E3">
        <w:t>Verarbeit</w:t>
      </w:r>
      <w:r w:rsidR="00E343E3">
        <w:t>ung</w:t>
      </w:r>
      <w:r w:rsidR="00E343E3" w:rsidRPr="00E343E3">
        <w:t xml:space="preserve"> von Patientendaten im Rahmen von Forschungsvorhaben</w:t>
      </w:r>
      <w:r w:rsidR="00E343E3">
        <w:t xml:space="preserve">, ist also vorrangig anzuwenden. Entsprechend </w:t>
      </w:r>
      <w:r>
        <w:t>§ </w:t>
      </w:r>
      <w:r w:rsidR="00E343E3">
        <w:t xml:space="preserve">38 </w:t>
      </w:r>
      <w:r>
        <w:t>Abs. </w:t>
      </w:r>
      <w:r w:rsidR="00E343E3">
        <w:t xml:space="preserve">1 </w:t>
      </w:r>
      <w:r w:rsidR="00E343E3" w:rsidRPr="00E343E3">
        <w:t>LKHG</w:t>
      </w:r>
      <w:r w:rsidR="00E343E3">
        <w:t xml:space="preserve"> </w:t>
      </w:r>
      <w:r w:rsidR="00E343E3" w:rsidRPr="00E343E3">
        <w:t>Schleswig-Holstein</w:t>
      </w:r>
      <w:r w:rsidR="00E343E3">
        <w:t xml:space="preserve"> ist grundsätzlich eine Einwilligung erforderlich, Forschung ohne Einwilligung ist seitens des Landesgesetzgebers nicht vorgesehen.</w:t>
      </w:r>
    </w:p>
    <w:p w14:paraId="3D61950B" w14:textId="152844DF" w:rsidR="00E343E3" w:rsidRDefault="00E343E3" w:rsidP="00B96AC2">
      <w:r>
        <w:t>Da der Landesgesetzgeber seine Gesetzgebungskompetenz nutzte, kann dem Landesrecht widersprechendes Bundesrecht nicht angewendet werden. Somit ist auch eine retrospektive Nutzung von Patientendaten im betrachteten Fall nur mit Einwilligung möglich.</w:t>
      </w:r>
    </w:p>
    <w:p w14:paraId="2E3203D2" w14:textId="4DDED50B" w:rsidR="00E343E3" w:rsidRDefault="00E343E3" w:rsidP="00B96AC2">
      <w:r>
        <w:t xml:space="preserve">D. h., alle in Frage kommenden Patienten müssen um eine den Vorgaben der DS-GVO entsprechende Einwilligung unter Beachtung der Vorgaben von </w:t>
      </w:r>
      <w:r w:rsidR="005F5895">
        <w:t>§ </w:t>
      </w:r>
      <w:r>
        <w:t xml:space="preserve">36 </w:t>
      </w:r>
      <w:r w:rsidR="005F5895">
        <w:t>Abs. </w:t>
      </w:r>
      <w:r>
        <w:t xml:space="preserve">2 </w:t>
      </w:r>
      <w:r w:rsidRPr="00E343E3">
        <w:t>LKHG</w:t>
      </w:r>
      <w:r>
        <w:t xml:space="preserve"> </w:t>
      </w:r>
      <w:r w:rsidRPr="00E343E3">
        <w:t>Schleswig-Holstein</w:t>
      </w:r>
      <w:r>
        <w:t xml:space="preserve"> ersucht werden. Es dürfen nur Daten von Patienten genutzt werden, die für das konkrete Forschungsprojekt ihre Einwilligung erteilte</w:t>
      </w:r>
      <w:r w:rsidR="00562420">
        <w:t>n</w:t>
      </w:r>
      <w:r>
        <w:t>.</w:t>
      </w:r>
    </w:p>
    <w:p w14:paraId="72EA3978" w14:textId="26C69755" w:rsidR="00E343E3" w:rsidRDefault="00E343E3" w:rsidP="00B96AC2">
      <w:r>
        <w:t xml:space="preserve">Mit erteilter Einwilligung ist die Rechtsgrundlage </w:t>
      </w:r>
      <w:r w:rsidR="005F5895">
        <w:t>§ </w:t>
      </w:r>
      <w:r>
        <w:t xml:space="preserve">38 </w:t>
      </w:r>
      <w:r w:rsidR="005F5895">
        <w:t>Abs. </w:t>
      </w:r>
      <w:r>
        <w:t xml:space="preserve">1 </w:t>
      </w:r>
      <w:r w:rsidRPr="00E343E3">
        <w:t>LKHG</w:t>
      </w:r>
      <w:r>
        <w:t xml:space="preserve"> </w:t>
      </w:r>
      <w:r w:rsidRPr="00E343E3">
        <w:t>Schleswig-Holstein</w:t>
      </w:r>
      <w:r>
        <w:t xml:space="preserve"> i. V. m. </w:t>
      </w:r>
      <w:r w:rsidR="005F5895">
        <w:t>Art. </w:t>
      </w:r>
      <w:r>
        <w:t xml:space="preserve">9 </w:t>
      </w:r>
      <w:r w:rsidR="005F5895">
        <w:t>Abs. </w:t>
      </w:r>
      <w:r>
        <w:t xml:space="preserve">2 </w:t>
      </w:r>
      <w:r w:rsidR="005F5895">
        <w:t>lit. </w:t>
      </w:r>
      <w:r>
        <w:t xml:space="preserve">a DS-GVO, Rechtfertigungstatbestand ist </w:t>
      </w:r>
      <w:r w:rsidR="005F5895">
        <w:t>Art. </w:t>
      </w:r>
      <w:r>
        <w:t xml:space="preserve">6 </w:t>
      </w:r>
      <w:r w:rsidR="005F5895">
        <w:t>Abs. </w:t>
      </w:r>
      <w:r>
        <w:t xml:space="preserve">1 </w:t>
      </w:r>
      <w:r w:rsidR="005F5895">
        <w:t>lit. </w:t>
      </w:r>
      <w:r>
        <w:t>a DS-GVO.</w:t>
      </w:r>
    </w:p>
    <w:p w14:paraId="4AE3DBBD" w14:textId="77777777" w:rsidR="00E343E3" w:rsidRPr="00B96AC2" w:rsidRDefault="00E343E3" w:rsidP="00B96AC2"/>
    <w:p w14:paraId="12195594" w14:textId="11CB539D" w:rsidR="00993649" w:rsidRDefault="00993649">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4A5942F2" w14:textId="4660FEBC" w:rsidR="00AE4EA7" w:rsidRDefault="00990A0B">
      <w:pPr>
        <w:pStyle w:val="berschrift1"/>
      </w:pPr>
      <w:bookmarkStart w:id="225" w:name="_Toc169934875"/>
      <w:r>
        <w:t>Abkürzungen</w:t>
      </w:r>
      <w:bookmarkEnd w:id="225"/>
    </w:p>
    <w:p w14:paraId="5D6A1D25" w14:textId="77777777" w:rsidR="00AE4EA7" w:rsidRDefault="00AE4EA7"/>
    <w:tbl>
      <w:tblPr>
        <w:tblStyle w:val="Tabellenraster"/>
        <w:tblW w:w="9212" w:type="dxa"/>
        <w:tblLayout w:type="fixed"/>
        <w:tblLook w:val="04A0" w:firstRow="1" w:lastRow="0" w:firstColumn="1" w:lastColumn="0" w:noHBand="0" w:noVBand="1"/>
      </w:tblPr>
      <w:tblGrid>
        <w:gridCol w:w="1951"/>
        <w:gridCol w:w="7261"/>
      </w:tblGrid>
      <w:tr w:rsidR="00AE4EA7" w14:paraId="195808F9" w14:textId="77777777" w:rsidTr="00E46391">
        <w:tc>
          <w:tcPr>
            <w:tcW w:w="1951" w:type="dxa"/>
          </w:tcPr>
          <w:p w14:paraId="4AED0F79" w14:textId="77777777" w:rsidR="00AE4EA7" w:rsidRDefault="00990A0B">
            <w:pPr>
              <w:widowControl w:val="0"/>
              <w:spacing w:after="0" w:line="240" w:lineRule="auto"/>
              <w:rPr>
                <w:rFonts w:ascii="Calibri" w:eastAsia="Calibri" w:hAnsi="Calibri"/>
              </w:rPr>
            </w:pPr>
            <w:r>
              <w:rPr>
                <w:rFonts w:eastAsia="Calibri"/>
              </w:rPr>
              <w:t>Abs.</w:t>
            </w:r>
          </w:p>
        </w:tc>
        <w:tc>
          <w:tcPr>
            <w:tcW w:w="7261" w:type="dxa"/>
          </w:tcPr>
          <w:p w14:paraId="0377788A" w14:textId="77777777" w:rsidR="00AE4EA7" w:rsidRDefault="00990A0B">
            <w:pPr>
              <w:widowControl w:val="0"/>
              <w:spacing w:after="0" w:line="240" w:lineRule="auto"/>
              <w:rPr>
                <w:rFonts w:ascii="Calibri" w:eastAsia="Calibri" w:hAnsi="Calibri"/>
              </w:rPr>
            </w:pPr>
            <w:r>
              <w:rPr>
                <w:rFonts w:eastAsia="Calibri"/>
              </w:rPr>
              <w:t>Absatz</w:t>
            </w:r>
          </w:p>
        </w:tc>
      </w:tr>
      <w:tr w:rsidR="00AE4EA7" w14:paraId="3F973537" w14:textId="77777777" w:rsidTr="00E46391">
        <w:tc>
          <w:tcPr>
            <w:tcW w:w="1951" w:type="dxa"/>
          </w:tcPr>
          <w:p w14:paraId="615CECD5" w14:textId="77777777" w:rsidR="00AE4EA7" w:rsidRDefault="00990A0B">
            <w:pPr>
              <w:widowControl w:val="0"/>
              <w:spacing w:after="0" w:line="240" w:lineRule="auto"/>
              <w:rPr>
                <w:rFonts w:ascii="Calibri" w:eastAsia="Calibri" w:hAnsi="Calibri"/>
              </w:rPr>
            </w:pPr>
            <w:r>
              <w:rPr>
                <w:rFonts w:eastAsia="Calibri"/>
              </w:rPr>
              <w:t>AEUV</w:t>
            </w:r>
          </w:p>
        </w:tc>
        <w:tc>
          <w:tcPr>
            <w:tcW w:w="7261" w:type="dxa"/>
          </w:tcPr>
          <w:p w14:paraId="44F67FF2" w14:textId="77777777" w:rsidR="00AE4EA7" w:rsidRDefault="00990A0B">
            <w:pPr>
              <w:widowControl w:val="0"/>
              <w:spacing w:after="0" w:line="240" w:lineRule="auto"/>
              <w:rPr>
                <w:rFonts w:ascii="Calibri" w:eastAsia="Calibri" w:hAnsi="Calibri"/>
              </w:rPr>
            </w:pPr>
            <w:r>
              <w:rPr>
                <w:rFonts w:eastAsia="Calibri"/>
              </w:rPr>
              <w:t>Vertrag über die Arbeitsweise der Europäischen Union</w:t>
            </w:r>
          </w:p>
        </w:tc>
      </w:tr>
      <w:tr w:rsidR="0091165F" w14:paraId="05F00B57" w14:textId="77777777" w:rsidTr="00E46391">
        <w:tc>
          <w:tcPr>
            <w:tcW w:w="1951" w:type="dxa"/>
          </w:tcPr>
          <w:p w14:paraId="5F39EAE1" w14:textId="0ED4BFDF" w:rsidR="0091165F" w:rsidRDefault="0091165F">
            <w:pPr>
              <w:widowControl w:val="0"/>
              <w:spacing w:after="0" w:line="240" w:lineRule="auto"/>
              <w:rPr>
                <w:rFonts w:eastAsia="Calibri"/>
              </w:rPr>
            </w:pPr>
            <w:r>
              <w:rPr>
                <w:rFonts w:eastAsia="Calibri"/>
              </w:rPr>
              <w:t>a. F.</w:t>
            </w:r>
          </w:p>
        </w:tc>
        <w:tc>
          <w:tcPr>
            <w:tcW w:w="7261" w:type="dxa"/>
          </w:tcPr>
          <w:p w14:paraId="4BF4B5D2" w14:textId="06DCC7EB" w:rsidR="0091165F" w:rsidRDefault="0091165F">
            <w:pPr>
              <w:widowControl w:val="0"/>
              <w:spacing w:after="0" w:line="240" w:lineRule="auto"/>
              <w:rPr>
                <w:rFonts w:eastAsia="Calibri"/>
              </w:rPr>
            </w:pPr>
            <w:r>
              <w:rPr>
                <w:rFonts w:eastAsia="Calibri"/>
              </w:rPr>
              <w:t>Alte Fassung</w:t>
            </w:r>
          </w:p>
        </w:tc>
      </w:tr>
      <w:tr w:rsidR="00EC3E32" w14:paraId="2C6D9EF4" w14:textId="77777777" w:rsidTr="00E46391">
        <w:tc>
          <w:tcPr>
            <w:tcW w:w="1951" w:type="dxa"/>
          </w:tcPr>
          <w:p w14:paraId="1CD3762F" w14:textId="5902FD99" w:rsidR="00EC3E32" w:rsidRDefault="00EC3E32">
            <w:pPr>
              <w:widowControl w:val="0"/>
              <w:spacing w:after="0" w:line="240" w:lineRule="auto"/>
              <w:rPr>
                <w:rFonts w:eastAsia="Calibri"/>
              </w:rPr>
            </w:pPr>
            <w:r>
              <w:rPr>
                <w:rFonts w:eastAsia="Calibri"/>
              </w:rPr>
              <w:t>AGB</w:t>
            </w:r>
          </w:p>
        </w:tc>
        <w:tc>
          <w:tcPr>
            <w:tcW w:w="7261" w:type="dxa"/>
          </w:tcPr>
          <w:p w14:paraId="7769AF0E" w14:textId="1A725065" w:rsidR="00EC3E32" w:rsidRDefault="00EC3E32">
            <w:pPr>
              <w:widowControl w:val="0"/>
              <w:spacing w:after="0" w:line="240" w:lineRule="auto"/>
              <w:rPr>
                <w:rFonts w:eastAsia="Calibri"/>
              </w:rPr>
            </w:pPr>
            <w:r w:rsidRPr="00EC3E32">
              <w:rPr>
                <w:rFonts w:eastAsia="Calibri"/>
              </w:rPr>
              <w:t>Allg</w:t>
            </w:r>
            <w:r>
              <w:rPr>
                <w:rFonts w:eastAsia="Calibri"/>
              </w:rPr>
              <w:t>e</w:t>
            </w:r>
            <w:r w:rsidRPr="00EC3E32">
              <w:rPr>
                <w:rFonts w:eastAsia="Calibri"/>
              </w:rPr>
              <w:t>meine Geschäftsbedingungen</w:t>
            </w:r>
          </w:p>
        </w:tc>
      </w:tr>
      <w:tr w:rsidR="00AE4EA7" w14:paraId="2DE30825" w14:textId="77777777" w:rsidTr="00E46391">
        <w:tc>
          <w:tcPr>
            <w:tcW w:w="1951" w:type="dxa"/>
          </w:tcPr>
          <w:p w14:paraId="26E151B4" w14:textId="77777777" w:rsidR="00AE4EA7" w:rsidRDefault="00990A0B">
            <w:pPr>
              <w:widowControl w:val="0"/>
              <w:spacing w:after="0" w:line="240" w:lineRule="auto"/>
              <w:rPr>
                <w:rFonts w:ascii="Calibri" w:eastAsia="Calibri" w:hAnsi="Calibri"/>
              </w:rPr>
            </w:pPr>
            <w:r>
              <w:rPr>
                <w:rFonts w:eastAsia="Calibri"/>
              </w:rPr>
              <w:t>Art.</w:t>
            </w:r>
          </w:p>
        </w:tc>
        <w:tc>
          <w:tcPr>
            <w:tcW w:w="7261" w:type="dxa"/>
          </w:tcPr>
          <w:p w14:paraId="2D082E40" w14:textId="77777777" w:rsidR="00AE4EA7" w:rsidRDefault="00990A0B">
            <w:pPr>
              <w:widowControl w:val="0"/>
              <w:spacing w:after="0" w:line="240" w:lineRule="auto"/>
              <w:rPr>
                <w:rFonts w:ascii="Calibri" w:eastAsia="Calibri" w:hAnsi="Calibri"/>
              </w:rPr>
            </w:pPr>
            <w:r>
              <w:rPr>
                <w:rFonts w:eastAsia="Calibri"/>
              </w:rPr>
              <w:t>Artikel</w:t>
            </w:r>
          </w:p>
        </w:tc>
      </w:tr>
      <w:tr w:rsidR="00EC3E32" w14:paraId="6AD5618B" w14:textId="77777777" w:rsidTr="00E46391">
        <w:tc>
          <w:tcPr>
            <w:tcW w:w="1951" w:type="dxa"/>
          </w:tcPr>
          <w:p w14:paraId="23EAEC3D" w14:textId="687C9E35" w:rsidR="00EC3E32" w:rsidRDefault="00EC3E32">
            <w:pPr>
              <w:widowControl w:val="0"/>
              <w:spacing w:after="0" w:line="240" w:lineRule="auto"/>
              <w:rPr>
                <w:rFonts w:eastAsia="Calibri"/>
              </w:rPr>
            </w:pPr>
            <w:r w:rsidRPr="005F5895">
              <w:rPr>
                <w:rFonts w:eastAsia="Calibri"/>
              </w:rPr>
              <w:t>BÄO</w:t>
            </w:r>
          </w:p>
        </w:tc>
        <w:tc>
          <w:tcPr>
            <w:tcW w:w="7261" w:type="dxa"/>
          </w:tcPr>
          <w:p w14:paraId="0675A8B2" w14:textId="4310E9B5" w:rsidR="00EC3E32" w:rsidRDefault="00EC3E32">
            <w:pPr>
              <w:widowControl w:val="0"/>
              <w:spacing w:after="0" w:line="240" w:lineRule="auto"/>
              <w:rPr>
                <w:rFonts w:eastAsia="Calibri"/>
              </w:rPr>
            </w:pPr>
            <w:r w:rsidRPr="00EC3E32">
              <w:rPr>
                <w:rFonts w:eastAsia="Calibri"/>
              </w:rPr>
              <w:t>Bundesärzteordnung</w:t>
            </w:r>
          </w:p>
        </w:tc>
      </w:tr>
      <w:tr w:rsidR="00AE4EA7" w:rsidRPr="004C1658" w14:paraId="2BFE934F" w14:textId="77777777" w:rsidTr="00E46391">
        <w:tc>
          <w:tcPr>
            <w:tcW w:w="1951" w:type="dxa"/>
          </w:tcPr>
          <w:p w14:paraId="79BC4470" w14:textId="77777777" w:rsidR="00AE4EA7" w:rsidRDefault="00990A0B">
            <w:pPr>
              <w:widowControl w:val="0"/>
              <w:spacing w:after="0" w:line="240" w:lineRule="auto"/>
              <w:rPr>
                <w:rFonts w:ascii="Calibri" w:eastAsia="Calibri" w:hAnsi="Calibri"/>
              </w:rPr>
            </w:pPr>
            <w:r>
              <w:rPr>
                <w:rFonts w:eastAsia="Calibri"/>
              </w:rPr>
              <w:t>BDSG</w:t>
            </w:r>
          </w:p>
        </w:tc>
        <w:tc>
          <w:tcPr>
            <w:tcW w:w="7261" w:type="dxa"/>
          </w:tcPr>
          <w:p w14:paraId="469A6417" w14:textId="77777777" w:rsidR="00AE4EA7" w:rsidRPr="004C1658" w:rsidRDefault="00990A0B">
            <w:pPr>
              <w:widowControl w:val="0"/>
              <w:spacing w:after="0" w:line="240" w:lineRule="auto"/>
              <w:rPr>
                <w:rFonts w:ascii="Calibri" w:eastAsia="Calibri" w:hAnsi="Calibri"/>
              </w:rPr>
            </w:pPr>
            <w:r>
              <w:rPr>
                <w:rFonts w:eastAsia="Calibri"/>
              </w:rPr>
              <w:t>Bundesdaten</w:t>
            </w:r>
            <w:r w:rsidRPr="004C1658">
              <w:rPr>
                <w:rFonts w:eastAsia="Calibri"/>
              </w:rPr>
              <w:t>schutzgesetz</w:t>
            </w:r>
          </w:p>
        </w:tc>
      </w:tr>
      <w:tr w:rsidR="003B642E" w:rsidRPr="004C1658" w14:paraId="07E0A5AC" w14:textId="77777777" w:rsidTr="00E46391">
        <w:tc>
          <w:tcPr>
            <w:tcW w:w="1951" w:type="dxa"/>
          </w:tcPr>
          <w:p w14:paraId="2185B18B" w14:textId="413F3BCF" w:rsidR="003B642E" w:rsidRDefault="003B642E">
            <w:pPr>
              <w:widowControl w:val="0"/>
              <w:spacing w:after="0" w:line="240" w:lineRule="auto"/>
              <w:rPr>
                <w:rFonts w:eastAsia="Calibri"/>
              </w:rPr>
            </w:pPr>
            <w:r>
              <w:rPr>
                <w:rFonts w:eastAsia="Calibri"/>
              </w:rPr>
              <w:t>BEM</w:t>
            </w:r>
          </w:p>
        </w:tc>
        <w:tc>
          <w:tcPr>
            <w:tcW w:w="7261" w:type="dxa"/>
          </w:tcPr>
          <w:p w14:paraId="20F8E7C8" w14:textId="2D49A88F" w:rsidR="003B642E" w:rsidRDefault="003B642E">
            <w:pPr>
              <w:widowControl w:val="0"/>
              <w:spacing w:after="0" w:line="240" w:lineRule="auto"/>
              <w:rPr>
                <w:rFonts w:eastAsia="Calibri"/>
              </w:rPr>
            </w:pPr>
            <w:r w:rsidRPr="003B642E">
              <w:rPr>
                <w:rFonts w:eastAsia="Calibri"/>
              </w:rPr>
              <w:t>Betrieblichen Eingliederungsmanagement</w:t>
            </w:r>
          </w:p>
        </w:tc>
      </w:tr>
      <w:tr w:rsidR="00E45D66" w:rsidRPr="004C1658" w14:paraId="3565A05B" w14:textId="77777777" w:rsidTr="00E46391">
        <w:tc>
          <w:tcPr>
            <w:tcW w:w="1951" w:type="dxa"/>
          </w:tcPr>
          <w:p w14:paraId="2ABED72D" w14:textId="0B442230" w:rsidR="00E45D66" w:rsidRDefault="00E45D66">
            <w:pPr>
              <w:widowControl w:val="0"/>
              <w:spacing w:after="0" w:line="240" w:lineRule="auto"/>
              <w:rPr>
                <w:rFonts w:eastAsia="Calibri"/>
              </w:rPr>
            </w:pPr>
            <w:r>
              <w:rPr>
                <w:rFonts w:eastAsia="Calibri"/>
              </w:rPr>
              <w:t>BGG</w:t>
            </w:r>
          </w:p>
        </w:tc>
        <w:tc>
          <w:tcPr>
            <w:tcW w:w="7261" w:type="dxa"/>
          </w:tcPr>
          <w:p w14:paraId="7651A64C" w14:textId="102AEEAC" w:rsidR="00E45D66" w:rsidRPr="003B642E" w:rsidRDefault="00E45D66">
            <w:pPr>
              <w:widowControl w:val="0"/>
              <w:spacing w:after="0" w:line="240" w:lineRule="auto"/>
              <w:rPr>
                <w:rFonts w:eastAsia="Calibri"/>
              </w:rPr>
            </w:pPr>
            <w:r w:rsidRPr="00E45D66">
              <w:rPr>
                <w:rFonts w:eastAsia="Calibri"/>
              </w:rPr>
              <w:t>Gesetz zur Gleichstellung von Menschen mit Behinderungen (Behindertengleichstellungsgesetz</w:t>
            </w:r>
            <w:r>
              <w:rPr>
                <w:rFonts w:eastAsia="Calibri"/>
              </w:rPr>
              <w:t>)</w:t>
            </w:r>
          </w:p>
        </w:tc>
      </w:tr>
      <w:tr w:rsidR="0091165F" w:rsidRPr="004C1658" w14:paraId="23CFB5BD" w14:textId="77777777" w:rsidTr="00E46391">
        <w:tc>
          <w:tcPr>
            <w:tcW w:w="1951" w:type="dxa"/>
          </w:tcPr>
          <w:p w14:paraId="75C6E705" w14:textId="00A5B659" w:rsidR="0091165F" w:rsidRDefault="0091165F">
            <w:pPr>
              <w:widowControl w:val="0"/>
              <w:spacing w:after="0" w:line="240" w:lineRule="auto"/>
              <w:rPr>
                <w:rFonts w:eastAsia="Calibri"/>
              </w:rPr>
            </w:pPr>
            <w:r>
              <w:rPr>
                <w:rFonts w:eastAsia="Calibri"/>
              </w:rPr>
              <w:t>BSIG</w:t>
            </w:r>
          </w:p>
        </w:tc>
        <w:tc>
          <w:tcPr>
            <w:tcW w:w="7261" w:type="dxa"/>
          </w:tcPr>
          <w:p w14:paraId="6A99A805" w14:textId="19B05BFB" w:rsidR="0091165F" w:rsidRPr="003B642E" w:rsidRDefault="0091165F">
            <w:pPr>
              <w:widowControl w:val="0"/>
              <w:spacing w:after="0" w:line="240" w:lineRule="auto"/>
              <w:rPr>
                <w:rFonts w:eastAsia="Calibri"/>
              </w:rPr>
            </w:pPr>
            <w:r w:rsidRPr="0091165F">
              <w:rPr>
                <w:rFonts w:eastAsia="Calibri"/>
              </w:rPr>
              <w:t>Gesetz über das Bundesamt für Sicherheit in der Informationstechnik</w:t>
            </w:r>
          </w:p>
        </w:tc>
      </w:tr>
      <w:tr w:rsidR="0091165F" w:rsidRPr="004C1658" w14:paraId="2C24E3C1" w14:textId="77777777" w:rsidTr="00E46391">
        <w:tc>
          <w:tcPr>
            <w:tcW w:w="1951" w:type="dxa"/>
          </w:tcPr>
          <w:p w14:paraId="6B48CBF0" w14:textId="7205FF7B" w:rsidR="0091165F" w:rsidRDefault="0091165F" w:rsidP="0091165F">
            <w:pPr>
              <w:widowControl w:val="0"/>
              <w:spacing w:after="0" w:line="240" w:lineRule="auto"/>
              <w:rPr>
                <w:rFonts w:eastAsia="Calibri"/>
              </w:rPr>
            </w:pPr>
            <w:r w:rsidRPr="001D40CB">
              <w:t>BSI-KritisV</w:t>
            </w:r>
          </w:p>
        </w:tc>
        <w:tc>
          <w:tcPr>
            <w:tcW w:w="7261" w:type="dxa"/>
          </w:tcPr>
          <w:p w14:paraId="62C49F6C" w14:textId="1D7C1E5E" w:rsidR="0091165F" w:rsidRPr="0091165F" w:rsidRDefault="0091165F" w:rsidP="0091165F">
            <w:pPr>
              <w:widowControl w:val="0"/>
              <w:spacing w:after="0" w:line="240" w:lineRule="auto"/>
              <w:rPr>
                <w:rFonts w:eastAsia="Calibri"/>
              </w:rPr>
            </w:pPr>
            <w:r w:rsidRPr="0091165F">
              <w:t>Verordnung zur Bestimmung Kritischer Infrastrukturen nach dem BSI-Gesetz</w:t>
            </w:r>
            <w:r>
              <w:t xml:space="preserve"> </w:t>
            </w:r>
            <w:r w:rsidRPr="0091165F">
              <w:t>(BSI-Kritisverordnung)</w:t>
            </w:r>
          </w:p>
        </w:tc>
      </w:tr>
      <w:tr w:rsidR="00027508" w:rsidRPr="004832F9" w14:paraId="14EFA4F0" w14:textId="77777777" w:rsidTr="00E46391">
        <w:tc>
          <w:tcPr>
            <w:tcW w:w="1951" w:type="dxa"/>
          </w:tcPr>
          <w:p w14:paraId="56ACB26A" w14:textId="67228C8B" w:rsidR="00027508" w:rsidRPr="004C1658" w:rsidRDefault="00027508">
            <w:pPr>
              <w:widowControl w:val="0"/>
              <w:spacing w:after="0" w:line="240" w:lineRule="auto"/>
              <w:rPr>
                <w:rFonts w:eastAsia="Calibri"/>
              </w:rPr>
            </w:pPr>
            <w:r w:rsidRPr="00027508">
              <w:rPr>
                <w:rFonts w:eastAsia="Calibri"/>
              </w:rPr>
              <w:t>BvD</w:t>
            </w:r>
          </w:p>
        </w:tc>
        <w:tc>
          <w:tcPr>
            <w:tcW w:w="7261" w:type="dxa"/>
          </w:tcPr>
          <w:p w14:paraId="3A45703D" w14:textId="569C9043" w:rsidR="00027508" w:rsidRPr="004C1658" w:rsidRDefault="00027508">
            <w:pPr>
              <w:widowControl w:val="0"/>
              <w:spacing w:after="0" w:line="240" w:lineRule="auto"/>
              <w:rPr>
                <w:rFonts w:eastAsia="Calibri"/>
              </w:rPr>
            </w:pPr>
            <w:r w:rsidRPr="00027508">
              <w:rPr>
                <w:rFonts w:eastAsia="Calibri"/>
              </w:rPr>
              <w:t xml:space="preserve">Berufsverband der Datenschutzbeauftragten Deutschlands (BvD) </w:t>
            </w:r>
            <w:r w:rsidRPr="004832F9">
              <w:rPr>
                <w:rFonts w:eastAsia="Calibri"/>
              </w:rPr>
              <w:t>e.</w:t>
            </w:r>
            <w:r w:rsidR="004832F9" w:rsidRPr="004832F9">
              <w:rPr>
                <w:rFonts w:eastAsia="Calibri"/>
              </w:rPr>
              <w:t> </w:t>
            </w:r>
            <w:r w:rsidRPr="004832F9">
              <w:rPr>
                <w:rFonts w:eastAsia="Calibri"/>
              </w:rPr>
              <w:t>V.</w:t>
            </w:r>
          </w:p>
        </w:tc>
      </w:tr>
      <w:tr w:rsidR="00723031" w:rsidRPr="004832F9" w14:paraId="27AF54B2" w14:textId="77777777" w:rsidTr="00E46391">
        <w:tc>
          <w:tcPr>
            <w:tcW w:w="1951" w:type="dxa"/>
          </w:tcPr>
          <w:p w14:paraId="1F47F195" w14:textId="4CE18193" w:rsidR="00723031" w:rsidRPr="004832F9" w:rsidRDefault="00723031">
            <w:pPr>
              <w:widowControl w:val="0"/>
              <w:spacing w:after="0" w:line="240" w:lineRule="auto"/>
              <w:rPr>
                <w:rFonts w:eastAsia="Calibri"/>
              </w:rPr>
            </w:pPr>
            <w:r w:rsidRPr="005F5895">
              <w:rPr>
                <w:rFonts w:eastAsia="Calibri"/>
              </w:rPr>
              <w:t>B</w:t>
            </w:r>
            <w:r w:rsidR="008362B2">
              <w:rPr>
                <w:rFonts w:eastAsia="Calibri"/>
              </w:rPr>
              <w:t>V</w:t>
            </w:r>
            <w:r w:rsidRPr="005F5895">
              <w:rPr>
                <w:rFonts w:eastAsia="Calibri"/>
              </w:rPr>
              <w:t>erfG</w:t>
            </w:r>
          </w:p>
        </w:tc>
        <w:tc>
          <w:tcPr>
            <w:tcW w:w="7261" w:type="dxa"/>
          </w:tcPr>
          <w:p w14:paraId="260BA46B" w14:textId="05C6CD9A" w:rsidR="00723031" w:rsidRPr="004832F9" w:rsidRDefault="00723031">
            <w:pPr>
              <w:widowControl w:val="0"/>
              <w:spacing w:after="0" w:line="240" w:lineRule="auto"/>
              <w:rPr>
                <w:rFonts w:eastAsia="Calibri"/>
              </w:rPr>
            </w:pPr>
            <w:r w:rsidRPr="004832F9">
              <w:rPr>
                <w:rFonts w:eastAsia="Calibri"/>
              </w:rPr>
              <w:t>Bundesverfassungsgericht</w:t>
            </w:r>
          </w:p>
        </w:tc>
      </w:tr>
      <w:tr w:rsidR="00027508" w14:paraId="4BAF3B9B" w14:textId="77777777" w:rsidTr="00E46391">
        <w:tc>
          <w:tcPr>
            <w:tcW w:w="1951" w:type="dxa"/>
          </w:tcPr>
          <w:p w14:paraId="510B6CEC" w14:textId="32CF2B0D" w:rsidR="00027508" w:rsidRPr="004832F9" w:rsidRDefault="008362B2">
            <w:pPr>
              <w:widowControl w:val="0"/>
              <w:spacing w:after="0" w:line="240" w:lineRule="auto"/>
              <w:rPr>
                <w:rFonts w:eastAsia="Calibri"/>
              </w:rPr>
            </w:pPr>
            <w:r>
              <w:rPr>
                <w:rFonts w:eastAsia="Calibri"/>
              </w:rPr>
              <w:t>b</w:t>
            </w:r>
            <w:r w:rsidR="00027508" w:rsidRPr="004832F9">
              <w:rPr>
                <w:rFonts w:eastAsia="Calibri"/>
              </w:rPr>
              <w:t>vitg</w:t>
            </w:r>
          </w:p>
        </w:tc>
        <w:tc>
          <w:tcPr>
            <w:tcW w:w="7261" w:type="dxa"/>
          </w:tcPr>
          <w:p w14:paraId="3E5E88B4" w14:textId="408DEA57" w:rsidR="00027508" w:rsidRPr="00027508" w:rsidRDefault="00027508">
            <w:pPr>
              <w:widowControl w:val="0"/>
              <w:spacing w:after="0" w:line="240" w:lineRule="auto"/>
              <w:rPr>
                <w:rFonts w:eastAsia="Calibri"/>
              </w:rPr>
            </w:pPr>
            <w:r w:rsidRPr="004832F9">
              <w:rPr>
                <w:rFonts w:eastAsia="Calibri"/>
              </w:rPr>
              <w:t>Bundesv</w:t>
            </w:r>
            <w:r w:rsidRPr="00027508">
              <w:rPr>
                <w:rFonts w:eastAsia="Calibri"/>
              </w:rPr>
              <w:t xml:space="preserve">erband Gesundheits-IT – bvitg </w:t>
            </w:r>
            <w:r w:rsidRPr="005F5895">
              <w:rPr>
                <w:rFonts w:eastAsia="Calibri"/>
              </w:rPr>
              <w:t>e.</w:t>
            </w:r>
            <w:r w:rsidR="004832F9" w:rsidRPr="005F5895">
              <w:rPr>
                <w:rFonts w:eastAsia="Calibri"/>
              </w:rPr>
              <w:t> </w:t>
            </w:r>
            <w:r w:rsidRPr="005F5895">
              <w:rPr>
                <w:rFonts w:eastAsia="Calibri"/>
              </w:rPr>
              <w:t>V.</w:t>
            </w:r>
          </w:p>
        </w:tc>
      </w:tr>
      <w:tr w:rsidR="00E45D66" w14:paraId="03A645E9" w14:textId="77777777" w:rsidTr="00E46391">
        <w:tc>
          <w:tcPr>
            <w:tcW w:w="1951" w:type="dxa"/>
          </w:tcPr>
          <w:p w14:paraId="6411AAD2" w14:textId="2A984996" w:rsidR="00E45D66" w:rsidRPr="004832F9" w:rsidRDefault="00E45D66">
            <w:pPr>
              <w:widowControl w:val="0"/>
              <w:spacing w:after="0" w:line="240" w:lineRule="auto"/>
              <w:rPr>
                <w:rFonts w:eastAsia="Calibri"/>
              </w:rPr>
            </w:pPr>
            <w:r>
              <w:rPr>
                <w:rFonts w:eastAsia="Calibri"/>
              </w:rPr>
              <w:t>DigiG</w:t>
            </w:r>
          </w:p>
        </w:tc>
        <w:tc>
          <w:tcPr>
            <w:tcW w:w="7261" w:type="dxa"/>
          </w:tcPr>
          <w:p w14:paraId="14D327B0" w14:textId="6D00BDC6" w:rsidR="00E45D66" w:rsidRPr="004832F9" w:rsidRDefault="00E45D66">
            <w:pPr>
              <w:widowControl w:val="0"/>
              <w:spacing w:after="0" w:line="240" w:lineRule="auto"/>
              <w:rPr>
                <w:rFonts w:eastAsia="Calibri"/>
              </w:rPr>
            </w:pPr>
            <w:r w:rsidRPr="00E45D66">
              <w:rPr>
                <w:rFonts w:eastAsia="Calibri"/>
              </w:rPr>
              <w:t>Gesetz zur Beschleunigung der Digitalisierung des Gesundheitswesens (Digital-Gesetz</w:t>
            </w:r>
            <w:r>
              <w:rPr>
                <w:rFonts w:eastAsia="Calibri"/>
              </w:rPr>
              <w:t>)</w:t>
            </w:r>
          </w:p>
        </w:tc>
      </w:tr>
      <w:tr w:rsidR="00AE4EA7" w14:paraId="5B6D3EB5" w14:textId="77777777" w:rsidTr="00E46391">
        <w:tc>
          <w:tcPr>
            <w:tcW w:w="1951" w:type="dxa"/>
          </w:tcPr>
          <w:p w14:paraId="0DE844C4" w14:textId="77777777" w:rsidR="00AE4EA7" w:rsidRDefault="00990A0B">
            <w:pPr>
              <w:widowControl w:val="0"/>
              <w:spacing w:after="0" w:line="240" w:lineRule="auto"/>
              <w:rPr>
                <w:rFonts w:ascii="Calibri" w:eastAsia="Calibri" w:hAnsi="Calibri"/>
              </w:rPr>
            </w:pPr>
            <w:r>
              <w:rPr>
                <w:rFonts w:eastAsia="Calibri"/>
              </w:rPr>
              <w:t>DSG</w:t>
            </w:r>
          </w:p>
        </w:tc>
        <w:tc>
          <w:tcPr>
            <w:tcW w:w="7261" w:type="dxa"/>
          </w:tcPr>
          <w:p w14:paraId="22A2D25F" w14:textId="77777777" w:rsidR="00AE4EA7" w:rsidRDefault="00990A0B">
            <w:pPr>
              <w:widowControl w:val="0"/>
              <w:spacing w:after="0" w:line="240" w:lineRule="auto"/>
              <w:rPr>
                <w:rFonts w:ascii="Calibri" w:eastAsia="Calibri" w:hAnsi="Calibri"/>
              </w:rPr>
            </w:pPr>
            <w:r>
              <w:rPr>
                <w:rFonts w:eastAsia="Calibri"/>
              </w:rPr>
              <w:t>Datenschutzgesetz</w:t>
            </w:r>
          </w:p>
        </w:tc>
      </w:tr>
      <w:tr w:rsidR="00AE4EA7" w14:paraId="6BEBC250" w14:textId="77777777" w:rsidTr="00E46391">
        <w:tc>
          <w:tcPr>
            <w:tcW w:w="1951" w:type="dxa"/>
          </w:tcPr>
          <w:p w14:paraId="090B8870" w14:textId="77777777" w:rsidR="00AE4EA7" w:rsidRDefault="00990A0B">
            <w:pPr>
              <w:widowControl w:val="0"/>
              <w:spacing w:after="0" w:line="240" w:lineRule="auto"/>
              <w:rPr>
                <w:rFonts w:ascii="Calibri" w:eastAsia="Calibri" w:hAnsi="Calibri"/>
              </w:rPr>
            </w:pPr>
            <w:r>
              <w:rPr>
                <w:rFonts w:eastAsia="Calibri"/>
              </w:rPr>
              <w:t>DS-GVO</w:t>
            </w:r>
          </w:p>
        </w:tc>
        <w:tc>
          <w:tcPr>
            <w:tcW w:w="7261" w:type="dxa"/>
          </w:tcPr>
          <w:p w14:paraId="1A7DECA2" w14:textId="77777777" w:rsidR="00AE4EA7" w:rsidRDefault="00990A0B">
            <w:pPr>
              <w:widowControl w:val="0"/>
              <w:spacing w:after="0" w:line="240" w:lineRule="auto"/>
              <w:rPr>
                <w:rFonts w:ascii="Calibri" w:eastAsia="Calibri" w:hAnsi="Calibri"/>
              </w:rPr>
            </w:pPr>
            <w:r>
              <w:rPr>
                <w:rFonts w:eastAsia="Calibri"/>
              </w:rPr>
              <w:t>Verordnung (EU) 2016/679 des Europäischen Parlaments und des Rates vom 27. April 2016 zum Schutz natürlicher Personen bei der Verarbeitung personenbezogener Daten, zum freien Datenverkehr und zur Aufhebung der Richtlinie 95/46/EG (Datenschutz-Grundverordnung</w:t>
            </w:r>
            <w:r w:rsidRPr="005F5895">
              <w:rPr>
                <w:rFonts w:eastAsia="Calibri"/>
              </w:rPr>
              <w:t>)</w:t>
            </w:r>
          </w:p>
        </w:tc>
      </w:tr>
      <w:tr w:rsidR="00AE4EA7" w14:paraId="5F2D4B6C" w14:textId="77777777" w:rsidTr="00E46391">
        <w:tc>
          <w:tcPr>
            <w:tcW w:w="1951" w:type="dxa"/>
          </w:tcPr>
          <w:p w14:paraId="4E8A717F" w14:textId="77777777" w:rsidR="00AE4EA7" w:rsidRDefault="00990A0B">
            <w:pPr>
              <w:widowControl w:val="0"/>
              <w:spacing w:after="0" w:line="240" w:lineRule="auto"/>
              <w:rPr>
                <w:rFonts w:ascii="Calibri" w:eastAsia="Calibri" w:hAnsi="Calibri"/>
              </w:rPr>
            </w:pPr>
            <w:r w:rsidRPr="005F5895">
              <w:rPr>
                <w:rFonts w:eastAsia="Calibri"/>
              </w:rPr>
              <w:t>DSK</w:t>
            </w:r>
          </w:p>
        </w:tc>
        <w:tc>
          <w:tcPr>
            <w:tcW w:w="7261" w:type="dxa"/>
          </w:tcPr>
          <w:p w14:paraId="3030E77C" w14:textId="77777777" w:rsidR="00AE4EA7" w:rsidRDefault="00990A0B">
            <w:pPr>
              <w:widowControl w:val="0"/>
              <w:spacing w:after="0" w:line="240" w:lineRule="auto"/>
              <w:rPr>
                <w:rFonts w:ascii="Calibri" w:eastAsia="Calibri" w:hAnsi="Calibri"/>
              </w:rPr>
            </w:pPr>
            <w:r>
              <w:rPr>
                <w:rFonts w:eastAsia="Calibri"/>
              </w:rPr>
              <w:t>Datenschutzkonferenz</w:t>
            </w:r>
          </w:p>
        </w:tc>
      </w:tr>
      <w:tr w:rsidR="00AE4EA7" w14:paraId="5DD9DDE6" w14:textId="77777777" w:rsidTr="00E46391">
        <w:tc>
          <w:tcPr>
            <w:tcW w:w="1951" w:type="dxa"/>
          </w:tcPr>
          <w:p w14:paraId="67B36418" w14:textId="77777777" w:rsidR="00AE4EA7" w:rsidRDefault="00990A0B">
            <w:pPr>
              <w:widowControl w:val="0"/>
              <w:spacing w:after="0" w:line="240" w:lineRule="auto"/>
              <w:rPr>
                <w:rFonts w:ascii="Calibri" w:eastAsia="Calibri" w:hAnsi="Calibri"/>
              </w:rPr>
            </w:pPr>
            <w:r w:rsidRPr="005F5895">
              <w:rPr>
                <w:rFonts w:eastAsia="Calibri"/>
              </w:rPr>
              <w:t>EDPB</w:t>
            </w:r>
          </w:p>
        </w:tc>
        <w:tc>
          <w:tcPr>
            <w:tcW w:w="7261" w:type="dxa"/>
          </w:tcPr>
          <w:p w14:paraId="6813E234" w14:textId="77777777" w:rsidR="00AE4EA7" w:rsidRPr="008444FB" w:rsidRDefault="00990A0B">
            <w:pPr>
              <w:widowControl w:val="0"/>
              <w:spacing w:after="0" w:line="240" w:lineRule="auto"/>
              <w:rPr>
                <w:rFonts w:ascii="Calibri" w:eastAsia="Calibri" w:hAnsi="Calibri"/>
                <w:lang w:val="en-US"/>
              </w:rPr>
            </w:pPr>
            <w:r w:rsidRPr="008444FB">
              <w:rPr>
                <w:rFonts w:eastAsia="Calibri"/>
                <w:lang w:val="en-US"/>
              </w:rPr>
              <w:t>European Data Protection Board</w:t>
            </w:r>
          </w:p>
        </w:tc>
      </w:tr>
      <w:tr w:rsidR="00AE4EA7" w14:paraId="1C93619B" w14:textId="77777777" w:rsidTr="00E46391">
        <w:tc>
          <w:tcPr>
            <w:tcW w:w="1951" w:type="dxa"/>
          </w:tcPr>
          <w:p w14:paraId="0A22A7CF" w14:textId="77777777" w:rsidR="00AE4EA7" w:rsidRDefault="00990A0B">
            <w:pPr>
              <w:widowControl w:val="0"/>
              <w:spacing w:after="0" w:line="240" w:lineRule="auto"/>
              <w:rPr>
                <w:rFonts w:ascii="Calibri" w:eastAsia="Calibri" w:hAnsi="Calibri"/>
              </w:rPr>
            </w:pPr>
            <w:r>
              <w:rPr>
                <w:rFonts w:eastAsia="Calibri"/>
              </w:rPr>
              <w:t>EDSA</w:t>
            </w:r>
          </w:p>
        </w:tc>
        <w:tc>
          <w:tcPr>
            <w:tcW w:w="7261" w:type="dxa"/>
          </w:tcPr>
          <w:p w14:paraId="6E8C6F36" w14:textId="77777777" w:rsidR="00AE4EA7" w:rsidRDefault="00990A0B">
            <w:pPr>
              <w:widowControl w:val="0"/>
              <w:spacing w:after="0" w:line="240" w:lineRule="auto"/>
              <w:rPr>
                <w:rFonts w:ascii="Calibri" w:eastAsia="Calibri" w:hAnsi="Calibri"/>
              </w:rPr>
            </w:pPr>
            <w:r>
              <w:rPr>
                <w:rFonts w:eastAsia="Calibri"/>
              </w:rPr>
              <w:t>Europäischer Datenschutzausschuss</w:t>
            </w:r>
          </w:p>
        </w:tc>
      </w:tr>
      <w:tr w:rsidR="00AE4EA7" w14:paraId="5DEDD8C3" w14:textId="77777777" w:rsidTr="00E46391">
        <w:tc>
          <w:tcPr>
            <w:tcW w:w="1951" w:type="dxa"/>
          </w:tcPr>
          <w:p w14:paraId="5D143BDE" w14:textId="77777777" w:rsidR="00AE4EA7" w:rsidRDefault="00990A0B">
            <w:pPr>
              <w:widowControl w:val="0"/>
              <w:spacing w:after="0" w:line="240" w:lineRule="auto"/>
              <w:rPr>
                <w:rFonts w:ascii="Calibri" w:eastAsia="Calibri" w:hAnsi="Calibri"/>
              </w:rPr>
            </w:pPr>
            <w:r>
              <w:rPr>
                <w:rFonts w:eastAsia="Calibri"/>
              </w:rPr>
              <w:t>EDV</w:t>
            </w:r>
          </w:p>
        </w:tc>
        <w:tc>
          <w:tcPr>
            <w:tcW w:w="7261" w:type="dxa"/>
          </w:tcPr>
          <w:p w14:paraId="6C499534" w14:textId="77777777" w:rsidR="00AE4EA7" w:rsidRDefault="00990A0B">
            <w:pPr>
              <w:widowControl w:val="0"/>
              <w:spacing w:after="0" w:line="240" w:lineRule="auto"/>
              <w:rPr>
                <w:rFonts w:ascii="Calibri" w:eastAsia="Calibri" w:hAnsi="Calibri"/>
              </w:rPr>
            </w:pPr>
            <w:r>
              <w:rPr>
                <w:rFonts w:eastAsia="Calibri"/>
              </w:rPr>
              <w:t>Elektronische Datenverarbeitung</w:t>
            </w:r>
          </w:p>
        </w:tc>
      </w:tr>
      <w:tr w:rsidR="00AE4EA7" w14:paraId="5F6B2DA5" w14:textId="77777777" w:rsidTr="00E46391">
        <w:tc>
          <w:tcPr>
            <w:tcW w:w="1951" w:type="dxa"/>
          </w:tcPr>
          <w:p w14:paraId="08A187D6" w14:textId="77777777" w:rsidR="00AE4EA7" w:rsidRDefault="00990A0B">
            <w:pPr>
              <w:widowControl w:val="0"/>
              <w:spacing w:after="0" w:line="240" w:lineRule="auto"/>
              <w:rPr>
                <w:rFonts w:ascii="Calibri" w:eastAsia="Calibri" w:hAnsi="Calibri"/>
              </w:rPr>
            </w:pPr>
            <w:r>
              <w:rPr>
                <w:rFonts w:eastAsia="Calibri"/>
              </w:rPr>
              <w:t>EN</w:t>
            </w:r>
          </w:p>
        </w:tc>
        <w:tc>
          <w:tcPr>
            <w:tcW w:w="7261" w:type="dxa"/>
          </w:tcPr>
          <w:p w14:paraId="37E4CBCC" w14:textId="77777777" w:rsidR="00AE4EA7" w:rsidRDefault="00990A0B">
            <w:pPr>
              <w:widowControl w:val="0"/>
              <w:spacing w:after="0" w:line="240" w:lineRule="auto"/>
              <w:rPr>
                <w:rFonts w:ascii="Calibri" w:eastAsia="Calibri" w:hAnsi="Calibri"/>
              </w:rPr>
            </w:pPr>
            <w:r>
              <w:rPr>
                <w:rFonts w:eastAsia="Calibri"/>
              </w:rPr>
              <w:t>Europäische Norm</w:t>
            </w:r>
          </w:p>
        </w:tc>
      </w:tr>
      <w:tr w:rsidR="00AE4EA7" w14:paraId="2DD731A6" w14:textId="77777777" w:rsidTr="00E46391">
        <w:tc>
          <w:tcPr>
            <w:tcW w:w="1951" w:type="dxa"/>
          </w:tcPr>
          <w:p w14:paraId="2DC2F94B" w14:textId="77777777" w:rsidR="00AE4EA7" w:rsidRDefault="00990A0B">
            <w:pPr>
              <w:widowControl w:val="0"/>
              <w:spacing w:after="0" w:line="240" w:lineRule="auto"/>
              <w:rPr>
                <w:rFonts w:ascii="Calibri" w:eastAsia="Calibri" w:hAnsi="Calibri"/>
              </w:rPr>
            </w:pPr>
            <w:r>
              <w:rPr>
                <w:rFonts w:eastAsia="Calibri"/>
              </w:rPr>
              <w:t>ErwGr.</w:t>
            </w:r>
          </w:p>
        </w:tc>
        <w:tc>
          <w:tcPr>
            <w:tcW w:w="7261" w:type="dxa"/>
          </w:tcPr>
          <w:p w14:paraId="2BE290BB" w14:textId="77777777" w:rsidR="00AE4EA7" w:rsidRDefault="00990A0B">
            <w:pPr>
              <w:widowControl w:val="0"/>
              <w:spacing w:after="0" w:line="240" w:lineRule="auto"/>
              <w:rPr>
                <w:rFonts w:ascii="Calibri" w:eastAsia="Calibri" w:hAnsi="Calibri"/>
              </w:rPr>
            </w:pPr>
            <w:r>
              <w:rPr>
                <w:rFonts w:eastAsia="Calibri"/>
              </w:rPr>
              <w:t>Erwägungsgrund/Erwägungsgründe</w:t>
            </w:r>
          </w:p>
        </w:tc>
      </w:tr>
      <w:tr w:rsidR="00AE4EA7" w14:paraId="5359AF89" w14:textId="77777777" w:rsidTr="00E46391">
        <w:tc>
          <w:tcPr>
            <w:tcW w:w="1951" w:type="dxa"/>
          </w:tcPr>
          <w:p w14:paraId="33986D5F" w14:textId="77777777" w:rsidR="00AE4EA7" w:rsidRDefault="00990A0B">
            <w:pPr>
              <w:widowControl w:val="0"/>
              <w:spacing w:after="0" w:line="240" w:lineRule="auto"/>
              <w:rPr>
                <w:rFonts w:ascii="Calibri" w:eastAsia="Calibri" w:hAnsi="Calibri"/>
              </w:rPr>
            </w:pPr>
            <w:r>
              <w:rPr>
                <w:rFonts w:eastAsia="Calibri"/>
              </w:rPr>
              <w:t>EU</w:t>
            </w:r>
          </w:p>
        </w:tc>
        <w:tc>
          <w:tcPr>
            <w:tcW w:w="7261" w:type="dxa"/>
          </w:tcPr>
          <w:p w14:paraId="79A89499" w14:textId="77777777" w:rsidR="00AE4EA7" w:rsidRDefault="00990A0B">
            <w:pPr>
              <w:widowControl w:val="0"/>
              <w:spacing w:after="0" w:line="240" w:lineRule="auto"/>
              <w:rPr>
                <w:rFonts w:ascii="Calibri" w:eastAsia="Calibri" w:hAnsi="Calibri"/>
              </w:rPr>
            </w:pPr>
            <w:r>
              <w:rPr>
                <w:rFonts w:eastAsia="Calibri"/>
              </w:rPr>
              <w:t>Europäische Union</w:t>
            </w:r>
          </w:p>
        </w:tc>
      </w:tr>
      <w:tr w:rsidR="00AE4EA7" w14:paraId="156D733A" w14:textId="77777777" w:rsidTr="00E46391">
        <w:tc>
          <w:tcPr>
            <w:tcW w:w="1951" w:type="dxa"/>
          </w:tcPr>
          <w:p w14:paraId="752965ED" w14:textId="77777777" w:rsidR="00AE4EA7" w:rsidRDefault="00990A0B">
            <w:pPr>
              <w:widowControl w:val="0"/>
              <w:spacing w:after="0" w:line="240" w:lineRule="auto"/>
              <w:rPr>
                <w:rFonts w:ascii="Calibri" w:eastAsia="Calibri" w:hAnsi="Calibri"/>
              </w:rPr>
            </w:pPr>
            <w:r>
              <w:rPr>
                <w:rFonts w:eastAsia="Calibri"/>
              </w:rPr>
              <w:t>EuGH</w:t>
            </w:r>
          </w:p>
        </w:tc>
        <w:tc>
          <w:tcPr>
            <w:tcW w:w="7261" w:type="dxa"/>
          </w:tcPr>
          <w:p w14:paraId="50382843" w14:textId="77777777" w:rsidR="00AE4EA7" w:rsidRDefault="00990A0B">
            <w:pPr>
              <w:widowControl w:val="0"/>
              <w:spacing w:after="0" w:line="240" w:lineRule="auto"/>
              <w:rPr>
                <w:rFonts w:ascii="Calibri" w:eastAsia="Calibri" w:hAnsi="Calibri"/>
              </w:rPr>
            </w:pPr>
            <w:r>
              <w:rPr>
                <w:rFonts w:eastAsia="Calibri"/>
              </w:rPr>
              <w:t>Europäischer Gerichtshof</w:t>
            </w:r>
          </w:p>
        </w:tc>
      </w:tr>
      <w:tr w:rsidR="00AE4EA7" w14:paraId="45C3BB8F" w14:textId="77777777" w:rsidTr="00E46391">
        <w:tc>
          <w:tcPr>
            <w:tcW w:w="1951" w:type="dxa"/>
          </w:tcPr>
          <w:p w14:paraId="22EA263A" w14:textId="77777777" w:rsidR="00AE4EA7" w:rsidRDefault="00990A0B">
            <w:pPr>
              <w:widowControl w:val="0"/>
              <w:spacing w:after="0" w:line="240" w:lineRule="auto"/>
              <w:rPr>
                <w:rFonts w:ascii="Calibri" w:eastAsia="Calibri" w:hAnsi="Calibri"/>
              </w:rPr>
            </w:pPr>
            <w:r>
              <w:rPr>
                <w:rFonts w:eastAsia="Calibri"/>
              </w:rPr>
              <w:t>EWR</w:t>
            </w:r>
          </w:p>
        </w:tc>
        <w:tc>
          <w:tcPr>
            <w:tcW w:w="7261" w:type="dxa"/>
          </w:tcPr>
          <w:p w14:paraId="0BC954B8" w14:textId="77777777" w:rsidR="00AE4EA7" w:rsidRDefault="00990A0B">
            <w:pPr>
              <w:widowControl w:val="0"/>
              <w:spacing w:after="0" w:line="240" w:lineRule="auto"/>
              <w:rPr>
                <w:rFonts w:ascii="Calibri" w:eastAsia="Calibri" w:hAnsi="Calibri"/>
              </w:rPr>
            </w:pPr>
            <w:r>
              <w:rPr>
                <w:rFonts w:eastAsia="Calibri"/>
              </w:rPr>
              <w:t>Europäischer Wirtschaftsraum</w:t>
            </w:r>
          </w:p>
        </w:tc>
      </w:tr>
      <w:tr w:rsidR="00AE4EA7" w14:paraId="38EC8742" w14:textId="77777777" w:rsidTr="00E46391">
        <w:tc>
          <w:tcPr>
            <w:tcW w:w="1951" w:type="dxa"/>
          </w:tcPr>
          <w:p w14:paraId="00FF36F1" w14:textId="77777777" w:rsidR="00AE4EA7" w:rsidRDefault="00990A0B">
            <w:pPr>
              <w:widowControl w:val="0"/>
              <w:spacing w:after="0" w:line="240" w:lineRule="auto"/>
              <w:rPr>
                <w:rFonts w:ascii="Calibri" w:eastAsia="Calibri" w:hAnsi="Calibri"/>
              </w:rPr>
            </w:pPr>
            <w:r>
              <w:rPr>
                <w:rFonts w:eastAsia="Calibri"/>
              </w:rPr>
              <w:t>GDD</w:t>
            </w:r>
          </w:p>
        </w:tc>
        <w:tc>
          <w:tcPr>
            <w:tcW w:w="7261" w:type="dxa"/>
          </w:tcPr>
          <w:p w14:paraId="59EB74CB" w14:textId="77777777" w:rsidR="00AE4EA7" w:rsidRDefault="00990A0B">
            <w:pPr>
              <w:widowControl w:val="0"/>
              <w:spacing w:after="0" w:line="240" w:lineRule="auto"/>
              <w:rPr>
                <w:rFonts w:ascii="Calibri" w:eastAsia="Calibri" w:hAnsi="Calibri"/>
              </w:rPr>
            </w:pPr>
            <w:r>
              <w:rPr>
                <w:rFonts w:eastAsia="Calibri"/>
              </w:rPr>
              <w:t>Gesellschaft für Datenschutz und Datensicherheit (GDD) e. V.</w:t>
            </w:r>
          </w:p>
        </w:tc>
      </w:tr>
      <w:tr w:rsidR="00E343E3" w14:paraId="274C6A92" w14:textId="77777777" w:rsidTr="00E46391">
        <w:tc>
          <w:tcPr>
            <w:tcW w:w="1951" w:type="dxa"/>
          </w:tcPr>
          <w:p w14:paraId="56FFC78E" w14:textId="04D8B0DF" w:rsidR="00E343E3" w:rsidRDefault="00E343E3">
            <w:pPr>
              <w:widowControl w:val="0"/>
              <w:spacing w:after="0" w:line="240" w:lineRule="auto"/>
              <w:rPr>
                <w:rFonts w:eastAsia="Calibri"/>
              </w:rPr>
            </w:pPr>
            <w:r>
              <w:rPr>
                <w:rFonts w:eastAsia="Calibri"/>
              </w:rPr>
              <w:t>GDNG</w:t>
            </w:r>
          </w:p>
        </w:tc>
        <w:tc>
          <w:tcPr>
            <w:tcW w:w="7261" w:type="dxa"/>
          </w:tcPr>
          <w:p w14:paraId="2D977ABD" w14:textId="69BA75D8" w:rsidR="00E343E3" w:rsidRDefault="00E343E3">
            <w:pPr>
              <w:widowControl w:val="0"/>
              <w:spacing w:after="0" w:line="240" w:lineRule="auto"/>
              <w:rPr>
                <w:rFonts w:eastAsia="Calibri"/>
              </w:rPr>
            </w:pPr>
            <w:r w:rsidRPr="00E343E3">
              <w:rPr>
                <w:rFonts w:eastAsia="Calibri"/>
              </w:rPr>
              <w:t>Gesetzes zur verbesserten Nutzung von Gesundheitsdaten (Gesundheitsdatennutzungsgesetz</w:t>
            </w:r>
            <w:r w:rsidRPr="005F5895">
              <w:rPr>
                <w:rFonts w:eastAsia="Calibri"/>
              </w:rPr>
              <w:t>)</w:t>
            </w:r>
          </w:p>
        </w:tc>
      </w:tr>
      <w:tr w:rsidR="009B0491" w14:paraId="49B64F75" w14:textId="77777777" w:rsidTr="00E46391">
        <w:tc>
          <w:tcPr>
            <w:tcW w:w="1951" w:type="dxa"/>
          </w:tcPr>
          <w:p w14:paraId="57B7EDC6" w14:textId="1429EB06" w:rsidR="009B0491" w:rsidRDefault="009B0491">
            <w:pPr>
              <w:widowControl w:val="0"/>
              <w:spacing w:after="0" w:line="240" w:lineRule="auto"/>
              <w:rPr>
                <w:rFonts w:eastAsia="Calibri"/>
              </w:rPr>
            </w:pPr>
            <w:r>
              <w:rPr>
                <w:rFonts w:eastAsia="Calibri"/>
              </w:rPr>
              <w:t>GG</w:t>
            </w:r>
          </w:p>
        </w:tc>
        <w:tc>
          <w:tcPr>
            <w:tcW w:w="7261" w:type="dxa"/>
          </w:tcPr>
          <w:p w14:paraId="4629B94B" w14:textId="304A5EF9" w:rsidR="009B0491" w:rsidRPr="00E343E3" w:rsidRDefault="009B0491">
            <w:pPr>
              <w:widowControl w:val="0"/>
              <w:spacing w:after="0" w:line="240" w:lineRule="auto"/>
              <w:rPr>
                <w:rFonts w:eastAsia="Calibri"/>
              </w:rPr>
            </w:pPr>
            <w:r>
              <w:rPr>
                <w:rFonts w:eastAsia="Calibri"/>
              </w:rPr>
              <w:t>Grundgesetz</w:t>
            </w:r>
          </w:p>
        </w:tc>
      </w:tr>
      <w:tr w:rsidR="00AE4EA7" w14:paraId="360BD519" w14:textId="77777777" w:rsidTr="00E46391">
        <w:tc>
          <w:tcPr>
            <w:tcW w:w="1951" w:type="dxa"/>
          </w:tcPr>
          <w:p w14:paraId="650DC96A" w14:textId="77777777" w:rsidR="00AE4EA7" w:rsidRDefault="00990A0B">
            <w:pPr>
              <w:widowControl w:val="0"/>
              <w:spacing w:after="0" w:line="240" w:lineRule="auto"/>
              <w:rPr>
                <w:rFonts w:ascii="Calibri" w:eastAsia="Calibri" w:hAnsi="Calibri"/>
              </w:rPr>
            </w:pPr>
            <w:r>
              <w:rPr>
                <w:rFonts w:eastAsia="Calibri"/>
              </w:rPr>
              <w:t>GMDS</w:t>
            </w:r>
          </w:p>
        </w:tc>
        <w:tc>
          <w:tcPr>
            <w:tcW w:w="7261" w:type="dxa"/>
          </w:tcPr>
          <w:p w14:paraId="5CF4CA90" w14:textId="4944392C" w:rsidR="00AE4EA7" w:rsidRDefault="00990A0B">
            <w:pPr>
              <w:widowControl w:val="0"/>
              <w:spacing w:after="0" w:line="240" w:lineRule="auto"/>
              <w:rPr>
                <w:rFonts w:ascii="Calibri" w:eastAsia="Calibri" w:hAnsi="Calibri"/>
              </w:rPr>
            </w:pPr>
            <w:r>
              <w:rPr>
                <w:rFonts w:eastAsia="Calibri"/>
              </w:rPr>
              <w:t xml:space="preserve">Deutsche Gesellschaft für </w:t>
            </w:r>
            <w:r w:rsidRPr="005F5895">
              <w:rPr>
                <w:rFonts w:eastAsia="Calibri"/>
              </w:rPr>
              <w:t>Medizinische</w:t>
            </w:r>
            <w:r>
              <w:rPr>
                <w:rFonts w:eastAsia="Calibri"/>
              </w:rPr>
              <w:t xml:space="preserve"> Informatik, Biometrie und Epidemiologie </w:t>
            </w:r>
            <w:r w:rsidRPr="008B0D52">
              <w:rPr>
                <w:rFonts w:eastAsia="Calibri"/>
              </w:rPr>
              <w:t>e.</w:t>
            </w:r>
            <w:r w:rsidR="008B0D52" w:rsidRPr="008B0D52">
              <w:rPr>
                <w:rFonts w:eastAsia="Calibri"/>
              </w:rPr>
              <w:t> </w:t>
            </w:r>
            <w:r w:rsidRPr="008B0D52">
              <w:rPr>
                <w:rFonts w:eastAsia="Calibri"/>
              </w:rPr>
              <w:t>V.</w:t>
            </w:r>
          </w:p>
        </w:tc>
      </w:tr>
      <w:tr w:rsidR="00AE4EA7" w14:paraId="7149507D" w14:textId="77777777" w:rsidTr="00E46391">
        <w:tc>
          <w:tcPr>
            <w:tcW w:w="1951" w:type="dxa"/>
          </w:tcPr>
          <w:p w14:paraId="769355D5" w14:textId="77777777" w:rsidR="00AE4EA7" w:rsidRDefault="00990A0B">
            <w:pPr>
              <w:widowControl w:val="0"/>
              <w:spacing w:after="0" w:line="240" w:lineRule="auto"/>
              <w:rPr>
                <w:rFonts w:ascii="Calibri" w:eastAsia="Calibri" w:hAnsi="Calibri"/>
              </w:rPr>
            </w:pPr>
            <w:r w:rsidRPr="005F5895">
              <w:rPr>
                <w:rFonts w:eastAsia="Calibri"/>
              </w:rPr>
              <w:t>Hs</w:t>
            </w:r>
            <w:r>
              <w:rPr>
                <w:rFonts w:eastAsia="Calibri"/>
              </w:rPr>
              <w:t>.</w:t>
            </w:r>
          </w:p>
        </w:tc>
        <w:tc>
          <w:tcPr>
            <w:tcW w:w="7261" w:type="dxa"/>
          </w:tcPr>
          <w:p w14:paraId="0D50D6B3" w14:textId="77777777" w:rsidR="00AE4EA7" w:rsidRDefault="00990A0B">
            <w:pPr>
              <w:widowControl w:val="0"/>
              <w:spacing w:after="0" w:line="240" w:lineRule="auto"/>
              <w:rPr>
                <w:rFonts w:eastAsiaTheme="majorEastAsia"/>
              </w:rPr>
            </w:pPr>
            <w:r>
              <w:rPr>
                <w:rFonts w:eastAsiaTheme="majorEastAsia"/>
              </w:rPr>
              <w:t>Halbsatz</w:t>
            </w:r>
          </w:p>
        </w:tc>
      </w:tr>
      <w:tr w:rsidR="00AE4EA7" w14:paraId="5C2B3A4D" w14:textId="77777777" w:rsidTr="00E46391">
        <w:tc>
          <w:tcPr>
            <w:tcW w:w="1951" w:type="dxa"/>
          </w:tcPr>
          <w:p w14:paraId="24A1C5D8" w14:textId="77777777" w:rsidR="00AE4EA7" w:rsidRDefault="00990A0B">
            <w:pPr>
              <w:widowControl w:val="0"/>
              <w:spacing w:after="0" w:line="240" w:lineRule="auto"/>
              <w:rPr>
                <w:rFonts w:ascii="Calibri" w:eastAsia="Calibri" w:hAnsi="Calibri"/>
              </w:rPr>
            </w:pPr>
            <w:r w:rsidRPr="005F5895">
              <w:rPr>
                <w:rFonts w:eastAsia="Calibri"/>
              </w:rPr>
              <w:t>i. d. R.</w:t>
            </w:r>
          </w:p>
        </w:tc>
        <w:tc>
          <w:tcPr>
            <w:tcW w:w="7261" w:type="dxa"/>
          </w:tcPr>
          <w:p w14:paraId="6D2FC1D0" w14:textId="77777777" w:rsidR="00AE4EA7" w:rsidRDefault="00990A0B">
            <w:pPr>
              <w:widowControl w:val="0"/>
              <w:spacing w:after="0" w:line="240" w:lineRule="auto"/>
              <w:rPr>
                <w:rFonts w:ascii="Calibri" w:eastAsia="Calibri" w:hAnsi="Calibri"/>
              </w:rPr>
            </w:pPr>
            <w:r w:rsidRPr="005F5895">
              <w:rPr>
                <w:rFonts w:eastAsia="Calibri"/>
              </w:rPr>
              <w:t>in</w:t>
            </w:r>
            <w:r>
              <w:rPr>
                <w:rFonts w:eastAsia="Calibri"/>
              </w:rPr>
              <w:t xml:space="preserve"> der Regel</w:t>
            </w:r>
          </w:p>
        </w:tc>
      </w:tr>
      <w:tr w:rsidR="00AE4EA7" w14:paraId="7D6F2413" w14:textId="77777777" w:rsidTr="00E46391">
        <w:tc>
          <w:tcPr>
            <w:tcW w:w="1951" w:type="dxa"/>
          </w:tcPr>
          <w:p w14:paraId="016891FD" w14:textId="77777777" w:rsidR="00AE4EA7" w:rsidRDefault="00990A0B">
            <w:pPr>
              <w:widowControl w:val="0"/>
              <w:spacing w:after="0" w:line="240" w:lineRule="auto"/>
              <w:rPr>
                <w:rFonts w:ascii="Calibri" w:eastAsia="Calibri" w:hAnsi="Calibri"/>
              </w:rPr>
            </w:pPr>
            <w:r w:rsidRPr="005F5895">
              <w:rPr>
                <w:rFonts w:eastAsia="Calibri"/>
              </w:rPr>
              <w:t>i.</w:t>
            </w:r>
            <w:r>
              <w:rPr>
                <w:rFonts w:eastAsia="Calibri"/>
              </w:rPr>
              <w:t> S.</w:t>
            </w:r>
          </w:p>
        </w:tc>
        <w:tc>
          <w:tcPr>
            <w:tcW w:w="7261" w:type="dxa"/>
          </w:tcPr>
          <w:p w14:paraId="23B54D9C" w14:textId="77777777" w:rsidR="00AE4EA7" w:rsidRDefault="00990A0B">
            <w:pPr>
              <w:widowControl w:val="0"/>
              <w:spacing w:after="0" w:line="240" w:lineRule="auto"/>
              <w:rPr>
                <w:rFonts w:ascii="Calibri" w:eastAsia="Calibri" w:hAnsi="Calibri"/>
              </w:rPr>
            </w:pPr>
            <w:r w:rsidRPr="005F5895">
              <w:rPr>
                <w:rFonts w:eastAsia="Calibri"/>
              </w:rPr>
              <w:t>im</w:t>
            </w:r>
            <w:r>
              <w:rPr>
                <w:rFonts w:eastAsia="Calibri"/>
              </w:rPr>
              <w:t xml:space="preserve"> Sinne</w:t>
            </w:r>
          </w:p>
        </w:tc>
      </w:tr>
      <w:tr w:rsidR="00AE4EA7" w14:paraId="3A61F98B" w14:textId="77777777" w:rsidTr="00E46391">
        <w:tc>
          <w:tcPr>
            <w:tcW w:w="1951" w:type="dxa"/>
          </w:tcPr>
          <w:p w14:paraId="2BC7E068" w14:textId="77777777" w:rsidR="00AE4EA7" w:rsidRDefault="00990A0B">
            <w:pPr>
              <w:widowControl w:val="0"/>
              <w:spacing w:after="0" w:line="240" w:lineRule="auto"/>
              <w:rPr>
                <w:rFonts w:ascii="Calibri" w:eastAsia="Calibri" w:hAnsi="Calibri"/>
              </w:rPr>
            </w:pPr>
            <w:r w:rsidRPr="005F5895">
              <w:rPr>
                <w:rFonts w:eastAsia="Calibri"/>
              </w:rPr>
              <w:t>i. S. d.</w:t>
            </w:r>
          </w:p>
        </w:tc>
        <w:tc>
          <w:tcPr>
            <w:tcW w:w="7261" w:type="dxa"/>
          </w:tcPr>
          <w:p w14:paraId="2DF8BC71" w14:textId="77777777" w:rsidR="00AE4EA7" w:rsidRDefault="00990A0B">
            <w:pPr>
              <w:widowControl w:val="0"/>
              <w:spacing w:after="0" w:line="240" w:lineRule="auto"/>
              <w:rPr>
                <w:rFonts w:ascii="Calibri" w:eastAsia="Calibri" w:hAnsi="Calibri"/>
              </w:rPr>
            </w:pPr>
            <w:r>
              <w:rPr>
                <w:rFonts w:eastAsia="Calibri"/>
              </w:rPr>
              <w:t>Im Sinne des/der</w:t>
            </w:r>
          </w:p>
        </w:tc>
      </w:tr>
      <w:tr w:rsidR="00AE4EA7" w14:paraId="4E876A0B" w14:textId="77777777" w:rsidTr="00E46391">
        <w:tc>
          <w:tcPr>
            <w:tcW w:w="1951" w:type="dxa"/>
          </w:tcPr>
          <w:p w14:paraId="5BAF0FB4" w14:textId="77777777" w:rsidR="00AE4EA7" w:rsidRDefault="00990A0B">
            <w:pPr>
              <w:widowControl w:val="0"/>
              <w:spacing w:after="0" w:line="240" w:lineRule="auto"/>
              <w:rPr>
                <w:rFonts w:ascii="Calibri" w:eastAsia="Calibri" w:hAnsi="Calibri"/>
              </w:rPr>
            </w:pPr>
            <w:r w:rsidRPr="005F5895">
              <w:rPr>
                <w:rFonts w:eastAsia="Calibri"/>
              </w:rPr>
              <w:t>i. S. d.</w:t>
            </w:r>
          </w:p>
        </w:tc>
        <w:tc>
          <w:tcPr>
            <w:tcW w:w="7261" w:type="dxa"/>
          </w:tcPr>
          <w:p w14:paraId="65FA4DCC" w14:textId="2492F799" w:rsidR="00AE4EA7" w:rsidRDefault="00990A0B">
            <w:pPr>
              <w:widowControl w:val="0"/>
              <w:spacing w:after="0" w:line="240" w:lineRule="auto"/>
              <w:rPr>
                <w:rFonts w:ascii="Calibri" w:eastAsia="Calibri" w:hAnsi="Calibri"/>
              </w:rPr>
            </w:pPr>
            <w:r w:rsidRPr="005F5895">
              <w:rPr>
                <w:rFonts w:eastAsia="Calibri"/>
              </w:rPr>
              <w:t>im</w:t>
            </w:r>
            <w:r>
              <w:rPr>
                <w:rFonts w:eastAsia="Calibri"/>
              </w:rPr>
              <w:t xml:space="preserve"> Sinne der/des</w:t>
            </w:r>
          </w:p>
        </w:tc>
      </w:tr>
      <w:tr w:rsidR="00AE4EA7" w14:paraId="1E3E5A23" w14:textId="77777777" w:rsidTr="00E46391">
        <w:tc>
          <w:tcPr>
            <w:tcW w:w="1951" w:type="dxa"/>
          </w:tcPr>
          <w:p w14:paraId="3BFC0728" w14:textId="77777777" w:rsidR="00AE4EA7" w:rsidRDefault="00990A0B">
            <w:pPr>
              <w:widowControl w:val="0"/>
              <w:spacing w:after="0" w:line="240" w:lineRule="auto"/>
              <w:rPr>
                <w:rFonts w:ascii="Calibri" w:eastAsia="Calibri" w:hAnsi="Calibri"/>
              </w:rPr>
            </w:pPr>
            <w:r w:rsidRPr="005F5895">
              <w:rPr>
                <w:rFonts w:eastAsia="Calibri"/>
              </w:rPr>
              <w:t>i. V.</w:t>
            </w:r>
            <w:r>
              <w:rPr>
                <w:rFonts w:eastAsia="Calibri"/>
              </w:rPr>
              <w:t> m.</w:t>
            </w:r>
          </w:p>
        </w:tc>
        <w:tc>
          <w:tcPr>
            <w:tcW w:w="7261" w:type="dxa"/>
          </w:tcPr>
          <w:p w14:paraId="4EAB573B" w14:textId="77777777" w:rsidR="00AE4EA7" w:rsidRDefault="00990A0B">
            <w:pPr>
              <w:widowControl w:val="0"/>
              <w:spacing w:after="0" w:line="240" w:lineRule="auto"/>
              <w:rPr>
                <w:rFonts w:ascii="Calibri" w:eastAsia="Calibri" w:hAnsi="Calibri"/>
              </w:rPr>
            </w:pPr>
            <w:r w:rsidRPr="005F5895">
              <w:rPr>
                <w:rFonts w:eastAsia="Calibri"/>
              </w:rPr>
              <w:t>in</w:t>
            </w:r>
            <w:r>
              <w:rPr>
                <w:rFonts w:eastAsia="Calibri"/>
              </w:rPr>
              <w:t xml:space="preserve"> Verbindung mit</w:t>
            </w:r>
          </w:p>
        </w:tc>
      </w:tr>
      <w:tr w:rsidR="00AE4EA7" w14:paraId="20D35E7B" w14:textId="77777777" w:rsidTr="00E46391">
        <w:tc>
          <w:tcPr>
            <w:tcW w:w="1951" w:type="dxa"/>
          </w:tcPr>
          <w:p w14:paraId="5914B32D" w14:textId="1C608529" w:rsidR="00AE4EA7" w:rsidRDefault="00990A0B">
            <w:pPr>
              <w:widowControl w:val="0"/>
              <w:spacing w:after="0" w:line="240" w:lineRule="auto"/>
              <w:rPr>
                <w:rFonts w:ascii="Calibri" w:eastAsia="Calibri" w:hAnsi="Calibri"/>
              </w:rPr>
            </w:pPr>
            <w:r w:rsidRPr="005F5895">
              <w:rPr>
                <w:rFonts w:eastAsia="Calibri"/>
              </w:rPr>
              <w:t>i.</w:t>
            </w:r>
            <w:r w:rsidR="008B0D52" w:rsidRPr="008B0D52">
              <w:rPr>
                <w:rFonts w:eastAsia="Calibri"/>
              </w:rPr>
              <w:t> </w:t>
            </w:r>
            <w:r w:rsidRPr="008B0D52">
              <w:rPr>
                <w:rFonts w:eastAsia="Calibri"/>
              </w:rPr>
              <w:t>S.</w:t>
            </w:r>
            <w:r w:rsidR="008B0D52" w:rsidRPr="008B0D52">
              <w:rPr>
                <w:rFonts w:eastAsia="Calibri"/>
              </w:rPr>
              <w:t> </w:t>
            </w:r>
            <w:r w:rsidRPr="008B0D52">
              <w:rPr>
                <w:rFonts w:eastAsia="Calibri"/>
              </w:rPr>
              <w:t>v</w:t>
            </w:r>
            <w:r>
              <w:rPr>
                <w:rFonts w:eastAsia="Calibri"/>
              </w:rPr>
              <w:t>.</w:t>
            </w:r>
          </w:p>
        </w:tc>
        <w:tc>
          <w:tcPr>
            <w:tcW w:w="7261" w:type="dxa"/>
          </w:tcPr>
          <w:p w14:paraId="0A2AA39C" w14:textId="77777777" w:rsidR="00AE4EA7" w:rsidRDefault="00990A0B">
            <w:pPr>
              <w:widowControl w:val="0"/>
              <w:spacing w:after="0" w:line="240" w:lineRule="auto"/>
              <w:rPr>
                <w:rFonts w:ascii="Calibri" w:eastAsia="Calibri" w:hAnsi="Calibri"/>
              </w:rPr>
            </w:pPr>
            <w:r w:rsidRPr="005F5895">
              <w:rPr>
                <w:rFonts w:eastAsia="Calibri"/>
              </w:rPr>
              <w:t>im</w:t>
            </w:r>
            <w:r>
              <w:rPr>
                <w:rFonts w:eastAsia="Calibri"/>
              </w:rPr>
              <w:t xml:space="preserve"> Sinne von</w:t>
            </w:r>
          </w:p>
        </w:tc>
      </w:tr>
      <w:tr w:rsidR="00AE4EA7" w14:paraId="5A9468A0" w14:textId="77777777" w:rsidTr="00E46391">
        <w:tc>
          <w:tcPr>
            <w:tcW w:w="1951" w:type="dxa"/>
          </w:tcPr>
          <w:p w14:paraId="0E4257B0" w14:textId="77777777" w:rsidR="00AE4EA7" w:rsidRDefault="00990A0B">
            <w:pPr>
              <w:widowControl w:val="0"/>
              <w:spacing w:after="0" w:line="240" w:lineRule="auto"/>
              <w:rPr>
                <w:rFonts w:ascii="Calibri" w:eastAsia="Calibri" w:hAnsi="Calibri"/>
              </w:rPr>
            </w:pPr>
            <w:r>
              <w:rPr>
                <w:rFonts w:eastAsia="Calibri"/>
              </w:rPr>
              <w:t>ISO</w:t>
            </w:r>
          </w:p>
        </w:tc>
        <w:tc>
          <w:tcPr>
            <w:tcW w:w="7261" w:type="dxa"/>
          </w:tcPr>
          <w:p w14:paraId="222AAF51" w14:textId="77777777" w:rsidR="00AE4EA7" w:rsidRPr="007A1A5F" w:rsidRDefault="00990A0B">
            <w:pPr>
              <w:widowControl w:val="0"/>
              <w:spacing w:after="0" w:line="240" w:lineRule="auto"/>
              <w:rPr>
                <w:rFonts w:ascii="Calibri" w:eastAsia="Calibri" w:hAnsi="Calibri"/>
                <w:lang w:val="en-US"/>
              </w:rPr>
            </w:pPr>
            <w:r w:rsidRPr="007A1A5F">
              <w:rPr>
                <w:rFonts w:eastAsia="Calibri"/>
                <w:lang w:val="en-US"/>
              </w:rPr>
              <w:t>International Organization for Standardization</w:t>
            </w:r>
          </w:p>
        </w:tc>
      </w:tr>
      <w:tr w:rsidR="00AE4EA7" w14:paraId="732371A9" w14:textId="77777777" w:rsidTr="00E46391">
        <w:tc>
          <w:tcPr>
            <w:tcW w:w="1951" w:type="dxa"/>
          </w:tcPr>
          <w:p w14:paraId="0A7EB6CB" w14:textId="77777777" w:rsidR="00AE4EA7" w:rsidRDefault="00990A0B">
            <w:pPr>
              <w:widowControl w:val="0"/>
              <w:spacing w:after="0" w:line="240" w:lineRule="auto"/>
              <w:rPr>
                <w:rFonts w:ascii="Calibri" w:eastAsia="Calibri" w:hAnsi="Calibri"/>
              </w:rPr>
            </w:pPr>
            <w:r>
              <w:rPr>
                <w:rFonts w:eastAsia="Calibri"/>
              </w:rPr>
              <w:t>IT</w:t>
            </w:r>
          </w:p>
        </w:tc>
        <w:tc>
          <w:tcPr>
            <w:tcW w:w="7261" w:type="dxa"/>
          </w:tcPr>
          <w:p w14:paraId="3A37361B" w14:textId="77777777" w:rsidR="00AE4EA7" w:rsidRDefault="00990A0B">
            <w:pPr>
              <w:widowControl w:val="0"/>
              <w:spacing w:after="0" w:line="240" w:lineRule="auto"/>
              <w:rPr>
                <w:rFonts w:ascii="Calibri" w:eastAsia="Calibri" w:hAnsi="Calibri"/>
              </w:rPr>
            </w:pPr>
            <w:r>
              <w:rPr>
                <w:rFonts w:eastAsia="Calibri"/>
              </w:rPr>
              <w:t xml:space="preserve">Informationstechnik, </w:t>
            </w:r>
            <w:r w:rsidRPr="005F5895">
              <w:rPr>
                <w:rFonts w:eastAsia="Calibri"/>
              </w:rPr>
              <w:t>informationstechnisches</w:t>
            </w:r>
            <w:r>
              <w:rPr>
                <w:rFonts w:eastAsia="Calibri"/>
              </w:rPr>
              <w:t>…</w:t>
            </w:r>
          </w:p>
        </w:tc>
      </w:tr>
      <w:tr w:rsidR="00AE4EA7" w14:paraId="07050CEC" w14:textId="77777777" w:rsidTr="00E46391">
        <w:tc>
          <w:tcPr>
            <w:tcW w:w="1951" w:type="dxa"/>
          </w:tcPr>
          <w:p w14:paraId="31CC6804" w14:textId="77777777" w:rsidR="00AE4EA7" w:rsidRDefault="00990A0B">
            <w:pPr>
              <w:widowControl w:val="0"/>
              <w:spacing w:after="0" w:line="240" w:lineRule="auto"/>
              <w:rPr>
                <w:rFonts w:ascii="Calibri" w:eastAsia="Calibri" w:hAnsi="Calibri"/>
              </w:rPr>
            </w:pPr>
            <w:r>
              <w:rPr>
                <w:rFonts w:eastAsia="Calibri"/>
              </w:rPr>
              <w:t>Kap.</w:t>
            </w:r>
          </w:p>
        </w:tc>
        <w:tc>
          <w:tcPr>
            <w:tcW w:w="7261" w:type="dxa"/>
          </w:tcPr>
          <w:p w14:paraId="09BF329B" w14:textId="77777777" w:rsidR="00AE4EA7" w:rsidRDefault="00990A0B">
            <w:pPr>
              <w:widowControl w:val="0"/>
              <w:spacing w:after="0" w:line="240" w:lineRule="auto"/>
              <w:rPr>
                <w:rFonts w:ascii="Calibri" w:eastAsia="Calibri" w:hAnsi="Calibri"/>
              </w:rPr>
            </w:pPr>
            <w:r>
              <w:rPr>
                <w:rFonts w:eastAsia="Calibri"/>
              </w:rPr>
              <w:t>Kapitel</w:t>
            </w:r>
          </w:p>
        </w:tc>
      </w:tr>
      <w:tr w:rsidR="00E45D66" w14:paraId="4D588F67" w14:textId="77777777" w:rsidTr="00E46391">
        <w:tc>
          <w:tcPr>
            <w:tcW w:w="1951" w:type="dxa"/>
          </w:tcPr>
          <w:p w14:paraId="40994A26" w14:textId="1930820F" w:rsidR="00E45D66" w:rsidRDefault="00E45D66">
            <w:pPr>
              <w:widowControl w:val="0"/>
              <w:spacing w:after="0" w:line="240" w:lineRule="auto"/>
              <w:rPr>
                <w:rFonts w:eastAsia="Calibri"/>
              </w:rPr>
            </w:pPr>
            <w:r>
              <w:rPr>
                <w:rFonts w:eastAsia="Calibri"/>
              </w:rPr>
              <w:t>KDG</w:t>
            </w:r>
          </w:p>
        </w:tc>
        <w:tc>
          <w:tcPr>
            <w:tcW w:w="7261" w:type="dxa"/>
          </w:tcPr>
          <w:p w14:paraId="53BE79EE" w14:textId="40B606D3" w:rsidR="00E45D66" w:rsidRDefault="00337C0B">
            <w:pPr>
              <w:widowControl w:val="0"/>
              <w:spacing w:after="0" w:line="240" w:lineRule="auto"/>
              <w:rPr>
                <w:rFonts w:eastAsia="Calibri"/>
              </w:rPr>
            </w:pPr>
            <w:r w:rsidRPr="00337C0B">
              <w:rPr>
                <w:rFonts w:eastAsia="Calibri"/>
              </w:rPr>
              <w:t>Gesetz über den Kirchlichen Datenschutz</w:t>
            </w:r>
          </w:p>
        </w:tc>
      </w:tr>
      <w:tr w:rsidR="00D06980" w14:paraId="4369DE93" w14:textId="77777777" w:rsidTr="00E46391">
        <w:tc>
          <w:tcPr>
            <w:tcW w:w="1951" w:type="dxa"/>
          </w:tcPr>
          <w:p w14:paraId="702F1AFC" w14:textId="64F19FF1" w:rsidR="00D06980" w:rsidRDefault="00D06980">
            <w:pPr>
              <w:widowControl w:val="0"/>
              <w:spacing w:after="0" w:line="240" w:lineRule="auto"/>
              <w:rPr>
                <w:rFonts w:eastAsia="Calibri"/>
              </w:rPr>
            </w:pPr>
            <w:r>
              <w:rPr>
                <w:rFonts w:eastAsia="Calibri"/>
              </w:rPr>
              <w:t>KHG</w:t>
            </w:r>
          </w:p>
        </w:tc>
        <w:tc>
          <w:tcPr>
            <w:tcW w:w="7261" w:type="dxa"/>
          </w:tcPr>
          <w:p w14:paraId="5A2B1FA5" w14:textId="53F560CD" w:rsidR="00D06980" w:rsidRDefault="00D06980">
            <w:pPr>
              <w:widowControl w:val="0"/>
              <w:spacing w:after="0" w:line="240" w:lineRule="auto"/>
              <w:rPr>
                <w:rFonts w:eastAsia="Calibri"/>
              </w:rPr>
            </w:pPr>
            <w:r w:rsidRPr="00D06980">
              <w:rPr>
                <w:rFonts w:eastAsia="Calibri"/>
              </w:rPr>
              <w:t>Krankenhausfinanzierungsgesetz</w:t>
            </w:r>
          </w:p>
        </w:tc>
      </w:tr>
      <w:tr w:rsidR="009D38E0" w14:paraId="4E8928B7" w14:textId="77777777" w:rsidTr="00E46391">
        <w:tc>
          <w:tcPr>
            <w:tcW w:w="1951" w:type="dxa"/>
          </w:tcPr>
          <w:p w14:paraId="05B1C2B4" w14:textId="5D343EFA" w:rsidR="009D38E0" w:rsidRDefault="009D38E0">
            <w:pPr>
              <w:widowControl w:val="0"/>
              <w:spacing w:after="0" w:line="240" w:lineRule="auto"/>
              <w:rPr>
                <w:rFonts w:eastAsia="Calibri"/>
              </w:rPr>
            </w:pPr>
            <w:r>
              <w:rPr>
                <w:rFonts w:eastAsia="Calibri"/>
              </w:rPr>
              <w:t>KHG</w:t>
            </w:r>
          </w:p>
        </w:tc>
        <w:tc>
          <w:tcPr>
            <w:tcW w:w="7261" w:type="dxa"/>
          </w:tcPr>
          <w:p w14:paraId="0F872452" w14:textId="4B9F9495" w:rsidR="009D38E0" w:rsidRDefault="009D38E0">
            <w:pPr>
              <w:widowControl w:val="0"/>
              <w:spacing w:after="0" w:line="240" w:lineRule="auto"/>
              <w:rPr>
                <w:rFonts w:eastAsia="Calibri"/>
              </w:rPr>
            </w:pPr>
            <w:r>
              <w:rPr>
                <w:rFonts w:eastAsia="Calibri"/>
              </w:rPr>
              <w:t>Krankenhausgesetz</w:t>
            </w:r>
          </w:p>
        </w:tc>
      </w:tr>
      <w:tr w:rsidR="00AE4EA7" w14:paraId="1C4D4D21" w14:textId="77777777" w:rsidTr="00E46391">
        <w:tc>
          <w:tcPr>
            <w:tcW w:w="1951" w:type="dxa"/>
          </w:tcPr>
          <w:p w14:paraId="67CD7E71" w14:textId="77777777" w:rsidR="00AE4EA7" w:rsidRDefault="00990A0B">
            <w:pPr>
              <w:widowControl w:val="0"/>
              <w:spacing w:after="0" w:line="240" w:lineRule="auto"/>
              <w:rPr>
                <w:rFonts w:ascii="Calibri" w:eastAsia="Calibri" w:hAnsi="Calibri"/>
              </w:rPr>
            </w:pPr>
            <w:r w:rsidRPr="005F5895">
              <w:rPr>
                <w:rFonts w:eastAsia="Calibri"/>
              </w:rPr>
              <w:t>LDSG</w:t>
            </w:r>
          </w:p>
        </w:tc>
        <w:tc>
          <w:tcPr>
            <w:tcW w:w="7261" w:type="dxa"/>
          </w:tcPr>
          <w:p w14:paraId="5178A48B" w14:textId="77777777" w:rsidR="00AE4EA7" w:rsidRDefault="00990A0B">
            <w:pPr>
              <w:widowControl w:val="0"/>
              <w:spacing w:after="0" w:line="240" w:lineRule="auto"/>
              <w:rPr>
                <w:rFonts w:ascii="Calibri" w:hAnsi="Calibri"/>
              </w:rPr>
            </w:pPr>
            <w:r>
              <w:rPr>
                <w:rFonts w:eastAsiaTheme="majorEastAsia"/>
              </w:rPr>
              <w:t>Landesdatenschutzgesetz</w:t>
            </w:r>
          </w:p>
        </w:tc>
      </w:tr>
      <w:tr w:rsidR="005F5895" w14:paraId="72B2EE62" w14:textId="77777777" w:rsidTr="00E46391">
        <w:tc>
          <w:tcPr>
            <w:tcW w:w="1951" w:type="dxa"/>
          </w:tcPr>
          <w:p w14:paraId="560826A4" w14:textId="7859EAEE" w:rsidR="005F5895" w:rsidRDefault="005F5895">
            <w:pPr>
              <w:widowControl w:val="0"/>
              <w:spacing w:after="0" w:line="240" w:lineRule="auto"/>
              <w:rPr>
                <w:rFonts w:eastAsia="Calibri"/>
              </w:rPr>
            </w:pPr>
            <w:r>
              <w:rPr>
                <w:rFonts w:eastAsia="Calibri"/>
              </w:rPr>
              <w:t>LKHG</w:t>
            </w:r>
          </w:p>
        </w:tc>
        <w:tc>
          <w:tcPr>
            <w:tcW w:w="7261" w:type="dxa"/>
          </w:tcPr>
          <w:p w14:paraId="11BF4B28" w14:textId="1EFD7B59" w:rsidR="005F5895" w:rsidRPr="005F5895" w:rsidRDefault="005F5895">
            <w:pPr>
              <w:widowControl w:val="0"/>
              <w:spacing w:after="0" w:line="240" w:lineRule="auto"/>
              <w:rPr>
                <w:rFonts w:eastAsiaTheme="majorEastAsia"/>
              </w:rPr>
            </w:pPr>
            <w:r w:rsidRPr="005F5895">
              <w:rPr>
                <w:rFonts w:eastAsiaTheme="majorEastAsia"/>
              </w:rPr>
              <w:t>Landeskrankenhausgesetz</w:t>
            </w:r>
          </w:p>
        </w:tc>
      </w:tr>
      <w:tr w:rsidR="005F5895" w14:paraId="27E26AA9" w14:textId="77777777" w:rsidTr="00E46391">
        <w:tc>
          <w:tcPr>
            <w:tcW w:w="1951" w:type="dxa"/>
          </w:tcPr>
          <w:p w14:paraId="75DE8A59" w14:textId="77F4343D" w:rsidR="005F5895" w:rsidRPr="005F5895" w:rsidRDefault="005F5895">
            <w:pPr>
              <w:widowControl w:val="0"/>
              <w:spacing w:after="0" w:line="240" w:lineRule="auto"/>
              <w:rPr>
                <w:rFonts w:eastAsia="Calibri"/>
              </w:rPr>
            </w:pPr>
            <w:r>
              <w:rPr>
                <w:rFonts w:eastAsia="Calibri"/>
              </w:rPr>
              <w:t>LKG</w:t>
            </w:r>
          </w:p>
        </w:tc>
        <w:tc>
          <w:tcPr>
            <w:tcW w:w="7261" w:type="dxa"/>
          </w:tcPr>
          <w:p w14:paraId="756E69EC" w14:textId="75DED325" w:rsidR="005F5895" w:rsidRDefault="005F5895">
            <w:pPr>
              <w:widowControl w:val="0"/>
              <w:spacing w:after="0" w:line="240" w:lineRule="auto"/>
              <w:rPr>
                <w:rFonts w:eastAsiaTheme="majorEastAsia"/>
              </w:rPr>
            </w:pPr>
            <w:r w:rsidRPr="005F5895">
              <w:rPr>
                <w:rFonts w:eastAsiaTheme="majorEastAsia"/>
              </w:rPr>
              <w:t>Landeskrankenhausgesetz</w:t>
            </w:r>
          </w:p>
        </w:tc>
      </w:tr>
      <w:tr w:rsidR="00AE4EA7" w14:paraId="4F51D47A" w14:textId="77777777" w:rsidTr="00E46391">
        <w:tc>
          <w:tcPr>
            <w:tcW w:w="1951" w:type="dxa"/>
          </w:tcPr>
          <w:p w14:paraId="5C949C4A" w14:textId="77777777" w:rsidR="00AE4EA7" w:rsidRDefault="00990A0B">
            <w:pPr>
              <w:widowControl w:val="0"/>
              <w:spacing w:after="0" w:line="240" w:lineRule="auto"/>
              <w:rPr>
                <w:rFonts w:ascii="Calibri" w:eastAsia="Calibri" w:hAnsi="Calibri"/>
              </w:rPr>
            </w:pPr>
            <w:r w:rsidRPr="005F5895">
              <w:rPr>
                <w:rFonts w:eastAsia="Calibri"/>
              </w:rPr>
              <w:t>lit</w:t>
            </w:r>
            <w:r>
              <w:rPr>
                <w:rFonts w:eastAsia="Calibri"/>
              </w:rPr>
              <w:t>.</w:t>
            </w:r>
          </w:p>
        </w:tc>
        <w:tc>
          <w:tcPr>
            <w:tcW w:w="7261" w:type="dxa"/>
          </w:tcPr>
          <w:p w14:paraId="4C3CB0A7" w14:textId="77777777" w:rsidR="00AE4EA7" w:rsidRDefault="00990A0B">
            <w:pPr>
              <w:widowControl w:val="0"/>
              <w:spacing w:after="0" w:line="240" w:lineRule="auto"/>
              <w:rPr>
                <w:rFonts w:ascii="Calibri" w:hAnsi="Calibri"/>
              </w:rPr>
            </w:pPr>
            <w:r w:rsidRPr="005F5895">
              <w:rPr>
                <w:rFonts w:eastAsiaTheme="majorEastAsia"/>
              </w:rPr>
              <w:t>littera</w:t>
            </w:r>
            <w:r>
              <w:rPr>
                <w:rFonts w:eastAsiaTheme="majorEastAsia"/>
              </w:rPr>
              <w:t xml:space="preserve"> (lat. „Buchstabe“)</w:t>
            </w:r>
          </w:p>
        </w:tc>
      </w:tr>
      <w:tr w:rsidR="00E343E3" w14:paraId="5F5A3231" w14:textId="77777777" w:rsidTr="00E46391">
        <w:tc>
          <w:tcPr>
            <w:tcW w:w="1951" w:type="dxa"/>
          </w:tcPr>
          <w:p w14:paraId="52F5D36E" w14:textId="086D80C5" w:rsidR="00E343E3" w:rsidRPr="008B0D52" w:rsidRDefault="00E343E3">
            <w:pPr>
              <w:widowControl w:val="0"/>
              <w:spacing w:after="0" w:line="240" w:lineRule="auto"/>
              <w:rPr>
                <w:rFonts w:eastAsia="Calibri"/>
              </w:rPr>
            </w:pPr>
            <w:r>
              <w:rPr>
                <w:rFonts w:eastAsia="Calibri"/>
              </w:rPr>
              <w:t>MBO-Ä</w:t>
            </w:r>
          </w:p>
        </w:tc>
        <w:tc>
          <w:tcPr>
            <w:tcW w:w="7261" w:type="dxa"/>
          </w:tcPr>
          <w:p w14:paraId="3BBD11A1" w14:textId="4B13781A" w:rsidR="00E343E3" w:rsidRPr="008B0D52" w:rsidRDefault="00E343E3" w:rsidP="00E343E3">
            <w:pPr>
              <w:widowControl w:val="0"/>
              <w:spacing w:after="0" w:line="240" w:lineRule="auto"/>
              <w:rPr>
                <w:rFonts w:eastAsiaTheme="majorEastAsia"/>
              </w:rPr>
            </w:pPr>
            <w:r w:rsidRPr="00E343E3">
              <w:rPr>
                <w:rFonts w:eastAsiaTheme="majorEastAsia"/>
              </w:rPr>
              <w:t>(Muster-)Berufsordnung für die in Deutschland</w:t>
            </w:r>
            <w:r>
              <w:rPr>
                <w:rFonts w:eastAsiaTheme="majorEastAsia"/>
              </w:rPr>
              <w:t xml:space="preserve"> </w:t>
            </w:r>
            <w:r w:rsidRPr="00E343E3">
              <w:rPr>
                <w:rFonts w:eastAsiaTheme="majorEastAsia"/>
              </w:rPr>
              <w:t xml:space="preserve">tätigen Ärztinnen und </w:t>
            </w:r>
            <w:r w:rsidRPr="005F5895">
              <w:rPr>
                <w:rFonts w:eastAsiaTheme="majorEastAsia"/>
              </w:rPr>
              <w:t>Ärzte</w:t>
            </w:r>
          </w:p>
        </w:tc>
      </w:tr>
      <w:tr w:rsidR="00AE4EA7" w14:paraId="6F9E78E2" w14:textId="77777777" w:rsidTr="00E46391">
        <w:tc>
          <w:tcPr>
            <w:tcW w:w="1951" w:type="dxa"/>
          </w:tcPr>
          <w:p w14:paraId="1151360C" w14:textId="77777777" w:rsidR="00AE4EA7" w:rsidRDefault="00990A0B">
            <w:pPr>
              <w:widowControl w:val="0"/>
              <w:spacing w:after="0" w:line="240" w:lineRule="auto"/>
              <w:rPr>
                <w:rFonts w:ascii="Calibri" w:eastAsia="Calibri" w:hAnsi="Calibri"/>
              </w:rPr>
            </w:pPr>
            <w:r>
              <w:rPr>
                <w:rFonts w:eastAsia="Calibri"/>
              </w:rPr>
              <w:t>Nr.</w:t>
            </w:r>
          </w:p>
        </w:tc>
        <w:tc>
          <w:tcPr>
            <w:tcW w:w="7261" w:type="dxa"/>
          </w:tcPr>
          <w:p w14:paraId="73932925" w14:textId="77777777" w:rsidR="00AE4EA7" w:rsidRDefault="00990A0B">
            <w:pPr>
              <w:widowControl w:val="0"/>
              <w:spacing w:after="0" w:line="240" w:lineRule="auto"/>
              <w:rPr>
                <w:rFonts w:eastAsiaTheme="majorEastAsia"/>
              </w:rPr>
            </w:pPr>
            <w:r>
              <w:rPr>
                <w:rFonts w:eastAsiaTheme="majorEastAsia"/>
              </w:rPr>
              <w:t>Nummer</w:t>
            </w:r>
          </w:p>
        </w:tc>
      </w:tr>
      <w:tr w:rsidR="00110FFC" w14:paraId="0537696A" w14:textId="77777777" w:rsidTr="00E46391">
        <w:tc>
          <w:tcPr>
            <w:tcW w:w="1951" w:type="dxa"/>
          </w:tcPr>
          <w:p w14:paraId="18ED5C21" w14:textId="32F8F49F" w:rsidR="00110FFC" w:rsidRDefault="00110FFC">
            <w:pPr>
              <w:widowControl w:val="0"/>
              <w:spacing w:after="0" w:line="240" w:lineRule="auto"/>
              <w:rPr>
                <w:rFonts w:eastAsia="Calibri"/>
              </w:rPr>
            </w:pPr>
            <w:r>
              <w:rPr>
                <w:rFonts w:eastAsia="Calibri"/>
              </w:rPr>
              <w:t>OLG</w:t>
            </w:r>
          </w:p>
        </w:tc>
        <w:tc>
          <w:tcPr>
            <w:tcW w:w="7261" w:type="dxa"/>
          </w:tcPr>
          <w:p w14:paraId="64F424DF" w14:textId="1FA87CC5" w:rsidR="00110FFC" w:rsidRDefault="00110FFC">
            <w:pPr>
              <w:widowControl w:val="0"/>
              <w:spacing w:after="0" w:line="240" w:lineRule="auto"/>
              <w:rPr>
                <w:rFonts w:eastAsiaTheme="majorEastAsia"/>
              </w:rPr>
            </w:pPr>
            <w:r w:rsidRPr="00110FFC">
              <w:rPr>
                <w:rFonts w:eastAsiaTheme="majorEastAsia"/>
              </w:rPr>
              <w:t>Oberlandesgericht</w:t>
            </w:r>
          </w:p>
        </w:tc>
      </w:tr>
      <w:tr w:rsidR="00E46391" w14:paraId="64C56003" w14:textId="77777777" w:rsidTr="00E46391">
        <w:tc>
          <w:tcPr>
            <w:tcW w:w="1951" w:type="dxa"/>
          </w:tcPr>
          <w:p w14:paraId="2F68A6A6" w14:textId="60191A9D" w:rsidR="00E46391" w:rsidRDefault="00E46391">
            <w:pPr>
              <w:widowControl w:val="0"/>
              <w:spacing w:after="0" w:line="240" w:lineRule="auto"/>
              <w:rPr>
                <w:rFonts w:eastAsia="Calibri"/>
              </w:rPr>
            </w:pPr>
            <w:r w:rsidRPr="00E46391">
              <w:rPr>
                <w:rFonts w:eastAsia="Calibri"/>
              </w:rPr>
              <w:t>PatientendatenVO</w:t>
            </w:r>
          </w:p>
        </w:tc>
        <w:tc>
          <w:tcPr>
            <w:tcW w:w="7261" w:type="dxa"/>
          </w:tcPr>
          <w:p w14:paraId="5CCDF88F" w14:textId="4D910021" w:rsidR="00E46391" w:rsidRPr="00110FFC" w:rsidRDefault="00E46391" w:rsidP="00E46391">
            <w:pPr>
              <w:widowControl w:val="0"/>
              <w:spacing w:after="0" w:line="240" w:lineRule="auto"/>
              <w:rPr>
                <w:rFonts w:eastAsiaTheme="majorEastAsia"/>
              </w:rPr>
            </w:pPr>
            <w:r w:rsidRPr="00E46391">
              <w:rPr>
                <w:rFonts w:eastAsiaTheme="majorEastAsia"/>
              </w:rPr>
              <w:t>Verordnung</w:t>
            </w:r>
            <w:r>
              <w:rPr>
                <w:rFonts w:eastAsiaTheme="majorEastAsia"/>
              </w:rPr>
              <w:t xml:space="preserve"> </w:t>
            </w:r>
            <w:r w:rsidRPr="00E46391">
              <w:rPr>
                <w:rFonts w:eastAsiaTheme="majorEastAsia"/>
              </w:rPr>
              <w:t>zur Verarbeitung von Patientendaten</w:t>
            </w:r>
            <w:r>
              <w:rPr>
                <w:rFonts w:eastAsiaTheme="majorEastAsia"/>
              </w:rPr>
              <w:t xml:space="preserve"> </w:t>
            </w:r>
            <w:r w:rsidRPr="00E46391">
              <w:rPr>
                <w:rFonts w:eastAsiaTheme="majorEastAsia"/>
              </w:rPr>
              <w:t>in kirchlichen Krankenhäusern</w:t>
            </w:r>
            <w:r>
              <w:rPr>
                <w:rFonts w:eastAsiaTheme="majorEastAsia"/>
              </w:rPr>
              <w:t xml:space="preserve"> </w:t>
            </w:r>
            <w:r w:rsidRPr="00E46391">
              <w:rPr>
                <w:rFonts w:eastAsiaTheme="majorEastAsia"/>
              </w:rPr>
              <w:t>(Patientendatenverordnung</w:t>
            </w:r>
            <w:r>
              <w:rPr>
                <w:rFonts w:eastAsiaTheme="majorEastAsia"/>
              </w:rPr>
              <w:t>)</w:t>
            </w:r>
          </w:p>
        </w:tc>
      </w:tr>
      <w:tr w:rsidR="005F5895" w14:paraId="1DCF8C43" w14:textId="77777777" w:rsidTr="00E46391">
        <w:tc>
          <w:tcPr>
            <w:tcW w:w="1951" w:type="dxa"/>
          </w:tcPr>
          <w:p w14:paraId="59E53B40" w14:textId="2816F96B" w:rsidR="005F5895" w:rsidRDefault="005F5895">
            <w:pPr>
              <w:widowControl w:val="0"/>
              <w:spacing w:after="0" w:line="240" w:lineRule="auto"/>
              <w:rPr>
                <w:rFonts w:eastAsia="Calibri"/>
              </w:rPr>
            </w:pPr>
            <w:r w:rsidRPr="005F5895">
              <w:rPr>
                <w:rFonts w:eastAsia="Calibri"/>
              </w:rPr>
              <w:t>RiStBV</w:t>
            </w:r>
          </w:p>
        </w:tc>
        <w:tc>
          <w:tcPr>
            <w:tcW w:w="7261" w:type="dxa"/>
          </w:tcPr>
          <w:p w14:paraId="4A1EE1F7" w14:textId="785F9C2E" w:rsidR="005F5895" w:rsidRDefault="005F5895">
            <w:pPr>
              <w:widowControl w:val="0"/>
              <w:spacing w:after="0" w:line="240" w:lineRule="auto"/>
              <w:rPr>
                <w:rFonts w:eastAsiaTheme="majorEastAsia"/>
              </w:rPr>
            </w:pPr>
            <w:r w:rsidRPr="005F5895">
              <w:rPr>
                <w:rFonts w:eastAsiaTheme="majorEastAsia"/>
              </w:rPr>
              <w:t>Richtlinien für das Strafverfahren und das Bußgeldverfahren</w:t>
            </w:r>
          </w:p>
        </w:tc>
      </w:tr>
      <w:tr w:rsidR="00AE4EA7" w14:paraId="1D12C7C3" w14:textId="77777777" w:rsidTr="00E46391">
        <w:tc>
          <w:tcPr>
            <w:tcW w:w="1951" w:type="dxa"/>
          </w:tcPr>
          <w:p w14:paraId="2A69A68B" w14:textId="77777777" w:rsidR="00AE4EA7" w:rsidRDefault="00990A0B">
            <w:pPr>
              <w:widowControl w:val="0"/>
              <w:spacing w:after="0" w:line="240" w:lineRule="auto"/>
              <w:rPr>
                <w:rFonts w:ascii="Calibri" w:eastAsia="Calibri" w:hAnsi="Calibri"/>
              </w:rPr>
            </w:pPr>
            <w:r w:rsidRPr="005F5895">
              <w:rPr>
                <w:rFonts w:eastAsia="Calibri"/>
              </w:rPr>
              <w:t>RL</w:t>
            </w:r>
          </w:p>
        </w:tc>
        <w:tc>
          <w:tcPr>
            <w:tcW w:w="7261" w:type="dxa"/>
          </w:tcPr>
          <w:p w14:paraId="3226FF09" w14:textId="77777777" w:rsidR="00AE4EA7" w:rsidRDefault="00990A0B">
            <w:pPr>
              <w:widowControl w:val="0"/>
              <w:spacing w:after="0" w:line="240" w:lineRule="auto"/>
              <w:rPr>
                <w:rFonts w:eastAsiaTheme="majorEastAsia"/>
              </w:rPr>
            </w:pPr>
            <w:r>
              <w:t>Richtlinie</w:t>
            </w:r>
          </w:p>
        </w:tc>
      </w:tr>
      <w:tr w:rsidR="00AE4EA7" w14:paraId="304F4B5B" w14:textId="77777777" w:rsidTr="00E46391">
        <w:tc>
          <w:tcPr>
            <w:tcW w:w="1951" w:type="dxa"/>
          </w:tcPr>
          <w:p w14:paraId="74864A9B" w14:textId="77777777" w:rsidR="00AE4EA7" w:rsidRDefault="00990A0B">
            <w:pPr>
              <w:widowControl w:val="0"/>
              <w:spacing w:after="0" w:line="240" w:lineRule="auto"/>
              <w:rPr>
                <w:rFonts w:ascii="Calibri" w:eastAsia="Calibri" w:hAnsi="Calibri"/>
              </w:rPr>
            </w:pPr>
            <w:r>
              <w:rPr>
                <w:rFonts w:eastAsia="Calibri"/>
              </w:rPr>
              <w:t>Rn.</w:t>
            </w:r>
          </w:p>
        </w:tc>
        <w:tc>
          <w:tcPr>
            <w:tcW w:w="7261" w:type="dxa"/>
          </w:tcPr>
          <w:p w14:paraId="5EE91ECB" w14:textId="77777777" w:rsidR="00AE4EA7" w:rsidRDefault="00990A0B">
            <w:pPr>
              <w:widowControl w:val="0"/>
              <w:spacing w:after="0" w:line="240" w:lineRule="auto"/>
              <w:rPr>
                <w:rFonts w:ascii="Calibri" w:eastAsia="Calibri" w:hAnsi="Calibri"/>
              </w:rPr>
            </w:pPr>
            <w:r>
              <w:rPr>
                <w:rFonts w:eastAsia="Calibri"/>
              </w:rPr>
              <w:t>Randnummer</w:t>
            </w:r>
          </w:p>
        </w:tc>
      </w:tr>
      <w:tr w:rsidR="00AE4EA7" w:rsidRPr="004C1658" w14:paraId="0CCD1B95" w14:textId="77777777" w:rsidTr="00E46391">
        <w:tc>
          <w:tcPr>
            <w:tcW w:w="1951" w:type="dxa"/>
          </w:tcPr>
          <w:p w14:paraId="6D0AB454" w14:textId="77777777" w:rsidR="00AE4EA7" w:rsidRPr="004C1658" w:rsidRDefault="00990A0B">
            <w:pPr>
              <w:widowControl w:val="0"/>
              <w:spacing w:after="0" w:line="240" w:lineRule="auto"/>
              <w:rPr>
                <w:rFonts w:ascii="Calibri" w:eastAsia="Calibri" w:hAnsi="Calibri"/>
              </w:rPr>
            </w:pPr>
            <w:r>
              <w:rPr>
                <w:rFonts w:eastAsia="Calibri"/>
              </w:rPr>
              <w:t>S</w:t>
            </w:r>
            <w:r w:rsidRPr="004C1658">
              <w:rPr>
                <w:rFonts w:eastAsia="Calibri"/>
              </w:rPr>
              <w:t>.</w:t>
            </w:r>
          </w:p>
        </w:tc>
        <w:tc>
          <w:tcPr>
            <w:tcW w:w="7261" w:type="dxa"/>
          </w:tcPr>
          <w:p w14:paraId="4EB4E54A" w14:textId="77777777" w:rsidR="00AE4EA7" w:rsidRPr="004C1658" w:rsidRDefault="00990A0B">
            <w:pPr>
              <w:widowControl w:val="0"/>
              <w:spacing w:after="0" w:line="240" w:lineRule="auto"/>
              <w:rPr>
                <w:rFonts w:ascii="Calibri" w:eastAsia="Calibri" w:hAnsi="Calibri"/>
              </w:rPr>
            </w:pPr>
            <w:r w:rsidRPr="004C1658">
              <w:rPr>
                <w:rFonts w:eastAsia="Calibri"/>
              </w:rPr>
              <w:t>Satz</w:t>
            </w:r>
          </w:p>
        </w:tc>
      </w:tr>
      <w:tr w:rsidR="003B642E" w:rsidRPr="004C1658" w14:paraId="455F9275" w14:textId="77777777" w:rsidTr="00E46391">
        <w:tc>
          <w:tcPr>
            <w:tcW w:w="1951" w:type="dxa"/>
          </w:tcPr>
          <w:p w14:paraId="2CEF072B" w14:textId="6B55C529" w:rsidR="003B642E" w:rsidRDefault="003B642E">
            <w:pPr>
              <w:widowControl w:val="0"/>
              <w:spacing w:after="0" w:line="240" w:lineRule="auto"/>
              <w:rPr>
                <w:rFonts w:eastAsia="Calibri"/>
              </w:rPr>
            </w:pPr>
            <w:r>
              <w:rPr>
                <w:rFonts w:eastAsia="Calibri"/>
              </w:rPr>
              <w:t>SBV</w:t>
            </w:r>
          </w:p>
        </w:tc>
        <w:tc>
          <w:tcPr>
            <w:tcW w:w="7261" w:type="dxa"/>
          </w:tcPr>
          <w:p w14:paraId="68F2CAEB" w14:textId="2DE8397A" w:rsidR="003B642E" w:rsidRPr="004C1658" w:rsidRDefault="003B642E">
            <w:pPr>
              <w:widowControl w:val="0"/>
              <w:spacing w:after="0" w:line="240" w:lineRule="auto"/>
              <w:rPr>
                <w:rFonts w:eastAsia="Calibri"/>
              </w:rPr>
            </w:pPr>
            <w:r w:rsidRPr="003B642E">
              <w:rPr>
                <w:rFonts w:eastAsia="Calibri"/>
              </w:rPr>
              <w:t>Schwerbehindertenvertretung</w:t>
            </w:r>
          </w:p>
        </w:tc>
      </w:tr>
      <w:tr w:rsidR="003B642E" w:rsidRPr="004C1658" w14:paraId="15F623D2" w14:textId="77777777" w:rsidTr="00E46391">
        <w:tc>
          <w:tcPr>
            <w:tcW w:w="1951" w:type="dxa"/>
          </w:tcPr>
          <w:p w14:paraId="0C6381AB" w14:textId="4597539C" w:rsidR="003B642E" w:rsidRDefault="003B642E">
            <w:pPr>
              <w:widowControl w:val="0"/>
              <w:spacing w:after="0" w:line="240" w:lineRule="auto"/>
              <w:rPr>
                <w:rFonts w:eastAsia="Calibri"/>
              </w:rPr>
            </w:pPr>
            <w:r w:rsidRPr="003B642E">
              <w:rPr>
                <w:rFonts w:eastAsia="Calibri"/>
              </w:rPr>
              <w:t>SchwAV</w:t>
            </w:r>
          </w:p>
        </w:tc>
        <w:tc>
          <w:tcPr>
            <w:tcW w:w="7261" w:type="dxa"/>
          </w:tcPr>
          <w:p w14:paraId="607224AE" w14:textId="7B8B0AF3" w:rsidR="003B642E" w:rsidRPr="003B642E" w:rsidRDefault="003B642E">
            <w:pPr>
              <w:widowControl w:val="0"/>
              <w:spacing w:after="0" w:line="240" w:lineRule="auto"/>
              <w:rPr>
                <w:rFonts w:eastAsia="Calibri"/>
              </w:rPr>
            </w:pPr>
            <w:r w:rsidRPr="003B642E">
              <w:rPr>
                <w:rFonts w:eastAsia="Calibri"/>
              </w:rPr>
              <w:t>Schwerbehinderten-Ausgleichsabgabeverordnung</w:t>
            </w:r>
          </w:p>
        </w:tc>
      </w:tr>
      <w:tr w:rsidR="00E46391" w:rsidRPr="004C1658" w14:paraId="777E7B43" w14:textId="77777777" w:rsidTr="00E46391">
        <w:tc>
          <w:tcPr>
            <w:tcW w:w="1951" w:type="dxa"/>
          </w:tcPr>
          <w:p w14:paraId="4E9260BD" w14:textId="6F135769" w:rsidR="00E46391" w:rsidRPr="003B642E" w:rsidRDefault="00E46391">
            <w:pPr>
              <w:widowControl w:val="0"/>
              <w:spacing w:after="0" w:line="240" w:lineRule="auto"/>
              <w:rPr>
                <w:rFonts w:eastAsia="Calibri"/>
              </w:rPr>
            </w:pPr>
            <w:r w:rsidRPr="00E46391">
              <w:rPr>
                <w:rFonts w:eastAsia="Calibri"/>
              </w:rPr>
              <w:t>SeelsorgePatDSG</w:t>
            </w:r>
          </w:p>
        </w:tc>
        <w:tc>
          <w:tcPr>
            <w:tcW w:w="7261" w:type="dxa"/>
          </w:tcPr>
          <w:p w14:paraId="60960D06" w14:textId="4F4B791F" w:rsidR="00E46391" w:rsidRPr="003B642E" w:rsidRDefault="00E46391">
            <w:pPr>
              <w:widowControl w:val="0"/>
              <w:spacing w:after="0" w:line="240" w:lineRule="auto"/>
              <w:rPr>
                <w:rFonts w:eastAsia="Calibri"/>
              </w:rPr>
            </w:pPr>
            <w:r w:rsidRPr="00E46391">
              <w:rPr>
                <w:rFonts w:eastAsia="Calibri"/>
              </w:rPr>
              <w:t>Gesetz zum Schutz von Patientendaten bei der Seelsorge in katholischen Einrichtungen des Gesundheitswesens in der (Erz-)Diözese</w:t>
            </w:r>
          </w:p>
        </w:tc>
      </w:tr>
      <w:tr w:rsidR="00110FFC" w:rsidRPr="004C1658" w14:paraId="71C0A7F1" w14:textId="77777777" w:rsidTr="00E46391">
        <w:tc>
          <w:tcPr>
            <w:tcW w:w="1951" w:type="dxa"/>
          </w:tcPr>
          <w:p w14:paraId="30C550C7" w14:textId="36BD5F90" w:rsidR="00110FFC" w:rsidRPr="003B642E" w:rsidRDefault="00110FFC">
            <w:pPr>
              <w:widowControl w:val="0"/>
              <w:spacing w:after="0" w:line="240" w:lineRule="auto"/>
              <w:rPr>
                <w:rFonts w:eastAsia="Calibri"/>
              </w:rPr>
            </w:pPr>
            <w:r>
              <w:rPr>
                <w:rFonts w:eastAsia="Calibri"/>
              </w:rPr>
              <w:t>SG</w:t>
            </w:r>
          </w:p>
        </w:tc>
        <w:tc>
          <w:tcPr>
            <w:tcW w:w="7261" w:type="dxa"/>
          </w:tcPr>
          <w:p w14:paraId="1CB89F36" w14:textId="248C276A" w:rsidR="00110FFC" w:rsidRPr="003B642E" w:rsidRDefault="00110FFC">
            <w:pPr>
              <w:widowControl w:val="0"/>
              <w:spacing w:after="0" w:line="240" w:lineRule="auto"/>
              <w:rPr>
                <w:rFonts w:eastAsia="Calibri"/>
              </w:rPr>
            </w:pPr>
            <w:r w:rsidRPr="00110FFC">
              <w:rPr>
                <w:rFonts w:eastAsia="Calibri"/>
              </w:rPr>
              <w:t>Sozialgericht</w:t>
            </w:r>
          </w:p>
        </w:tc>
      </w:tr>
      <w:tr w:rsidR="00AE4EA7" w:rsidRPr="004C1658" w14:paraId="4190BB96" w14:textId="77777777" w:rsidTr="00E46391">
        <w:tc>
          <w:tcPr>
            <w:tcW w:w="1951" w:type="dxa"/>
          </w:tcPr>
          <w:p w14:paraId="33A7D27C" w14:textId="77777777" w:rsidR="00AE4EA7" w:rsidRPr="004C1658" w:rsidRDefault="00990A0B">
            <w:pPr>
              <w:widowControl w:val="0"/>
              <w:spacing w:after="0" w:line="240" w:lineRule="auto"/>
              <w:rPr>
                <w:rFonts w:ascii="Calibri" w:eastAsia="Calibri" w:hAnsi="Calibri"/>
              </w:rPr>
            </w:pPr>
            <w:r w:rsidRPr="004C1658">
              <w:rPr>
                <w:rFonts w:eastAsia="Calibri"/>
              </w:rPr>
              <w:t>SGB</w:t>
            </w:r>
          </w:p>
        </w:tc>
        <w:tc>
          <w:tcPr>
            <w:tcW w:w="7261" w:type="dxa"/>
          </w:tcPr>
          <w:p w14:paraId="4842B118" w14:textId="77777777" w:rsidR="00AE4EA7" w:rsidRPr="004C1658" w:rsidRDefault="00990A0B">
            <w:pPr>
              <w:widowControl w:val="0"/>
              <w:spacing w:after="0" w:line="240" w:lineRule="auto"/>
              <w:rPr>
                <w:rFonts w:ascii="Calibri" w:eastAsia="Calibri" w:hAnsi="Calibri"/>
              </w:rPr>
            </w:pPr>
            <w:r w:rsidRPr="004C1658">
              <w:rPr>
                <w:rFonts w:eastAsia="Calibri"/>
              </w:rPr>
              <w:t>Sozialgesetzbuch</w:t>
            </w:r>
          </w:p>
        </w:tc>
      </w:tr>
      <w:tr w:rsidR="00EC3E32" w:rsidRPr="004C1658" w14:paraId="3B1CCBB0" w14:textId="77777777" w:rsidTr="00E46391">
        <w:tc>
          <w:tcPr>
            <w:tcW w:w="1951" w:type="dxa"/>
          </w:tcPr>
          <w:p w14:paraId="42579D85" w14:textId="2F06F515" w:rsidR="00EC3E32" w:rsidRPr="004C1658" w:rsidRDefault="00EC3E32">
            <w:pPr>
              <w:widowControl w:val="0"/>
              <w:spacing w:after="0" w:line="240" w:lineRule="auto"/>
              <w:rPr>
                <w:rFonts w:eastAsia="Calibri"/>
              </w:rPr>
            </w:pPr>
            <w:r w:rsidRPr="00EC3E32">
              <w:rPr>
                <w:rFonts w:eastAsia="Calibri"/>
              </w:rPr>
              <w:t>StGB</w:t>
            </w:r>
          </w:p>
        </w:tc>
        <w:tc>
          <w:tcPr>
            <w:tcW w:w="7261" w:type="dxa"/>
          </w:tcPr>
          <w:p w14:paraId="3642C8C4" w14:textId="56A9BFE6" w:rsidR="00EC3E32" w:rsidRPr="004C1658" w:rsidRDefault="00EC3E32">
            <w:pPr>
              <w:widowControl w:val="0"/>
              <w:spacing w:after="0" w:line="240" w:lineRule="auto"/>
              <w:rPr>
                <w:rFonts w:eastAsia="Calibri"/>
              </w:rPr>
            </w:pPr>
            <w:r w:rsidRPr="00EC3E32">
              <w:rPr>
                <w:rFonts w:eastAsia="Calibri"/>
              </w:rPr>
              <w:t>Strafgesetzbuch</w:t>
            </w:r>
          </w:p>
        </w:tc>
      </w:tr>
      <w:tr w:rsidR="008D0D01" w14:paraId="658297A5" w14:textId="77777777" w:rsidTr="00E46391">
        <w:tc>
          <w:tcPr>
            <w:tcW w:w="1951" w:type="dxa"/>
          </w:tcPr>
          <w:p w14:paraId="3F86403B" w14:textId="228F0750" w:rsidR="008D0D01" w:rsidRDefault="008D0D01">
            <w:pPr>
              <w:widowControl w:val="0"/>
              <w:spacing w:after="0" w:line="240" w:lineRule="auto"/>
              <w:rPr>
                <w:rFonts w:eastAsia="Calibri"/>
              </w:rPr>
            </w:pPr>
            <w:r w:rsidRPr="005F5895">
              <w:rPr>
                <w:rFonts w:eastAsia="Calibri"/>
              </w:rPr>
              <w:t>Unterabs</w:t>
            </w:r>
            <w:r w:rsidRPr="008D0D01">
              <w:rPr>
                <w:rFonts w:eastAsia="Calibri"/>
              </w:rPr>
              <w:t>.</w:t>
            </w:r>
          </w:p>
        </w:tc>
        <w:tc>
          <w:tcPr>
            <w:tcW w:w="7261" w:type="dxa"/>
          </w:tcPr>
          <w:p w14:paraId="1C5AE151" w14:textId="01FCD407" w:rsidR="008D0D01" w:rsidRDefault="008D0D01">
            <w:pPr>
              <w:widowControl w:val="0"/>
              <w:spacing w:after="0" w:line="240" w:lineRule="auto"/>
              <w:rPr>
                <w:rFonts w:eastAsiaTheme="majorEastAsia"/>
              </w:rPr>
            </w:pPr>
            <w:r w:rsidRPr="008D0D01">
              <w:rPr>
                <w:rFonts w:eastAsiaTheme="majorEastAsia"/>
              </w:rPr>
              <w:t>Unterabs</w:t>
            </w:r>
            <w:r>
              <w:rPr>
                <w:rFonts w:eastAsiaTheme="majorEastAsia"/>
              </w:rPr>
              <w:t>atz</w:t>
            </w:r>
          </w:p>
        </w:tc>
      </w:tr>
      <w:tr w:rsidR="00AE4EA7" w14:paraId="1A590D1B" w14:textId="77777777" w:rsidTr="00E46391">
        <w:tc>
          <w:tcPr>
            <w:tcW w:w="1951" w:type="dxa"/>
          </w:tcPr>
          <w:p w14:paraId="4D8DD06F" w14:textId="77777777" w:rsidR="00AE4EA7" w:rsidRDefault="00990A0B">
            <w:pPr>
              <w:widowControl w:val="0"/>
              <w:spacing w:after="0" w:line="240" w:lineRule="auto"/>
              <w:rPr>
                <w:rFonts w:ascii="Calibri" w:eastAsia="Calibri" w:hAnsi="Calibri"/>
              </w:rPr>
            </w:pPr>
            <w:r w:rsidRPr="004C1658">
              <w:rPr>
                <w:rFonts w:eastAsia="Calibri"/>
              </w:rPr>
              <w:t>Urt</w:t>
            </w:r>
            <w:r>
              <w:rPr>
                <w:rFonts w:eastAsia="Calibri"/>
              </w:rPr>
              <w:t>.</w:t>
            </w:r>
          </w:p>
        </w:tc>
        <w:tc>
          <w:tcPr>
            <w:tcW w:w="7261" w:type="dxa"/>
          </w:tcPr>
          <w:p w14:paraId="54820079" w14:textId="77777777" w:rsidR="00AE4EA7" w:rsidRDefault="00990A0B">
            <w:pPr>
              <w:widowControl w:val="0"/>
              <w:spacing w:after="0" w:line="240" w:lineRule="auto"/>
              <w:rPr>
                <w:rFonts w:eastAsiaTheme="majorEastAsia"/>
              </w:rPr>
            </w:pPr>
            <w:r>
              <w:t>Urteil</w:t>
            </w:r>
          </w:p>
        </w:tc>
      </w:tr>
      <w:tr w:rsidR="0077385B" w14:paraId="04661E9D" w14:textId="77777777" w:rsidTr="00E46391">
        <w:tc>
          <w:tcPr>
            <w:tcW w:w="1951" w:type="dxa"/>
          </w:tcPr>
          <w:p w14:paraId="46726172" w14:textId="5BF93B0E" w:rsidR="0077385B" w:rsidRPr="004C1658" w:rsidRDefault="0077385B">
            <w:pPr>
              <w:widowControl w:val="0"/>
              <w:spacing w:after="0" w:line="240" w:lineRule="auto"/>
              <w:rPr>
                <w:rFonts w:eastAsia="Calibri"/>
              </w:rPr>
            </w:pPr>
            <w:r w:rsidRPr="005F5895">
              <w:rPr>
                <w:rFonts w:eastAsia="Calibri"/>
              </w:rPr>
              <w:t>u. U.</w:t>
            </w:r>
          </w:p>
        </w:tc>
        <w:tc>
          <w:tcPr>
            <w:tcW w:w="7261" w:type="dxa"/>
          </w:tcPr>
          <w:p w14:paraId="2D111BD9" w14:textId="24B85EAD" w:rsidR="0077385B" w:rsidRDefault="0077385B">
            <w:pPr>
              <w:widowControl w:val="0"/>
              <w:spacing w:after="0" w:line="240" w:lineRule="auto"/>
            </w:pPr>
            <w:r w:rsidRPr="005F5895">
              <w:t>unter</w:t>
            </w:r>
            <w:r>
              <w:t xml:space="preserve"> Umständen</w:t>
            </w:r>
          </w:p>
        </w:tc>
      </w:tr>
      <w:tr w:rsidR="00AE4EA7" w14:paraId="71A1E56C" w14:textId="77777777" w:rsidTr="00E46391">
        <w:tc>
          <w:tcPr>
            <w:tcW w:w="1951" w:type="dxa"/>
          </w:tcPr>
          <w:p w14:paraId="655894E8" w14:textId="77777777" w:rsidR="00AE4EA7" w:rsidRDefault="00990A0B">
            <w:pPr>
              <w:widowControl w:val="0"/>
              <w:spacing w:after="0" w:line="240" w:lineRule="auto"/>
              <w:rPr>
                <w:rFonts w:ascii="Calibri" w:eastAsia="Calibri" w:hAnsi="Calibri"/>
              </w:rPr>
            </w:pPr>
            <w:r w:rsidRPr="005F5895">
              <w:rPr>
                <w:rFonts w:eastAsia="Calibri"/>
              </w:rPr>
              <w:t>vgl</w:t>
            </w:r>
            <w:r>
              <w:rPr>
                <w:rFonts w:eastAsia="Calibri"/>
              </w:rPr>
              <w:t>.</w:t>
            </w:r>
          </w:p>
        </w:tc>
        <w:tc>
          <w:tcPr>
            <w:tcW w:w="7261" w:type="dxa"/>
          </w:tcPr>
          <w:p w14:paraId="125568CB" w14:textId="77777777" w:rsidR="00AE4EA7" w:rsidRDefault="00990A0B">
            <w:pPr>
              <w:widowControl w:val="0"/>
              <w:spacing w:after="0" w:line="240" w:lineRule="auto"/>
              <w:rPr>
                <w:rFonts w:ascii="Calibri" w:eastAsia="Calibri" w:hAnsi="Calibri"/>
              </w:rPr>
            </w:pPr>
            <w:r w:rsidRPr="005F5895">
              <w:rPr>
                <w:rFonts w:eastAsia="Calibri"/>
              </w:rPr>
              <w:t>vergleiche</w:t>
            </w:r>
          </w:p>
        </w:tc>
      </w:tr>
      <w:tr w:rsidR="008362B2" w14:paraId="6CCC215B" w14:textId="77777777" w:rsidTr="00E46391">
        <w:tc>
          <w:tcPr>
            <w:tcW w:w="1951" w:type="dxa"/>
          </w:tcPr>
          <w:p w14:paraId="71B87F0E" w14:textId="7D71B46D" w:rsidR="008362B2" w:rsidRPr="005F5895" w:rsidRDefault="00C9364C">
            <w:pPr>
              <w:widowControl w:val="0"/>
              <w:spacing w:after="0" w:line="240" w:lineRule="auto"/>
              <w:rPr>
                <w:rFonts w:eastAsia="Calibri"/>
              </w:rPr>
            </w:pPr>
            <w:r>
              <w:rPr>
                <w:rFonts w:eastAsia="Calibri"/>
              </w:rPr>
              <w:t>v</w:t>
            </w:r>
            <w:r w:rsidR="008362B2">
              <w:rPr>
                <w:rFonts w:eastAsia="Calibri"/>
              </w:rPr>
              <w:t>s.</w:t>
            </w:r>
          </w:p>
        </w:tc>
        <w:tc>
          <w:tcPr>
            <w:tcW w:w="7261" w:type="dxa"/>
          </w:tcPr>
          <w:p w14:paraId="4DEF34DF" w14:textId="4EE27E22" w:rsidR="008362B2" w:rsidRPr="005F5895" w:rsidRDefault="008362B2">
            <w:pPr>
              <w:widowControl w:val="0"/>
              <w:spacing w:after="0" w:line="240" w:lineRule="auto"/>
              <w:rPr>
                <w:rFonts w:eastAsia="Calibri"/>
              </w:rPr>
            </w:pPr>
            <w:r>
              <w:rPr>
                <w:rFonts w:eastAsia="Calibri"/>
              </w:rPr>
              <w:t>v</w:t>
            </w:r>
            <w:r w:rsidRPr="008362B2">
              <w:rPr>
                <w:rFonts w:eastAsia="Calibri"/>
              </w:rPr>
              <w:t xml:space="preserve">ersus (lat. </w:t>
            </w:r>
            <w:r>
              <w:rPr>
                <w:rFonts w:eastAsia="Calibri"/>
              </w:rPr>
              <w:t>„</w:t>
            </w:r>
            <w:r w:rsidRPr="008362B2">
              <w:rPr>
                <w:rFonts w:eastAsia="Calibri"/>
              </w:rPr>
              <w:t>gegen</w:t>
            </w:r>
            <w:r>
              <w:rPr>
                <w:rFonts w:eastAsia="Calibri"/>
              </w:rPr>
              <w:t>“), wird häufig i. S. v. „</w:t>
            </w:r>
            <w:r w:rsidR="008000DF">
              <w:rPr>
                <w:rFonts w:eastAsia="Calibri"/>
              </w:rPr>
              <w:t>Objekt/Begriff</w:t>
            </w:r>
            <w:r w:rsidR="00C9364C">
              <w:rPr>
                <w:rFonts w:eastAsia="Calibri"/>
              </w:rPr>
              <w:t xml:space="preserve"> </w:t>
            </w:r>
            <w:r>
              <w:rPr>
                <w:rFonts w:eastAsia="Calibri"/>
              </w:rPr>
              <w:t>1 gegen</w:t>
            </w:r>
            <w:r w:rsidRPr="008362B2">
              <w:rPr>
                <w:rFonts w:eastAsia="Calibri"/>
              </w:rPr>
              <w:t>über</w:t>
            </w:r>
            <w:r>
              <w:rPr>
                <w:rFonts w:eastAsia="Calibri"/>
              </w:rPr>
              <w:t xml:space="preserve"> / im Vergleich zu </w:t>
            </w:r>
            <w:r w:rsidR="008000DF">
              <w:rPr>
                <w:rFonts w:eastAsia="Calibri"/>
              </w:rPr>
              <w:t>Objekt/Begriff</w:t>
            </w:r>
            <w:r w:rsidR="00C9364C">
              <w:rPr>
                <w:rFonts w:eastAsia="Calibri"/>
              </w:rPr>
              <w:t xml:space="preserve"> </w:t>
            </w:r>
            <w:r>
              <w:rPr>
                <w:rFonts w:eastAsia="Calibri"/>
              </w:rPr>
              <w:t>2“ verwendet</w:t>
            </w:r>
          </w:p>
        </w:tc>
      </w:tr>
      <w:tr w:rsidR="00AE4EA7" w14:paraId="7BD482A9" w14:textId="77777777" w:rsidTr="00E46391">
        <w:tc>
          <w:tcPr>
            <w:tcW w:w="1951" w:type="dxa"/>
          </w:tcPr>
          <w:p w14:paraId="6AEB4A7B" w14:textId="77777777" w:rsidR="00AE4EA7" w:rsidRDefault="00990A0B">
            <w:pPr>
              <w:widowControl w:val="0"/>
              <w:spacing w:after="0" w:line="240" w:lineRule="auto"/>
              <w:rPr>
                <w:rFonts w:ascii="Calibri" w:eastAsia="Calibri" w:hAnsi="Calibri"/>
              </w:rPr>
            </w:pPr>
            <w:r>
              <w:rPr>
                <w:rFonts w:eastAsia="Calibri"/>
              </w:rPr>
              <w:t>VO</w:t>
            </w:r>
          </w:p>
        </w:tc>
        <w:tc>
          <w:tcPr>
            <w:tcW w:w="7261" w:type="dxa"/>
          </w:tcPr>
          <w:p w14:paraId="5F954066" w14:textId="77777777" w:rsidR="00AE4EA7" w:rsidRDefault="00990A0B">
            <w:pPr>
              <w:widowControl w:val="0"/>
              <w:spacing w:after="0" w:line="240" w:lineRule="auto"/>
              <w:rPr>
                <w:rFonts w:ascii="Calibri" w:eastAsia="Calibri" w:hAnsi="Calibri"/>
              </w:rPr>
            </w:pPr>
            <w:r>
              <w:rPr>
                <w:rFonts w:eastAsia="Calibri"/>
              </w:rPr>
              <w:t>Verordnung</w:t>
            </w:r>
          </w:p>
        </w:tc>
      </w:tr>
      <w:tr w:rsidR="005F5895" w14:paraId="48B536A6" w14:textId="77777777" w:rsidTr="00E46391">
        <w:tc>
          <w:tcPr>
            <w:tcW w:w="1951" w:type="dxa"/>
          </w:tcPr>
          <w:p w14:paraId="25A327D8" w14:textId="222D5CE2" w:rsidR="005F5895" w:rsidRDefault="005F5895">
            <w:pPr>
              <w:widowControl w:val="0"/>
              <w:spacing w:after="0" w:line="240" w:lineRule="auto"/>
              <w:rPr>
                <w:rFonts w:eastAsia="Calibri"/>
              </w:rPr>
            </w:pPr>
            <w:r>
              <w:rPr>
                <w:rFonts w:eastAsia="Calibri"/>
              </w:rPr>
              <w:t>WRV</w:t>
            </w:r>
          </w:p>
        </w:tc>
        <w:tc>
          <w:tcPr>
            <w:tcW w:w="7261" w:type="dxa"/>
          </w:tcPr>
          <w:p w14:paraId="7F3C55D1" w14:textId="1196980B" w:rsidR="005F5895" w:rsidRDefault="005F5895" w:rsidP="005F5895">
            <w:pPr>
              <w:widowControl w:val="0"/>
              <w:spacing w:after="0" w:line="240" w:lineRule="auto"/>
              <w:jc w:val="left"/>
              <w:rPr>
                <w:rFonts w:eastAsia="Calibri"/>
              </w:rPr>
            </w:pPr>
            <w:r w:rsidRPr="005F5895">
              <w:rPr>
                <w:rFonts w:eastAsia="Calibri"/>
              </w:rPr>
              <w:t>Verfassung des Deutschen Reiches</w:t>
            </w:r>
            <w:r>
              <w:rPr>
                <w:rFonts w:eastAsia="Calibri"/>
              </w:rPr>
              <w:t xml:space="preserve"> </w:t>
            </w:r>
            <w:r w:rsidRPr="005F5895">
              <w:rPr>
                <w:rFonts w:eastAsia="Calibri"/>
              </w:rPr>
              <w:t>vom 11. August 1919</w:t>
            </w:r>
            <w:r>
              <w:rPr>
                <w:rFonts w:eastAsia="Calibri"/>
              </w:rPr>
              <w:br/>
              <w:t>(</w:t>
            </w:r>
            <w:r w:rsidRPr="005F5895">
              <w:rPr>
                <w:rFonts w:eastAsia="Calibri"/>
              </w:rPr>
              <w:t>Weimarer Verfassung</w:t>
            </w:r>
            <w:r>
              <w:rPr>
                <w:rFonts w:eastAsia="Calibri"/>
              </w:rPr>
              <w:t>,</w:t>
            </w:r>
            <w:r w:rsidRPr="005F5895">
              <w:rPr>
                <w:rFonts w:eastAsia="Calibri"/>
              </w:rPr>
              <w:t xml:space="preserve"> </w:t>
            </w:r>
            <w:r>
              <w:rPr>
                <w:rFonts w:eastAsia="Calibri"/>
              </w:rPr>
              <w:t xml:space="preserve">oder </w:t>
            </w:r>
            <w:r w:rsidRPr="005F5895">
              <w:rPr>
                <w:rFonts w:eastAsia="Calibri"/>
              </w:rPr>
              <w:t>auch Weimarer Reichsverfassung</w:t>
            </w:r>
            <w:r>
              <w:rPr>
                <w:rFonts w:eastAsia="Calibri"/>
              </w:rPr>
              <w:t xml:space="preserve"> genannt)</w:t>
            </w:r>
          </w:p>
        </w:tc>
      </w:tr>
      <w:tr w:rsidR="00AE4EA7" w14:paraId="63BFA7C9" w14:textId="77777777" w:rsidTr="00E46391">
        <w:tc>
          <w:tcPr>
            <w:tcW w:w="1951" w:type="dxa"/>
          </w:tcPr>
          <w:p w14:paraId="22A58608" w14:textId="77777777" w:rsidR="00AE4EA7" w:rsidRDefault="00990A0B">
            <w:pPr>
              <w:widowControl w:val="0"/>
              <w:spacing w:after="0" w:line="240" w:lineRule="auto"/>
              <w:rPr>
                <w:rFonts w:ascii="Calibri" w:eastAsia="Calibri" w:hAnsi="Calibri"/>
              </w:rPr>
            </w:pPr>
            <w:r w:rsidRPr="005F5895">
              <w:rPr>
                <w:rFonts w:eastAsia="Calibri"/>
              </w:rPr>
              <w:t>Ziff</w:t>
            </w:r>
            <w:r>
              <w:rPr>
                <w:rFonts w:eastAsia="Calibri"/>
              </w:rPr>
              <w:t>.</w:t>
            </w:r>
          </w:p>
        </w:tc>
        <w:tc>
          <w:tcPr>
            <w:tcW w:w="7261" w:type="dxa"/>
          </w:tcPr>
          <w:p w14:paraId="4313A577" w14:textId="77777777" w:rsidR="00AE4EA7" w:rsidRDefault="00990A0B">
            <w:pPr>
              <w:widowControl w:val="0"/>
              <w:spacing w:after="0" w:line="240" w:lineRule="auto"/>
              <w:rPr>
                <w:rFonts w:ascii="Calibri" w:eastAsia="Calibri" w:hAnsi="Calibri"/>
              </w:rPr>
            </w:pPr>
            <w:r>
              <w:rPr>
                <w:rFonts w:eastAsia="Calibri"/>
              </w:rPr>
              <w:t>Ziffer</w:t>
            </w:r>
          </w:p>
        </w:tc>
      </w:tr>
    </w:tbl>
    <w:p w14:paraId="4A94B6E4" w14:textId="77777777" w:rsidR="00AE4EA7" w:rsidRDefault="00AE4EA7"/>
    <w:p w14:paraId="689C9470" w14:textId="77777777" w:rsidR="00594B31" w:rsidRDefault="00594B31">
      <w:pPr>
        <w:spacing w:after="0" w:line="240" w:lineRule="auto"/>
        <w:jc w:val="left"/>
      </w:pPr>
      <w:r>
        <w:br w:type="page"/>
      </w:r>
    </w:p>
    <w:p w14:paraId="753DB798" w14:textId="77777777" w:rsidR="00937990" w:rsidRDefault="00937990" w:rsidP="00937990">
      <w:pPr>
        <w:pStyle w:val="berschrift1"/>
      </w:pPr>
      <w:bookmarkStart w:id="226" w:name="_Toc169934876"/>
      <w:r>
        <w:t>Literatur</w:t>
      </w:r>
      <w:bookmarkEnd w:id="226"/>
    </w:p>
    <w:p w14:paraId="5BB92F8A" w14:textId="081DF16F" w:rsidR="00937990" w:rsidRDefault="00CB6137" w:rsidP="00CB6137">
      <w:pPr>
        <w:pStyle w:val="berschrift2"/>
      </w:pPr>
      <w:bookmarkStart w:id="227" w:name="_Toc169934877"/>
      <w:r>
        <w:t>Internet</w:t>
      </w:r>
      <w:bookmarkEnd w:id="227"/>
    </w:p>
    <w:p w14:paraId="4FCC0289" w14:textId="7AF4FF1B" w:rsidR="00CB6137" w:rsidRDefault="00CB6137" w:rsidP="00CB6137">
      <w:pPr>
        <w:pStyle w:val="Listenabsatz"/>
        <w:numPr>
          <w:ilvl w:val="0"/>
          <w:numId w:val="18"/>
        </w:numPr>
        <w:ind w:left="426"/>
      </w:pPr>
      <w:r>
        <w:t xml:space="preserve">Wissenschaftliche Dienste Deutscher Bundestag. (2019) Gesetzgebungskompetenzen im Bereich des Krankenhausrechts. Online, zitiert am 2024-03-21; verfügbar unter </w:t>
      </w:r>
      <w:hyperlink r:id="rId14" w:history="1">
        <w:r w:rsidRPr="005F5895">
          <w:rPr>
            <w:rStyle w:val="Hyperlink"/>
          </w:rPr>
          <w:t>https://www.bundestag.de/resource/blob/648488/7920b181e85756ccdedff0334a18145b/WD-3-094-19-pdf-data.pdf</w:t>
        </w:r>
      </w:hyperlink>
    </w:p>
    <w:p w14:paraId="6E18A554" w14:textId="237AB9B4" w:rsidR="00CB6137" w:rsidRDefault="00CB6137" w:rsidP="00CB6137">
      <w:pPr>
        <w:pStyle w:val="Listenabsatz"/>
        <w:numPr>
          <w:ilvl w:val="0"/>
          <w:numId w:val="18"/>
        </w:numPr>
        <w:ind w:left="426"/>
      </w:pPr>
      <w:r>
        <w:t xml:space="preserve">Wissenschaftliche Dienste Deutscher Bundestag. (2022) Verfassungsrechtlicher Rahmen für die Regelung der stationären medizinischen Versorgung. Online, zitiert am 2024-03-21; verfügbar unter </w:t>
      </w:r>
      <w:hyperlink r:id="rId15" w:history="1">
        <w:r w:rsidRPr="005F5895">
          <w:rPr>
            <w:rStyle w:val="Hyperlink"/>
          </w:rPr>
          <w:t>https://www.bundestag.de/resource/blob/899852/e48e78cfe536ee972862bab82b8618e9/WD-3-054-22-pdf-data.pdf</w:t>
        </w:r>
      </w:hyperlink>
    </w:p>
    <w:p w14:paraId="5CA210FF" w14:textId="5C824B9E" w:rsidR="00CB6137" w:rsidRDefault="00CB6137" w:rsidP="00CB6137">
      <w:pPr>
        <w:pStyle w:val="Listenabsatz"/>
        <w:numPr>
          <w:ilvl w:val="0"/>
          <w:numId w:val="18"/>
        </w:numPr>
        <w:ind w:left="426"/>
      </w:pPr>
      <w:r>
        <w:t xml:space="preserve">Wissenschaftliche Dienste Deutscher Bundestag. (2019) Zur Frage der Gesetzgebungskompetenz des Bundes für den </w:t>
      </w:r>
      <w:r w:rsidRPr="005F5895">
        <w:t>Öffentlichen</w:t>
      </w:r>
      <w:r>
        <w:t xml:space="preserve"> Gesundheitsdienst. Online, zitiert am 2024-03-21; verfügbar unter </w:t>
      </w:r>
      <w:hyperlink r:id="rId16" w:history="1">
        <w:r w:rsidRPr="005F5895">
          <w:rPr>
            <w:rStyle w:val="Hyperlink"/>
          </w:rPr>
          <w:t>https://www.bundestag.de/resource/blob/657236/c82ba2db1cd763e2f46439828d73c4e0/WD-9-043-19-pdf-data.pdf</w:t>
        </w:r>
      </w:hyperlink>
    </w:p>
    <w:p w14:paraId="04172B9B" w14:textId="2C1F4330" w:rsidR="00CB6137" w:rsidRDefault="00CB6137" w:rsidP="00CB6137">
      <w:pPr>
        <w:pStyle w:val="Listenabsatz"/>
        <w:numPr>
          <w:ilvl w:val="0"/>
          <w:numId w:val="18"/>
        </w:numPr>
        <w:ind w:left="426"/>
      </w:pPr>
      <w:r>
        <w:t xml:space="preserve">Wollenschläger F. (2023) Verfassungskonformität der Reform der Krankenhausplanung auf der Basis der dritten Stellungnahme und Empfehlung der Regierungskommission für eine moderne und bedarfsgerechte Krankenhausversorgung „Grundlegende Reform der Krankenhausvergütung“. Online, zitiert am 2024-03-21; verfügbar unter </w:t>
      </w:r>
      <w:hyperlink r:id="rId17" w:history="1">
        <w:r w:rsidRPr="005F5895">
          <w:rPr>
            <w:rStyle w:val="Hyperlink"/>
          </w:rPr>
          <w:t>https://www.stmgp.bayern.de/wp-content/uploads/2023/04/gutachten_verfassungskonformitaet_krankenhausplanung.pdf</w:t>
        </w:r>
      </w:hyperlink>
    </w:p>
    <w:p w14:paraId="2817A8CD" w14:textId="1DDC53CF" w:rsidR="00C9364C" w:rsidRDefault="00C9364C" w:rsidP="00C9364C">
      <w:pPr>
        <w:pStyle w:val="Listenabsatz"/>
        <w:numPr>
          <w:ilvl w:val="0"/>
          <w:numId w:val="18"/>
        </w:numPr>
        <w:ind w:left="426"/>
      </w:pPr>
      <w:r>
        <w:t xml:space="preserve">Wissenschaftlichen Dienste dt. Bundestag: WD 9 - 020/22 Gesetzgebungskompetenzen im Bereich des Rettungswesens (2022-03-07). Online, zitiert am 2024-06-18; verfügbar unter </w:t>
      </w:r>
      <w:hyperlink r:id="rId18" w:history="1">
        <w:r w:rsidRPr="00437AA9">
          <w:rPr>
            <w:rStyle w:val="Hyperlink"/>
          </w:rPr>
          <w:t>https://www.bundestag.de/resource/blob/897344/b02aad2f6e6f696144af1a86966f5d94/WD-9-020-22-pdf.pdf</w:t>
        </w:r>
      </w:hyperlink>
    </w:p>
    <w:p w14:paraId="25301858" w14:textId="009C9604" w:rsidR="00CB6137" w:rsidRDefault="00C9364C" w:rsidP="00C9364C">
      <w:pPr>
        <w:pStyle w:val="Listenabsatz"/>
        <w:numPr>
          <w:ilvl w:val="0"/>
          <w:numId w:val="18"/>
        </w:numPr>
        <w:ind w:left="426"/>
      </w:pPr>
      <w:r>
        <w:t xml:space="preserve">Wissenschaftlichen Dienste dt. Bundestag: WD 9 - 049/22 Ausbildung und Berufsausübung von Rettungssanitätern (2022-09-20). Online, zitiert am 2024-06-18; verfügbar unter </w:t>
      </w:r>
      <w:hyperlink r:id="rId19" w:history="1">
        <w:r w:rsidRPr="00437AA9">
          <w:rPr>
            <w:rStyle w:val="Hyperlink"/>
          </w:rPr>
          <w:t>https://www.bundestag.de/resource/blob/912896/e896cc1c5c4599645ff6b1cbb4fd3deb/WD-9-049-22-pdf.pdf</w:t>
        </w:r>
      </w:hyperlink>
    </w:p>
    <w:p w14:paraId="5E4EF3B8" w14:textId="77777777" w:rsidR="00C9364C" w:rsidRPr="00CB6137" w:rsidRDefault="00C9364C" w:rsidP="00C9364C"/>
    <w:p w14:paraId="6A619B92" w14:textId="77777777" w:rsidR="00937990" w:rsidRDefault="00937990" w:rsidP="00937990"/>
    <w:p w14:paraId="22CD51A1" w14:textId="77777777" w:rsidR="00FB677D" w:rsidRDefault="00FB677D" w:rsidP="00937990">
      <w:pPr>
        <w:sectPr w:rsidR="00FB677D" w:rsidSect="00FE2688">
          <w:headerReference w:type="default" r:id="rId20"/>
          <w:footerReference w:type="default" r:id="rId21"/>
          <w:pgSz w:w="11906" w:h="16838"/>
          <w:pgMar w:top="1417" w:right="1417" w:bottom="1134" w:left="1417" w:header="708" w:footer="708" w:gutter="0"/>
          <w:pgNumType w:start="1"/>
          <w:cols w:space="720"/>
          <w:formProt w:val="0"/>
          <w:docGrid w:linePitch="360" w:charSpace="4096"/>
        </w:sectPr>
      </w:pPr>
    </w:p>
    <w:p w14:paraId="3485EC36" w14:textId="77777777" w:rsidR="00F11B80" w:rsidRDefault="00F11B80">
      <w:pPr>
        <w:pStyle w:val="Anhang"/>
        <w:numPr>
          <w:ilvl w:val="0"/>
          <w:numId w:val="40"/>
        </w:numPr>
      </w:pPr>
      <w:bookmarkStart w:id="228" w:name="_Ref164680868"/>
      <w:bookmarkStart w:id="229" w:name="_Toc169934878"/>
      <w:r>
        <w:t>Abdingbarkeit der Sicherheit der Verarbeitung</w:t>
      </w:r>
      <w:bookmarkEnd w:id="228"/>
      <w:bookmarkEnd w:id="229"/>
    </w:p>
    <w:p w14:paraId="60B66D44" w14:textId="6EB24C76" w:rsidR="00AF6483" w:rsidRDefault="00AF6483" w:rsidP="00865786">
      <w:r>
        <w:t xml:space="preserve">Die Frage, ob das Niveau der IT-Sicherheit durch Einwilligung abgesenkt werden kann, wird gerade in Deutschland immer wieder angesprochen, </w:t>
      </w:r>
      <w:r w:rsidR="00D35341">
        <w:t xml:space="preserve">wurde </w:t>
      </w:r>
      <w:r>
        <w:t>schon unter dem „alten“ Bundesdatenschutzgesetz</w:t>
      </w:r>
      <w:r>
        <w:rPr>
          <w:rStyle w:val="Funotenzeichen"/>
        </w:rPr>
        <w:footnoteReference w:id="93"/>
      </w:r>
      <w:r>
        <w:t xml:space="preserve"> diskutiert.</w:t>
      </w:r>
      <w:r w:rsidR="00865786">
        <w:t xml:space="preserve"> Die herrschende Literatur ist der Ansicht, dass </w:t>
      </w:r>
      <w:r w:rsidR="00337C0B">
        <w:t>Art. </w:t>
      </w:r>
      <w:r w:rsidR="00865786">
        <w:t>32 DS-GVO nicht disponibel bzw. abdingbar ist.</w:t>
      </w:r>
      <w:r w:rsidR="00865786">
        <w:rPr>
          <w:rStyle w:val="Funotenzeichen"/>
        </w:rPr>
        <w:footnoteReference w:id="94"/>
      </w:r>
      <w:r w:rsidR="00865786">
        <w:t xml:space="preserve"> Dies sagt aber zugleich aus, dass es auch davon abweichende Meinungen gibt.</w:t>
      </w:r>
      <w:r w:rsidR="00877C39">
        <w:t xml:space="preserve"> Neben der DS-GVO werden in diversen Rechtsakten der EU wie auch des deutschen Gesetzgebers Mindestanforderungen bestimmt, welche anzuwenden sind. IT-Sicherheit ist somit keine Anforderung, die nur und ausschließlich von der DS-GVO bestimmt wird, sondern es müssen darüber hinaus auch andere Rechtsakte beachtet werden.</w:t>
      </w:r>
    </w:p>
    <w:p w14:paraId="66CBA29C" w14:textId="64D975A5" w:rsidR="00877C39" w:rsidRDefault="00865786" w:rsidP="00877C39">
      <w:r>
        <w:t xml:space="preserve">Im Folgenden soll betrachtet werden, </w:t>
      </w:r>
      <w:r w:rsidR="00877C39">
        <w:t>welche Rechtsakte u.</w:t>
      </w:r>
      <w:r w:rsidR="001D7978">
        <w:t> </w:t>
      </w:r>
      <w:r w:rsidR="00877C39">
        <w:t xml:space="preserve">a. hinsichtlich der Gewährleistung der IT-Sicherheit zu beachten sind und ob die gesetzlichen Vorgaben durch eine datenschutzrechtliche Einwilligung abgeschwächt werden dürfen. Diese Diskussion soll </w:t>
      </w:r>
      <w:r>
        <w:t>Verantwortliche informier</w:t>
      </w:r>
      <w:r w:rsidR="00877C39">
        <w:t>en, damit diese ihre Entscheidung</w:t>
      </w:r>
      <w:r>
        <w:t>, wie sie mit dem Thema umgehen wollen</w:t>
      </w:r>
      <w:r w:rsidR="00877C39">
        <w:t>, informierter treffen können</w:t>
      </w:r>
      <w:r>
        <w:t>.</w:t>
      </w:r>
    </w:p>
    <w:p w14:paraId="3B61A718" w14:textId="26AB50D2" w:rsidR="00865786" w:rsidRPr="00AF6483" w:rsidRDefault="00865786" w:rsidP="00877C39">
      <w:r>
        <w:t>Dazu werden zunächst die</w:t>
      </w:r>
      <w:r w:rsidR="00877C39">
        <w:t xml:space="preserve"> wichtigsten europäischen und deutschen</w:t>
      </w:r>
      <w:r>
        <w:t xml:space="preserve"> gesetzlichen Rahmenbedingungen </w:t>
      </w:r>
      <w:r w:rsidR="00877C39">
        <w:t xml:space="preserve">für die Gesundheitsversorgung </w:t>
      </w:r>
      <w:r>
        <w:t xml:space="preserve">kurz dargestellt, danach </w:t>
      </w:r>
      <w:r w:rsidR="00901E1F">
        <w:t xml:space="preserve">kurz auf die </w:t>
      </w:r>
      <w:r>
        <w:t>Rechtsprechung zu</w:t>
      </w:r>
      <w:r w:rsidR="00877C39">
        <w:t xml:space="preserve"> den datenschutzrechtlichen Aspekten (die meisten anderen Regelungen sind zu neu, als dass sich bereits Gerichte mit Fragen aus der Gesetzgebung befassten)</w:t>
      </w:r>
      <w:r w:rsidR="00901E1F">
        <w:t xml:space="preserve"> eingegangen</w:t>
      </w:r>
      <w:r>
        <w:t>, gefolgt von der Sichtweise verschiedener Datenschutz-Aufsichtsbehörden</w:t>
      </w:r>
      <w:r w:rsidR="00877C39">
        <w:t>, die sich aber naturgemäß nur mit der datenschutzrechtlichen Thematik befassen</w:t>
      </w:r>
      <w:r>
        <w:t>. Abschließend werden die Punkte diskutiert und in einem Fazit wesentliche Punkte festgehalten.</w:t>
      </w:r>
    </w:p>
    <w:p w14:paraId="09AD890C" w14:textId="611A4FAF" w:rsidR="003B642E" w:rsidRPr="003B642E" w:rsidRDefault="003B642E" w:rsidP="003B642E">
      <w:pPr>
        <w:pStyle w:val="Anhang2"/>
      </w:pPr>
      <w:bookmarkStart w:id="230" w:name="_Toc169934879"/>
      <w:r>
        <w:t xml:space="preserve">Die </w:t>
      </w:r>
      <w:r w:rsidR="0012289B">
        <w:t xml:space="preserve">gesetzlichen </w:t>
      </w:r>
      <w:r>
        <w:t>Vorgaben</w:t>
      </w:r>
      <w:bookmarkEnd w:id="230"/>
    </w:p>
    <w:p w14:paraId="24F188DC" w14:textId="77777777" w:rsidR="004430A8" w:rsidRDefault="004430A8" w:rsidP="0012289B">
      <w:pPr>
        <w:pStyle w:val="Anhang3"/>
      </w:pPr>
      <w:bookmarkStart w:id="231" w:name="_Toc169934880"/>
      <w:r>
        <w:t>Europäisches Recht</w:t>
      </w:r>
      <w:bookmarkEnd w:id="231"/>
    </w:p>
    <w:p w14:paraId="0095ACE9" w14:textId="7D75B578" w:rsidR="00E45D66" w:rsidRDefault="00337C0B" w:rsidP="00E45D66">
      <w:r>
        <w:t>Art. </w:t>
      </w:r>
      <w:r w:rsidR="00E45D66">
        <w:t>24, 25 und 32 DS-GVO verpflichtet Verantwortliche, geeignete technische und organisatorische Maßnahmen zu treffen, welche ein angemesseneres Schutzniveau gewährleisten.</w:t>
      </w:r>
    </w:p>
    <w:p w14:paraId="63210317" w14:textId="461842D4" w:rsidR="0012289B" w:rsidRDefault="00337C0B" w:rsidP="003B642E">
      <w:r>
        <w:t>Art. </w:t>
      </w:r>
      <w:r w:rsidR="0012289B">
        <w:t xml:space="preserve">24 </w:t>
      </w:r>
      <w:r>
        <w:t>Abs. </w:t>
      </w:r>
      <w:r w:rsidR="0012289B">
        <w:t>1 DS-GVO verlangt, dass der Verantwortliche „</w:t>
      </w:r>
      <w:r w:rsidR="0012289B" w:rsidRPr="0012289B">
        <w:t>unter Berücksichtigung der Art, des Umfangs, der Umstände und der Zwecke der Verarbeitung sowie der unterschiedlichen Eintrittswahrscheinlichkeit und Schwere der Risiken für die Rechte und Freiheiten natürlicher Personen geeignete technische und organisatorische Maßnahme</w:t>
      </w:r>
      <w:r w:rsidR="0012289B">
        <w:t xml:space="preserve">n“ umsetzt. Alle </w:t>
      </w:r>
      <w:r w:rsidR="0012289B" w:rsidRPr="0012289B">
        <w:t>Maßnahmen</w:t>
      </w:r>
      <w:r w:rsidR="00F93265">
        <w:t xml:space="preserve"> </w:t>
      </w:r>
      <w:r w:rsidR="0012289B">
        <w:t xml:space="preserve">müssen berücksichtigen, dass </w:t>
      </w:r>
      <w:r w:rsidR="0012289B" w:rsidRPr="0012289B">
        <w:t xml:space="preserve">die Verarbeitung in Übereinstimmung mit den Vorgaben der DS-GVO </w:t>
      </w:r>
      <w:r w:rsidR="0012289B">
        <w:t xml:space="preserve">durchgeführt wird. </w:t>
      </w:r>
      <w:r>
        <w:t>Art. </w:t>
      </w:r>
      <w:r w:rsidR="0012289B">
        <w:t xml:space="preserve">24 </w:t>
      </w:r>
      <w:r>
        <w:t>Abs. </w:t>
      </w:r>
      <w:r w:rsidR="0012289B" w:rsidRPr="0012289B">
        <w:t xml:space="preserve">2 </w:t>
      </w:r>
      <w:r w:rsidR="0012289B">
        <w:t xml:space="preserve">DS-GVO </w:t>
      </w:r>
      <w:r w:rsidR="0012289B" w:rsidRPr="0012289B">
        <w:t xml:space="preserve">hebt das Gebot für die Datenschutzvorkehrungen </w:t>
      </w:r>
      <w:r w:rsidR="0012289B">
        <w:t xml:space="preserve">sogar </w:t>
      </w:r>
      <w:r w:rsidR="0012289B" w:rsidRPr="0012289B">
        <w:t>ausdr</w:t>
      </w:r>
      <w:r w:rsidR="0012289B">
        <w:t xml:space="preserve">ücklich </w:t>
      </w:r>
      <w:r w:rsidR="0012289B" w:rsidRPr="0012289B">
        <w:t>hervor</w:t>
      </w:r>
      <w:r w:rsidR="0012289B">
        <w:t xml:space="preserve">, die Maßnahmen müssen </w:t>
      </w:r>
      <w:r w:rsidR="0012289B" w:rsidRPr="0012289B">
        <w:t>„in einem angemessenen Verhältnis“</w:t>
      </w:r>
      <w:r w:rsidR="0012289B">
        <w:t xml:space="preserve"> </w:t>
      </w:r>
      <w:r w:rsidR="0012289B" w:rsidRPr="0012289B">
        <w:t>zu den Verarbeitungstätigkeiten</w:t>
      </w:r>
      <w:r w:rsidR="0012289B">
        <w:t xml:space="preserve"> und den mit diesen verbundenen Risiken </w:t>
      </w:r>
      <w:r w:rsidR="0012289B" w:rsidRPr="0012289B">
        <w:t>steh</w:t>
      </w:r>
      <w:r w:rsidR="0012289B">
        <w:t xml:space="preserve">en. Zugleich enthält </w:t>
      </w:r>
      <w:r>
        <w:t>Art. </w:t>
      </w:r>
      <w:r w:rsidR="0012289B" w:rsidRPr="0012289B">
        <w:t xml:space="preserve">24 </w:t>
      </w:r>
      <w:r>
        <w:t>Abs. </w:t>
      </w:r>
      <w:r w:rsidR="0012289B" w:rsidRPr="0012289B">
        <w:t>1 S.</w:t>
      </w:r>
      <w:r w:rsidR="0012289B">
        <w:t> </w:t>
      </w:r>
      <w:r w:rsidR="0012289B" w:rsidRPr="0012289B">
        <w:t xml:space="preserve">1 </w:t>
      </w:r>
      <w:r w:rsidR="0012289B">
        <w:t>DS-GVO eine Nachweispflicht.</w:t>
      </w:r>
    </w:p>
    <w:p w14:paraId="157A4D55" w14:textId="0F52A28E" w:rsidR="003B642E" w:rsidRDefault="00993484" w:rsidP="003B642E">
      <w:r>
        <w:t xml:space="preserve">Entsprechend </w:t>
      </w:r>
      <w:r w:rsidR="00337C0B">
        <w:t>Art. </w:t>
      </w:r>
      <w:r>
        <w:t>25 DS-GVO muss der Verantwortliche für die gesamte Dauer der Verarbeitung -</w:t>
      </w:r>
      <w:r w:rsidRPr="00C20724">
        <w:t>d.</w:t>
      </w:r>
      <w:r w:rsidR="00C20724" w:rsidRPr="00C20724">
        <w:t> </w:t>
      </w:r>
      <w:r w:rsidRPr="00C20724">
        <w:t>h.</w:t>
      </w:r>
      <w:r>
        <w:t xml:space="preserve"> von der Planung der Verarbeitung bis zur Beendigung der Verarbeitung inkl. der Löschung aller Daten - geeignete Maßnahmen treffen, um zu gewährleisten, dass alle Rechte betroffener Personen geschützt sind und die DS-GVO vollständig eingehalten wird.</w:t>
      </w:r>
      <w:r w:rsidR="0012289B">
        <w:t xml:space="preserve"> Die zu berücksichtigenden Faktoren für die Bewertung der Geeignetheit von </w:t>
      </w:r>
      <w:r w:rsidR="0012289B" w:rsidRPr="0012289B">
        <w:t>technische</w:t>
      </w:r>
      <w:r w:rsidR="0012289B">
        <w:t>n</w:t>
      </w:r>
      <w:r w:rsidR="0012289B" w:rsidRPr="0012289B">
        <w:t xml:space="preserve"> und organisatorische</w:t>
      </w:r>
      <w:r w:rsidR="0012289B">
        <w:t>n</w:t>
      </w:r>
      <w:r w:rsidR="0012289B" w:rsidRPr="0012289B">
        <w:t xml:space="preserve"> Maßnahmen</w:t>
      </w:r>
      <w:r w:rsidR="0012289B">
        <w:t xml:space="preserve"> werden in </w:t>
      </w:r>
      <w:r w:rsidR="00337C0B">
        <w:t>Art. </w:t>
      </w:r>
      <w:r w:rsidR="0012289B">
        <w:t xml:space="preserve">25 </w:t>
      </w:r>
      <w:r w:rsidR="00337C0B">
        <w:t>Abs. </w:t>
      </w:r>
      <w:r w:rsidR="0012289B">
        <w:t>1 DS-GVO abschließend genannt, die Einwilligung ist nicht dabei.</w:t>
      </w:r>
    </w:p>
    <w:p w14:paraId="583072F3" w14:textId="10644EFA" w:rsidR="0012289B" w:rsidRDefault="00337C0B" w:rsidP="003B642E">
      <w:r>
        <w:t>Art. </w:t>
      </w:r>
      <w:r w:rsidR="0012289B" w:rsidRPr="0012289B">
        <w:t>32</w:t>
      </w:r>
      <w:r w:rsidR="0012289B">
        <w:t xml:space="preserve"> DS-GVO </w:t>
      </w:r>
      <w:r w:rsidR="0012289B" w:rsidRPr="0012289B">
        <w:t xml:space="preserve">formt den </w:t>
      </w:r>
      <w:r w:rsidR="0012289B">
        <w:t xml:space="preserve">in </w:t>
      </w:r>
      <w:r>
        <w:t>Art. </w:t>
      </w:r>
      <w:r w:rsidR="0012289B" w:rsidRPr="0012289B">
        <w:t xml:space="preserve">5 </w:t>
      </w:r>
      <w:r>
        <w:t>Abs. </w:t>
      </w:r>
      <w:r w:rsidR="0012289B" w:rsidRPr="0012289B">
        <w:t xml:space="preserve">1 </w:t>
      </w:r>
      <w:r>
        <w:t>lit. </w:t>
      </w:r>
      <w:r w:rsidR="0012289B" w:rsidRPr="0012289B">
        <w:t>f</w:t>
      </w:r>
      <w:r w:rsidR="0012289B">
        <w:t xml:space="preserve"> DS-GVO befindlichen allgemeinen Grundsatz</w:t>
      </w:r>
      <w:r w:rsidR="0012289B" w:rsidRPr="0012289B">
        <w:t xml:space="preserve"> der Integrität und Vertraulichkeit näher aus</w:t>
      </w:r>
      <w:r w:rsidR="0012289B">
        <w:t xml:space="preserve"> und verlangt</w:t>
      </w:r>
      <w:r w:rsidR="00C20724">
        <w:t>, dass</w:t>
      </w:r>
      <w:r w:rsidR="0012289B">
        <w:t xml:space="preserve"> </w:t>
      </w:r>
      <w:r w:rsidR="0012289B" w:rsidRPr="0012289B">
        <w:t xml:space="preserve">ein angemessenes </w:t>
      </w:r>
      <w:r w:rsidR="0012289B" w:rsidRPr="00C20724">
        <w:t>Schutzniveau</w:t>
      </w:r>
      <w:r w:rsidR="0012289B" w:rsidRPr="0012289B">
        <w:t xml:space="preserve"> für die Sicherheit personenbezogener Daten gewährleiste</w:t>
      </w:r>
      <w:r w:rsidR="00C20724">
        <w:t>t wird</w:t>
      </w:r>
      <w:r w:rsidR="0012289B">
        <w:t xml:space="preserve">. </w:t>
      </w:r>
      <w:r w:rsidR="0012289B" w:rsidRPr="0012289B">
        <w:t xml:space="preserve">Die Risiken, die durch Vernichtung, Verlust, Veränderung oder unbefugte Offenlegung personenbezogener Daten entstehen können, müssen Verantwortliche </w:t>
      </w:r>
      <w:r w:rsidR="0012289B">
        <w:t xml:space="preserve">– </w:t>
      </w:r>
      <w:r w:rsidR="0012289B" w:rsidRPr="0012289B">
        <w:t xml:space="preserve">und </w:t>
      </w:r>
      <w:r w:rsidR="0012289B">
        <w:t xml:space="preserve">auch deren </w:t>
      </w:r>
      <w:r w:rsidR="0012289B" w:rsidRPr="0012289B">
        <w:t xml:space="preserve">Auftragsverarbeiter </w:t>
      </w:r>
      <w:r w:rsidR="0012289B">
        <w:t xml:space="preserve">- </w:t>
      </w:r>
      <w:r w:rsidR="0012289B" w:rsidRPr="0012289B">
        <w:t>als Faktoren bei der Wahl ihrer Schutzmaßnahmen in Rechnung stellen</w:t>
      </w:r>
      <w:r w:rsidR="0012289B">
        <w:t>, denn eine einzige Schwachstelle kann den gesamten Schutz beeinträchtigen. Wird daher auch nur in einem einzigen Einzelfall das Schutzniveau gesenkt, müssen die Auswertungen betrachtet und in Form einer Risikobetrachtung dargestellt werden. Beispielsweise kann das Öffnen eines Mailanhangs diverse Schadsoftware den Weg in die eigentlich gesicherte IT-Umgebung ebnen.</w:t>
      </w:r>
    </w:p>
    <w:p w14:paraId="2767A54F" w14:textId="554AAA19" w:rsidR="0012289B" w:rsidRDefault="00337C0B" w:rsidP="003B642E">
      <w:r>
        <w:t>Art. </w:t>
      </w:r>
      <w:r w:rsidR="0012289B">
        <w:t>24, 25 und 32 DS-GVO weisen Verantwortlichen Pflichten zu, o</w:t>
      </w:r>
      <w:r w:rsidR="0012289B" w:rsidRPr="0012289B">
        <w:t xml:space="preserve">hne diese </w:t>
      </w:r>
      <w:r w:rsidR="0012289B">
        <w:t xml:space="preserve">Pflichten </w:t>
      </w:r>
      <w:r w:rsidR="0012289B" w:rsidRPr="0012289B">
        <w:t xml:space="preserve">von einer Zustimmung </w:t>
      </w:r>
      <w:r w:rsidR="0012289B">
        <w:t xml:space="preserve">der betroffenen Personen </w:t>
      </w:r>
      <w:r w:rsidR="0012289B" w:rsidRPr="0012289B">
        <w:t>abhängig zu machen</w:t>
      </w:r>
      <w:r w:rsidR="0012289B">
        <w:t xml:space="preserve">, wie es der Gesetzgeber beispielsweise als Ausnahme in </w:t>
      </w:r>
      <w:r>
        <w:t>Art. </w:t>
      </w:r>
      <w:r w:rsidR="0012289B">
        <w:t xml:space="preserve">49 </w:t>
      </w:r>
      <w:r>
        <w:t>Abs. </w:t>
      </w:r>
      <w:r w:rsidR="0012289B">
        <w:t xml:space="preserve">1 </w:t>
      </w:r>
      <w:r>
        <w:t>lit. </w:t>
      </w:r>
      <w:r w:rsidR="0012289B">
        <w:t>a DS-GVO bei der Drittlandübermittlung tat</w:t>
      </w:r>
      <w:r w:rsidR="0012289B" w:rsidRPr="0012289B">
        <w:t xml:space="preserve">. Die rechtfertigende Wirkung, </w:t>
      </w:r>
      <w:r w:rsidR="0012289B">
        <w:t>welche</w:t>
      </w:r>
      <w:r w:rsidR="0012289B" w:rsidRPr="0012289B">
        <w:t xml:space="preserve"> </w:t>
      </w:r>
      <w:r>
        <w:t>Art. </w:t>
      </w:r>
      <w:r w:rsidR="0012289B" w:rsidRPr="0012289B">
        <w:t xml:space="preserve">6 </w:t>
      </w:r>
      <w:r>
        <w:t>Abs. </w:t>
      </w:r>
      <w:r w:rsidR="0012289B" w:rsidRPr="0012289B">
        <w:t xml:space="preserve">1 </w:t>
      </w:r>
      <w:r>
        <w:t>lit. </w:t>
      </w:r>
      <w:r w:rsidR="0012289B" w:rsidRPr="0012289B">
        <w:t xml:space="preserve">a </w:t>
      </w:r>
      <w:r w:rsidR="0012289B">
        <w:t xml:space="preserve">DS-GVO </w:t>
      </w:r>
      <w:r w:rsidR="0012289B" w:rsidRPr="0012289B">
        <w:t xml:space="preserve">der Einwilligung zugesteht, bezieht sich </w:t>
      </w:r>
      <w:r w:rsidR="0012289B">
        <w:t xml:space="preserve">ausschließlich </w:t>
      </w:r>
      <w:r w:rsidR="0012289B" w:rsidRPr="0012289B">
        <w:t>auf das „Ob“ der Verarbeitung, nicht aber auch auf das „Wie“</w:t>
      </w:r>
      <w:r w:rsidR="0012289B">
        <w:t>.</w:t>
      </w:r>
    </w:p>
    <w:p w14:paraId="0392A87F" w14:textId="7743A22F" w:rsidR="004430A8" w:rsidRDefault="004430A8" w:rsidP="004430A8">
      <w:r>
        <w:t xml:space="preserve">Am </w:t>
      </w:r>
      <w:r w:rsidRPr="004430A8">
        <w:t xml:space="preserve">12. März 2024 </w:t>
      </w:r>
      <w:r>
        <w:t xml:space="preserve">wurde die </w:t>
      </w:r>
      <w:r w:rsidRPr="004430A8">
        <w:t>Verordnung des Europäischen Parlaments und des Rates über horizontale Cybersicherheitsanforderungen für Produkte mit digitalen Elementen</w:t>
      </w:r>
      <w:r>
        <w:t xml:space="preserve"> („</w:t>
      </w:r>
      <w:r w:rsidRPr="004430A8">
        <w:t>Cyber Resilience Act</w:t>
      </w:r>
      <w:r>
        <w:t>“) angenommen,</w:t>
      </w:r>
      <w:r>
        <w:rPr>
          <w:rStyle w:val="Funotenzeichen"/>
        </w:rPr>
        <w:footnoteReference w:id="95"/>
      </w:r>
      <w:r>
        <w:t xml:space="preserve"> bisher aber noch </w:t>
      </w:r>
      <w:r w:rsidR="001D7978">
        <w:t>n</w:t>
      </w:r>
      <w:r>
        <w:t xml:space="preserve">icht im EU-Amtsblatt veröffentlicht und damit noch nicht rechtskräftig. </w:t>
      </w:r>
      <w:r w:rsidR="00901E1F">
        <w:t xml:space="preserve">Der </w:t>
      </w:r>
      <w:r w:rsidR="00901E1F" w:rsidRPr="00901E1F">
        <w:t>Cyber Resilience Act</w:t>
      </w:r>
      <w:r>
        <w:t xml:space="preserve"> gilt nicht für (Art. 2 Abs. 2-4) Verordnung (EU) 2017/745 (Medizinprodukte), Verordnung (EU) 2017/746 (In-vitro-Diagnostika), Verordnung (EU) 2019/2144 (Typgenehmigung von Kraftfahrzeugen und Kraftfahrzeuganhängern usw.), Verordnung (EU) 2018/1139 (Zivilluftfahrt), Richtlinie 2014/90/EU (Schiffsausrüstung). Dementsprec</w:t>
      </w:r>
      <w:r w:rsidR="00904EF3">
        <w:t>h</w:t>
      </w:r>
      <w:r>
        <w:t>end gilt die Verordnung für alle medizinischen IT-Systeme, die keine Medizinprodukte darstellen.</w:t>
      </w:r>
    </w:p>
    <w:p w14:paraId="44F836BE" w14:textId="2E7D3352" w:rsidR="004430A8" w:rsidRDefault="004430A8" w:rsidP="003B642E">
      <w:r>
        <w:t xml:space="preserve">Grundsätzlich betrifft die Verordnung in erster Linie Hersteller bzw. Händler/Akteure, welche entsprechende Produkte auf dem europäischen Markt bereitstellen. Gemäß Art. 6 </w:t>
      </w:r>
      <w:r w:rsidRPr="004430A8">
        <w:t>Cyber Resilience Act</w:t>
      </w:r>
      <w:r>
        <w:t xml:space="preserve"> müssen aber bei der </w:t>
      </w:r>
      <w:r w:rsidRPr="004430A8">
        <w:t>Beschaffung oder Nutzung von Produkten mit digitalen Elementen</w:t>
      </w:r>
      <w:r>
        <w:t xml:space="preserve"> (=</w:t>
      </w:r>
      <w:r w:rsidR="00F93265">
        <w:t> </w:t>
      </w:r>
      <w:r w:rsidRPr="004430A8">
        <w:t>Software- oder Hardwareprodukt</w:t>
      </w:r>
      <w:r>
        <w:t xml:space="preserve">e) zwingend die in Anhang I und II vorgegebenen „grundlegenden Anforderungen“ umgesetzt werden (Art. 6). Zu den Vorgaben für Nutzer entsprechender Produkte gehört u. a. der Umgang mit Sicherheits-Schwachstellen, aber auch grundlegende Anforderungen an die IT-Sicherheit wie beispielsweise </w:t>
      </w:r>
      <w:r w:rsidRPr="004430A8">
        <w:t>Authentifizierungs-, Identitäts- oder Zugangsverwaltungssysteme</w:t>
      </w:r>
      <w:r>
        <w:t>, welche die Software unterstützen muss. Indirekt entstehen mit diesen gesetzlich vorgegebenen Möglichkeiten, die Software bei der Nutzung bereitstellen muss, auch Anforderungen an die Nutzer bzgl. des Umgangs mit diesen Möglichkeiten.</w:t>
      </w:r>
    </w:p>
    <w:p w14:paraId="280A4FEC" w14:textId="33C51CE7" w:rsidR="004430A8" w:rsidRDefault="004430A8" w:rsidP="003B642E">
      <w:r>
        <w:t>Die NIS-2-Richtlinie</w:t>
      </w:r>
      <w:r>
        <w:rPr>
          <w:rStyle w:val="Funotenzeichen"/>
        </w:rPr>
        <w:footnoteReference w:id="96"/>
      </w:r>
      <w:r>
        <w:t>, welche bis zum 17. Oktober 2024 in deutsches Recht umgesetz</w:t>
      </w:r>
      <w:r w:rsidR="001D7978">
        <w:t>t</w:t>
      </w:r>
      <w:r>
        <w:t xml:space="preserve"> werden muss,</w:t>
      </w:r>
      <w:r>
        <w:rPr>
          <w:rStyle w:val="Funotenzeichen"/>
        </w:rPr>
        <w:footnoteReference w:id="97"/>
      </w:r>
      <w:r>
        <w:t xml:space="preserve"> erweitert den von der NIS-Richtlinie definierten Anwendungsbereich und umfasst neben kritischen Infrastrukturen auch „w</w:t>
      </w:r>
      <w:r w:rsidRPr="004430A8">
        <w:t>esentliche und wichtige Einrichtungen</w:t>
      </w:r>
      <w:r>
        <w:t>“, d. h. es werden mehr Unternehmen von der Richtlinie erfasst.</w:t>
      </w:r>
      <w:r w:rsidR="001D7978">
        <w:t xml:space="preserve"> </w:t>
      </w:r>
      <w:r>
        <w:t xml:space="preserve">Entsprechend Art. 21 NIS-2-Richtlinie müssen Einrichtungen </w:t>
      </w:r>
      <w:r w:rsidRPr="004430A8">
        <w:t>verhältnismäßige technische, operative und organisatorische Maßnahmen ergreifen, um die Risiken für die Sicherheit der Netz- und Informationssysteme, die diese Einrichtungen für ihren Betrieb oder für die Erbringung ihrer Dienste nutzen, zu beherrschen und die Auswirkungen von Sicherheitsvorfällen auf die Empfänger ihrer Dienste und auf andere Dienste zu verhindern oder möglichst gering zu halten</w:t>
      </w:r>
      <w:r>
        <w:t>. Die Vorgaben müssen zwingend umgesetzt werden, eine Absenkung der IT-Sicherheit ist für von der europäischen Richtlinie betroffenen Ein</w:t>
      </w:r>
      <w:r w:rsidR="001D7978">
        <w:t>r</w:t>
      </w:r>
      <w:r>
        <w:t>ichtungen nicht vorgesehen.</w:t>
      </w:r>
    </w:p>
    <w:p w14:paraId="21E3DAE6" w14:textId="4B699E6C" w:rsidR="004430A8" w:rsidRDefault="004430A8" w:rsidP="003B642E">
      <w:r>
        <w:t>Die sog</w:t>
      </w:r>
      <w:bookmarkStart w:id="232" w:name="_Hlk165012034"/>
      <w:r>
        <w:t>. CER-Richtlinie</w:t>
      </w:r>
      <w:bookmarkEnd w:id="232"/>
      <w:r>
        <w:rPr>
          <w:rStyle w:val="Funotenzeichen"/>
        </w:rPr>
        <w:footnoteReference w:id="98"/>
      </w:r>
      <w:r>
        <w:t>, welche bis zum 17. Okt</w:t>
      </w:r>
      <w:r w:rsidR="001D7978">
        <w:t>o</w:t>
      </w:r>
      <w:r>
        <w:t>ber 2024 in nationales Recht umgesetzt werden muss,</w:t>
      </w:r>
      <w:r>
        <w:rPr>
          <w:rStyle w:val="Funotenzeichen"/>
        </w:rPr>
        <w:footnoteReference w:id="99"/>
      </w:r>
      <w:r>
        <w:t xml:space="preserve"> legt Verpflichtungen für kritische Einrichtungen fest, die darauf abzielen, ihre Resilienz und ihre Fähigkeit zur Erbringung von Diensten</w:t>
      </w:r>
      <w:r w:rsidR="00F93265">
        <w:t xml:space="preserve"> zu gewährleisten</w:t>
      </w:r>
      <w:r>
        <w:t>. Mit Art. 13 CER-Richtlinie werden die durch Art.</w:t>
      </w:r>
      <w:r w:rsidR="001D7978">
        <w:t> </w:t>
      </w:r>
      <w:r>
        <w:t xml:space="preserve">6 Abs. 1 bestimmten kritischen Einrichtungen, wozu nach Anhang Ziff. 5 CER-Richtlinie insbesondere auch </w:t>
      </w:r>
      <w:r w:rsidR="001D7978">
        <w:t>G</w:t>
      </w:r>
      <w:r>
        <w:t xml:space="preserve">esundheitsdienstleister zählen können, dazu verpflichtet, </w:t>
      </w:r>
      <w:r w:rsidRPr="004430A8">
        <w:t xml:space="preserve">geeignete und verhältnismäßige technische, sicherheitsbezogene und organisatorische Maßnahmen zur Gewährleistung ihrer </w:t>
      </w:r>
      <w:r>
        <w:t>Cyber-</w:t>
      </w:r>
      <w:r w:rsidRPr="004430A8">
        <w:t xml:space="preserve">Resilienz </w:t>
      </w:r>
      <w:r>
        <w:t xml:space="preserve">zu </w:t>
      </w:r>
      <w:r w:rsidRPr="004430A8">
        <w:t>ergreifen</w:t>
      </w:r>
      <w:r>
        <w:t>. Auch diese Vorgaben können nicht durch die Einwilligung betroffener Personen beschränkt werden.</w:t>
      </w:r>
    </w:p>
    <w:p w14:paraId="5E9C33F1" w14:textId="0DDA0292" w:rsidR="00EE549A" w:rsidRDefault="0012289B" w:rsidP="0012289B">
      <w:pPr>
        <w:pStyle w:val="Anhang3"/>
      </w:pPr>
      <w:bookmarkStart w:id="233" w:name="_Toc169934881"/>
      <w:r>
        <w:t>Deutsches Recht</w:t>
      </w:r>
      <w:bookmarkEnd w:id="233"/>
    </w:p>
    <w:p w14:paraId="64AF9820" w14:textId="77777777" w:rsidR="004430A8" w:rsidRDefault="004430A8" w:rsidP="004430A8">
      <w:pPr>
        <w:spacing w:after="0"/>
      </w:pPr>
      <w:r>
        <w:t>Durch das DigiG wurde § 139 Abs. 10 SGB V dahingehend geändert, dass ein neuer Satz angefügt wurde:</w:t>
      </w:r>
    </w:p>
    <w:p w14:paraId="3F6BFC09" w14:textId="77777777" w:rsidR="004430A8" w:rsidRDefault="004430A8" w:rsidP="004430A8">
      <w:pPr>
        <w:spacing w:after="0"/>
        <w:ind w:left="709"/>
      </w:pPr>
      <w:r>
        <w:t>„</w:t>
      </w:r>
      <w:r w:rsidRPr="00E45D66">
        <w:t>Sofern in den Festlegungen nach Satz 1 Anforderungen an ein geeignetes sicheres technisches Verfahren zur Authentifizierung des Versicherten vorgesehen werden, das einen hohen Sicherheitsstandard gewährleistet, ist in den Festlegungen auch zu regeln, dass der Versicherte nach umfassender Information durch den für die jeweilige Anwendung datenschutzrechtlich Verantwortlichen über die Besonderheiten des Verfahrens in die Nutzung eines Authentifizierungsverfahrens einwilligen kann, das einem niedrigeren Sicherheitsniveau entspricht</w:t>
      </w:r>
      <w:r>
        <w:t>.“</w:t>
      </w:r>
    </w:p>
    <w:p w14:paraId="318FE080" w14:textId="77777777" w:rsidR="004430A8" w:rsidRDefault="004430A8" w:rsidP="004430A8">
      <w:r>
        <w:t xml:space="preserve">Hier wird gesetzlich normiert, dass eine betroffene Person bei der Nutzung von den in § 33a SGB V normierten </w:t>
      </w:r>
      <w:r w:rsidRPr="00E45D66">
        <w:t>digitale</w:t>
      </w:r>
      <w:r>
        <w:t>n</w:t>
      </w:r>
      <w:r w:rsidRPr="00E45D66">
        <w:t xml:space="preserve"> Gesundheitsanwendungen</w:t>
      </w:r>
      <w:r>
        <w:t xml:space="preserve"> („Apps auf Rezept“) in ein niedrigeres Schutzniveau einwilligen kann.</w:t>
      </w:r>
    </w:p>
    <w:p w14:paraId="52C6AC83" w14:textId="10701BC5" w:rsidR="004430A8" w:rsidRDefault="004430A8" w:rsidP="004430A8">
      <w:r>
        <w:t>Grundsätzlich stellt sich hier die Frage, ob diese deutsche Regelung überhaupt mit den europäischen Vorgaben vereinbar ist. Die Regelung in Art. 32 DS-GVO beispielsweise ist abschließend und sieht keine Öffnung für nationale Gesetzgeber zu; der EuGH urteilte in ähnlich Fällen, dass das nationale Recht europarechtswidrig ist und nicht angewendet werden darf.</w:t>
      </w:r>
    </w:p>
    <w:p w14:paraId="0277357D" w14:textId="566B58F6" w:rsidR="004430A8" w:rsidRDefault="004430A8" w:rsidP="004430A8">
      <w:pPr>
        <w:spacing w:after="0"/>
      </w:pPr>
      <w:r>
        <w:t>Aber auch unabhängig von dieser Sichtweise ist zu beachten, dass</w:t>
      </w:r>
    </w:p>
    <w:p w14:paraId="6BED5B89" w14:textId="25DF98DC" w:rsidR="004430A8" w:rsidRDefault="004430A8" w:rsidP="004430A8">
      <w:pPr>
        <w:pStyle w:val="Listenabsatz"/>
        <w:numPr>
          <w:ilvl w:val="0"/>
          <w:numId w:val="49"/>
        </w:numPr>
      </w:pPr>
      <w:r>
        <w:t xml:space="preserve">die Senkung des Schutzniveaus aufgrund der Beschaffenheit der digitalen Gesundheitsanwendungen nur die betroffene Person selbst betrifft, die Entscheidung der betroffenen Person niemals Auswirkungen auf andere Patienten hat. </w:t>
      </w:r>
    </w:p>
    <w:p w14:paraId="2A3D0C2F" w14:textId="77777777" w:rsidR="004430A8" w:rsidRDefault="004430A8" w:rsidP="00CA7E9F">
      <w:pPr>
        <w:pStyle w:val="Listenabsatz"/>
        <w:numPr>
          <w:ilvl w:val="0"/>
          <w:numId w:val="49"/>
        </w:numPr>
      </w:pPr>
      <w:r>
        <w:t xml:space="preserve">Weiterhin </w:t>
      </w:r>
      <w:r w:rsidRPr="004430A8">
        <w:t xml:space="preserve">adressiert </w:t>
      </w:r>
      <w:r>
        <w:t>d</w:t>
      </w:r>
      <w:r w:rsidRPr="004430A8">
        <w:t>ie Gesetzesnorm direkt den Patienten, nicht den Verantwortlichen, wie andere Normen, welche direkt Verantwortlichen eine Verpflichtung auferlegen.</w:t>
      </w:r>
    </w:p>
    <w:p w14:paraId="5EDF532A" w14:textId="36681DC9" w:rsidR="004430A8" w:rsidRDefault="004430A8" w:rsidP="004430A8">
      <w:pPr>
        <w:pStyle w:val="Listenabsatz"/>
        <w:numPr>
          <w:ilvl w:val="0"/>
          <w:numId w:val="49"/>
        </w:numPr>
        <w:spacing w:after="0"/>
        <w:ind w:left="714" w:hanging="357"/>
      </w:pPr>
      <w:r>
        <w:t xml:space="preserve">Schließlich sieht die gesetzliche Regelung explizit die Einwilligung vor; in anderen Regelungen wurde dies vom deutschen Gesetzgeber nicht vorgesehen, was eher ein Anzeichen dafür ist, dass in allen Fällen, </w:t>
      </w:r>
      <w:r w:rsidR="00901E1F">
        <w:t>in denen</w:t>
      </w:r>
      <w:r>
        <w:t xml:space="preserve"> keine ausdrückliche Erlaubnis zur Verringerung der Maßnahmen zur IT-Sicherheit durch Einholung einer rech</w:t>
      </w:r>
      <w:r w:rsidR="001D7978">
        <w:t>t</w:t>
      </w:r>
      <w:r>
        <w:t>skonformen datenschutzrechtlichen Einwilligung eine entsprechende Abdingung dies auch nicht möglich ist.</w:t>
      </w:r>
    </w:p>
    <w:p w14:paraId="5C4CD156" w14:textId="45EB9A52" w:rsidR="004430A8" w:rsidRDefault="004430A8" w:rsidP="004430A8">
      <w:r>
        <w:t xml:space="preserve">Einige dieser gesetzlichen Vorgaben, </w:t>
      </w:r>
      <w:r w:rsidR="00901E1F">
        <w:t>in denen</w:t>
      </w:r>
      <w:r>
        <w:t xml:space="preserve"> keine Absenkung der Maßnahmen zur </w:t>
      </w:r>
      <w:r w:rsidR="001D7978">
        <w:t>G</w:t>
      </w:r>
      <w:r>
        <w:t>ewäh</w:t>
      </w:r>
      <w:r w:rsidR="001D7978">
        <w:t>r</w:t>
      </w:r>
      <w:r>
        <w:t>leistung einer IT-Sicherheit geregelt wird, werden nachfolgend genannt.</w:t>
      </w:r>
    </w:p>
    <w:p w14:paraId="415740DB" w14:textId="5957D3DB" w:rsidR="00000B2B" w:rsidRDefault="00337C0B" w:rsidP="006F0265">
      <w:bookmarkStart w:id="234" w:name="_Hlk165012075"/>
      <w:r>
        <w:t>§ </w:t>
      </w:r>
      <w:r w:rsidR="00000B2B">
        <w:t xml:space="preserve">8a </w:t>
      </w:r>
      <w:r>
        <w:t>Abs. </w:t>
      </w:r>
      <w:r w:rsidR="00000B2B">
        <w:t xml:space="preserve">1 BSIG </w:t>
      </w:r>
      <w:bookmarkEnd w:id="234"/>
      <w:r w:rsidR="00000B2B">
        <w:t xml:space="preserve">verpflichtet Betreiber </w:t>
      </w:r>
      <w:r w:rsidR="00000B2B" w:rsidRPr="00C20724">
        <w:t>Kritischer</w:t>
      </w:r>
      <w:r w:rsidR="00000B2B" w:rsidRPr="00000B2B">
        <w:t xml:space="preserve"> Infrastrukture</w:t>
      </w:r>
      <w:r w:rsidR="00000B2B">
        <w:t>n dazu, „</w:t>
      </w:r>
      <w:r w:rsidR="00000B2B" w:rsidRPr="00000B2B">
        <w:t xml:space="preserve">angemessene organisatorische und technische Vorkehrungen zur Vermeidung von Störungen der Verfügbarkeit, Integrität, Authentizität und Vertraulichkeit ihrer informationstechnischen Systeme, Komponenten oder Prozesse zu treffen, die für die Funktionsfähigkeit der von ihnen betriebenen </w:t>
      </w:r>
      <w:r w:rsidR="00000B2B" w:rsidRPr="00C20724">
        <w:t>Kritischen</w:t>
      </w:r>
      <w:r w:rsidR="00000B2B" w:rsidRPr="00000B2B">
        <w:t xml:space="preserve"> Infrastrukturen maßgeblich sind.</w:t>
      </w:r>
      <w:r w:rsidR="00000B2B">
        <w:t xml:space="preserve">“ Im Bereich Gesundheit wird durch </w:t>
      </w:r>
      <w:r>
        <w:t>§ </w:t>
      </w:r>
      <w:r w:rsidR="00000B2B">
        <w:t>6</w:t>
      </w:r>
      <w:r w:rsidR="00000B2B" w:rsidRPr="00000B2B">
        <w:t xml:space="preserve"> </w:t>
      </w:r>
      <w:r w:rsidR="00000B2B">
        <w:t xml:space="preserve">i. V. m. Anhang V </w:t>
      </w:r>
      <w:r w:rsidR="00000B2B" w:rsidRPr="00C20724">
        <w:t>BSI-KritisV</w:t>
      </w:r>
      <w:r w:rsidR="00000B2B">
        <w:t xml:space="preserve"> festgelegt, welche Einrichtungen aus dem Gesundheitswesen als </w:t>
      </w:r>
      <w:r w:rsidR="00000B2B" w:rsidRPr="00C20724">
        <w:t>Kritische</w:t>
      </w:r>
      <w:r w:rsidR="00000B2B">
        <w:t xml:space="preserve"> Infrastrukturen anzusehen sind. Fällt eine Einrichtung darunter, müssen die Maßnahmen umgesetzt werden, eine fehlende Umsetzung der Anforderungen durch eine Einwilligung betroffener Personen kann auch im Einzelfall den Rechtsbruch nicht legalisieren.</w:t>
      </w:r>
    </w:p>
    <w:p w14:paraId="4C82E64A" w14:textId="21131C47" w:rsidR="006F0265" w:rsidRDefault="00337C0B" w:rsidP="006F0265">
      <w:bookmarkStart w:id="235" w:name="_Hlk165012111"/>
      <w:r>
        <w:t>§ </w:t>
      </w:r>
      <w:r w:rsidR="006F0265">
        <w:t xml:space="preserve">390 SGB V enthält </w:t>
      </w:r>
      <w:r w:rsidR="006F0265" w:rsidRPr="006F0265">
        <w:t>Anforderungen zur Gewährleistung der IT-Sicherheit in der vertragsärztlichen und vertragszahnärztlichen Versorgun</w:t>
      </w:r>
      <w:bookmarkEnd w:id="235"/>
      <w:r w:rsidR="006F0265" w:rsidRPr="006F0265">
        <w:t>g</w:t>
      </w:r>
      <w:r w:rsidR="006F0265">
        <w:t xml:space="preserve">. Entsprechend der Gesetzesbegründung </w:t>
      </w:r>
      <w:r w:rsidR="006F0265" w:rsidRPr="006F0265">
        <w:t>sollen vor dem Hintergrund zunehmender Cyberattacken Sicherheitslücken auch bei kleinen und mittelständischen Praxen geschlossen werden, die keine kritische Infrastruktur i</w:t>
      </w:r>
      <w:r w:rsidR="006F0265">
        <w:t>. </w:t>
      </w:r>
      <w:r w:rsidR="006F0265" w:rsidRPr="006F0265">
        <w:t>S</w:t>
      </w:r>
      <w:r w:rsidR="006F0265">
        <w:t>. </w:t>
      </w:r>
      <w:r w:rsidR="006F0265" w:rsidRPr="006F0265">
        <w:t>d</w:t>
      </w:r>
      <w:r w:rsidR="006F0265">
        <w:t>.</w:t>
      </w:r>
      <w:r w:rsidR="006F0265" w:rsidRPr="006F0265">
        <w:t xml:space="preserve"> BSI-Gesetzes darstellen und daher nicht unter die </w:t>
      </w:r>
      <w:r w:rsidR="006F0265" w:rsidRPr="00C20724">
        <w:t>BSI-KritisV</w:t>
      </w:r>
      <w:r w:rsidR="00C20724" w:rsidRPr="00C20724">
        <w:t xml:space="preserve"> </w:t>
      </w:r>
      <w:r w:rsidR="006F0265" w:rsidRPr="006F0265">
        <w:t>fallen</w:t>
      </w:r>
      <w:r w:rsidR="006F0265">
        <w:t>.</w:t>
      </w:r>
      <w:r w:rsidR="006F0265">
        <w:rPr>
          <w:rStyle w:val="Funotenzeichen"/>
        </w:rPr>
        <w:footnoteReference w:id="100"/>
      </w:r>
      <w:r w:rsidR="006F0265">
        <w:t xml:space="preserve"> </w:t>
      </w:r>
      <w:r w:rsidR="006F0265" w:rsidRPr="006F0265">
        <w:t xml:space="preserve">Die </w:t>
      </w:r>
      <w:r w:rsidR="006F0265" w:rsidRPr="00C20724">
        <w:t>Kassenärztlichen</w:t>
      </w:r>
      <w:r w:rsidR="006F0265" w:rsidRPr="006F0265">
        <w:t xml:space="preserve"> Bundesvereinigungen</w:t>
      </w:r>
      <w:r w:rsidR="006F0265">
        <w:t xml:space="preserve"> m</w:t>
      </w:r>
      <w:r w:rsidR="00F93265">
        <w:t>ü</w:t>
      </w:r>
      <w:r w:rsidR="006F0265">
        <w:t>ss</w:t>
      </w:r>
      <w:r w:rsidR="00F93265">
        <w:t>en</w:t>
      </w:r>
      <w:r w:rsidR="006F0265">
        <w:t xml:space="preserve"> entsprechend </w:t>
      </w:r>
      <w:r>
        <w:t>§ </w:t>
      </w:r>
      <w:r w:rsidR="006F0265">
        <w:t xml:space="preserve">390 </w:t>
      </w:r>
      <w:r>
        <w:t>Abs. </w:t>
      </w:r>
      <w:r w:rsidR="006F0265">
        <w:t xml:space="preserve">3 SGB V in einer </w:t>
      </w:r>
      <w:r w:rsidR="006F0265" w:rsidRPr="006F0265">
        <w:t xml:space="preserve">Richtlinie Anforderungen </w:t>
      </w:r>
      <w:r w:rsidR="006F0265">
        <w:t xml:space="preserve">festlegen, welche </w:t>
      </w:r>
      <w:r w:rsidR="006F0265" w:rsidRPr="006F0265">
        <w:t>geeignet sein</w:t>
      </w:r>
      <w:r w:rsidR="006F0265">
        <w:t xml:space="preserve"> müssen</w:t>
      </w:r>
      <w:r w:rsidR="006F0265" w:rsidRPr="006F0265">
        <w:t xml:space="preserve">, </w:t>
      </w:r>
      <w:r w:rsidR="006F0265">
        <w:t>„</w:t>
      </w:r>
      <w:r w:rsidR="006F0265" w:rsidRPr="006F0265">
        <w:t xml:space="preserve">abgestuft im Verhältnis zum </w:t>
      </w:r>
      <w:r w:rsidR="006F0265" w:rsidRPr="00C20724">
        <w:t>Gefährdungspoten</w:t>
      </w:r>
      <w:r w:rsidR="00C20724" w:rsidRPr="00C20724">
        <w:t>z</w:t>
      </w:r>
      <w:r w:rsidR="006F0265" w:rsidRPr="00C20724">
        <w:t>ial</w:t>
      </w:r>
      <w:r w:rsidR="006F0265" w:rsidRPr="006F0265">
        <w:t xml:space="preserve"> und dem Schutzbedarf der verarbeiteten Informationen, Störungen der informationstechnischen Systeme, Komponenten oder Prozesse der vertragsärztlichen Leistungserbringer in Bezug auf Verfügbarkeit, Integrität und Vertraulichkeit sowie der weiteren Sicherheitsziele zu vermeiden</w:t>
      </w:r>
      <w:r w:rsidR="006F0265">
        <w:t>“</w:t>
      </w:r>
      <w:r w:rsidR="006F0265" w:rsidRPr="006F0265">
        <w:t>.</w:t>
      </w:r>
      <w:r w:rsidR="006F0265">
        <w:t xml:space="preserve"> Dabei muss die Richtlinie entsprechend </w:t>
      </w:r>
      <w:r>
        <w:t>§ </w:t>
      </w:r>
      <w:r w:rsidR="006F0265">
        <w:t xml:space="preserve">390 </w:t>
      </w:r>
      <w:r>
        <w:t>Abs. </w:t>
      </w:r>
      <w:r w:rsidR="006F0265">
        <w:t>4 SGB V dem Stand der Technik entsprechen.</w:t>
      </w:r>
    </w:p>
    <w:p w14:paraId="09CEAE5A" w14:textId="1039DD44" w:rsidR="006F0265" w:rsidRDefault="006F0265" w:rsidP="006F0265">
      <w:r>
        <w:t xml:space="preserve">An </w:t>
      </w:r>
      <w:r w:rsidRPr="006F0265">
        <w:t>der vertragsärztlichen und vertragszahnärztlichen Versorgung</w:t>
      </w:r>
      <w:r>
        <w:t xml:space="preserve"> teilnehmende Leistungserbringer müssen diese Richtlinie gemäß </w:t>
      </w:r>
      <w:r w:rsidR="00337C0B">
        <w:t>§ </w:t>
      </w:r>
      <w:r>
        <w:t xml:space="preserve">390 </w:t>
      </w:r>
      <w:r w:rsidR="00337C0B">
        <w:t>Abs. </w:t>
      </w:r>
      <w:r>
        <w:t>6 SGB V verpflichtend umsetzen. Es ist nicht möglich, mittels einer Einwilligung einer betroffenen Person einzelne Anforderungen dieser Richtlinie als nicht-anwendbar zu erklären.</w:t>
      </w:r>
    </w:p>
    <w:p w14:paraId="590375C1" w14:textId="0E8C5927" w:rsidR="006F0265" w:rsidRDefault="00337C0B" w:rsidP="006F0265">
      <w:bookmarkStart w:id="236" w:name="_Hlk165012141"/>
      <w:r>
        <w:t>§ </w:t>
      </w:r>
      <w:r w:rsidR="006F0265">
        <w:t xml:space="preserve">391 </w:t>
      </w:r>
      <w:r>
        <w:t>Abs. </w:t>
      </w:r>
      <w:r w:rsidR="006F0265">
        <w:t>1 SGB V</w:t>
      </w:r>
      <w:r w:rsidR="006F0265" w:rsidRPr="006F0265">
        <w:t xml:space="preserve"> </w:t>
      </w:r>
      <w:bookmarkEnd w:id="236"/>
      <w:r>
        <w:t>Abs. </w:t>
      </w:r>
      <w:r w:rsidR="006F0265" w:rsidRPr="006F0265">
        <w:t xml:space="preserve">1 S. 1 </w:t>
      </w:r>
      <w:r w:rsidR="006F0265">
        <w:t xml:space="preserve">enthält </w:t>
      </w:r>
      <w:r w:rsidR="006F0265" w:rsidRPr="006F0265">
        <w:t xml:space="preserve">eine allgemeine </w:t>
      </w:r>
      <w:r w:rsidR="006F0265" w:rsidRPr="00C20724">
        <w:t>Pflicht</w:t>
      </w:r>
      <w:r w:rsidR="001D7978">
        <w:t>,</w:t>
      </w:r>
      <w:r w:rsidR="006F0265" w:rsidRPr="006F0265">
        <w:t xml:space="preserve"> für Krankenhäuser </w:t>
      </w:r>
      <w:r w:rsidR="006F0265">
        <w:t>a</w:t>
      </w:r>
      <w:r w:rsidR="006F0265" w:rsidRPr="006F0265">
        <w:t>ngemessene organisatorische und technische Vorkehrungen</w:t>
      </w:r>
      <w:r w:rsidR="006F0265">
        <w:t xml:space="preserve"> </w:t>
      </w:r>
      <w:r w:rsidR="006F0265" w:rsidRPr="006F0265">
        <w:t>zu implementieren</w:t>
      </w:r>
      <w:r w:rsidR="006F0265">
        <w:t>, welche eine „</w:t>
      </w:r>
      <w:r w:rsidR="006F0265" w:rsidRPr="006F0265">
        <w:t>Vermeidung von Störungen der Verfügbarkeit, Integrität und Vertraulichkeit ihrer informationstechnischen Systeme, Komponenten oder Prozesse, die für die Funktionsfähigkeit des jeweiligen Krankenhauses und den Schutzbedarf der verarbeiteten Patienteninformationen maßgeblich sind</w:t>
      </w:r>
      <w:r w:rsidR="006F0265">
        <w:t>“ gewährleisten</w:t>
      </w:r>
      <w:r w:rsidR="006F0265" w:rsidRPr="006F0265">
        <w:t>.</w:t>
      </w:r>
      <w:r w:rsidR="006F0265">
        <w:t xml:space="preserve"> Zur Bewertung der Angemessenheit enthält </w:t>
      </w:r>
      <w:r>
        <w:t>§ </w:t>
      </w:r>
      <w:r w:rsidR="006F0265">
        <w:t xml:space="preserve">391 </w:t>
      </w:r>
      <w:r>
        <w:t>Abs. </w:t>
      </w:r>
      <w:r w:rsidR="006F0265">
        <w:t>3 SGB V die Vorgabe, dass Maßnahmen als angemessen anzusehen sind, „</w:t>
      </w:r>
      <w:r w:rsidR="006F0265" w:rsidRPr="006F0265">
        <w:t>wenn der dafür erforderliche Aufwand nicht außer Verhältnis zu den Folgen eines Ausfalls oder einer Beeinträchtigung des Krankenhauses oder dem Schutzbedarf der verarbeiteten Patienteninformationen steht</w:t>
      </w:r>
      <w:r w:rsidR="006F0265">
        <w:t xml:space="preserve">“. Entsprechend </w:t>
      </w:r>
      <w:r>
        <w:t>§ </w:t>
      </w:r>
      <w:r w:rsidR="006F0265">
        <w:t xml:space="preserve">391 </w:t>
      </w:r>
      <w:r>
        <w:t>Abs. </w:t>
      </w:r>
      <w:r w:rsidR="006F0265">
        <w:t xml:space="preserve">1 SGB V müssen die Maßnahmen dabei dem </w:t>
      </w:r>
      <w:r w:rsidR="006F0265" w:rsidRPr="006F0265">
        <w:t>Stand der Technik</w:t>
      </w:r>
      <w:r w:rsidR="006F0265">
        <w:t xml:space="preserve"> entsprechen.</w:t>
      </w:r>
    </w:p>
    <w:p w14:paraId="191820A2" w14:textId="571F087F" w:rsidR="006F0265" w:rsidRDefault="006F0265" w:rsidP="006F0265">
      <w:r>
        <w:t>Alle Krankenhäuser, für welche diese Regelung anwendbar ist, müssen die Anforderungen erfüllen. Auch in diesen Fällen ist es nicht möglich, einzelne Anforderungen basierend auf der Einwilligung einer betroffenen Person für nicht anwendbar zu erklären.</w:t>
      </w:r>
    </w:p>
    <w:p w14:paraId="7E70E417" w14:textId="77E37392" w:rsidR="0012289B" w:rsidRDefault="00337C0B" w:rsidP="006F0265">
      <w:r>
        <w:t>§ </w:t>
      </w:r>
      <w:r w:rsidR="006F0265">
        <w:t xml:space="preserve">392 </w:t>
      </w:r>
      <w:r>
        <w:t>Abs. </w:t>
      </w:r>
      <w:r w:rsidR="00233007">
        <w:t xml:space="preserve">1 </w:t>
      </w:r>
      <w:r w:rsidR="006F0265">
        <w:t xml:space="preserve">SGB V </w:t>
      </w:r>
      <w:r w:rsidR="00233007">
        <w:t>verpflichtet gesetzliche Krankenkassen dazu, „</w:t>
      </w:r>
      <w:r w:rsidR="00233007" w:rsidRPr="00233007">
        <w:t>nach dem Stand der Technik angemessene organisatorische und technische Vorkehrungen zur Vermeidung von Störungen der Verfügbarkeit, Integrität und Vertraulichkeit ihrer informationstechnischen Systeme, Komponenten oder Prozesse zu treffen, die für die Funktionsfähigkeit der jeweiligen Krankenkasse und die Sicherheit der verarbeiteten Versicherteninformationen maßgeblich sind.</w:t>
      </w:r>
      <w:r w:rsidR="00233007">
        <w:t>“ Auch hier gilt, dass eine Einwilligung von versicherten Personen die Pflicht nicht verändern kann.</w:t>
      </w:r>
    </w:p>
    <w:p w14:paraId="6064EF6B" w14:textId="7B59EA3C" w:rsidR="00233007" w:rsidRDefault="00337C0B" w:rsidP="006F0265">
      <w:r>
        <w:t>§ </w:t>
      </w:r>
      <w:r w:rsidR="00233007" w:rsidRPr="00233007">
        <w:t>103a</w:t>
      </w:r>
      <w:r w:rsidR="00233007">
        <w:t xml:space="preserve"> </w:t>
      </w:r>
      <w:r>
        <w:t>Abs. </w:t>
      </w:r>
      <w:r w:rsidR="00233007">
        <w:t>1 SGB XI verpflichtet gesetzliche Krankenkassen dazu, „</w:t>
      </w:r>
      <w:r w:rsidR="00233007" w:rsidRPr="00233007">
        <w:t>nach dem Stand der Technik angemessene organisatorische und technische Vorkehrungen zur Vermeidung von Störungen der Verfügbarkeit, Integrität und Vertraulichkeit ihrer informationstechnischen Systeme, Komponenten oder Prozesse zu treffen, die für die Funktionsfähigkeit der jeweiligen Pflegekasse und die Sicherheit der verarbeiteten Versicherteninformationen maßgeblich sind.</w:t>
      </w:r>
      <w:r w:rsidR="00233007">
        <w:t xml:space="preserve">“ Auch in diesen </w:t>
      </w:r>
      <w:r w:rsidR="00233007" w:rsidRPr="00C20724">
        <w:t>Fäl</w:t>
      </w:r>
      <w:r w:rsidR="00C20724" w:rsidRPr="00C20724">
        <w:t>l</w:t>
      </w:r>
      <w:r w:rsidR="00233007" w:rsidRPr="00C20724">
        <w:t>en</w:t>
      </w:r>
      <w:r w:rsidR="00233007">
        <w:t xml:space="preserve"> kann eine Einwilligung von versicherten Personen die Pflicht nicht verändern.</w:t>
      </w:r>
    </w:p>
    <w:p w14:paraId="5356AE9E" w14:textId="21EC7BF3" w:rsidR="0012289B" w:rsidRDefault="004430A8" w:rsidP="0012289B">
      <w:pPr>
        <w:pStyle w:val="Anhang3"/>
      </w:pPr>
      <w:bookmarkStart w:id="237" w:name="_Toc169934882"/>
      <w:r>
        <w:t xml:space="preserve">Zu beachtende </w:t>
      </w:r>
      <w:r w:rsidR="00901E1F">
        <w:t xml:space="preserve">gesetzliche Vorgaben </w:t>
      </w:r>
      <w:r>
        <w:t xml:space="preserve">die </w:t>
      </w:r>
      <w:r w:rsidR="0012289B">
        <w:t>Einwilligung</w:t>
      </w:r>
      <w:r>
        <w:t xml:space="preserve"> betreffend</w:t>
      </w:r>
      <w:bookmarkEnd w:id="237"/>
    </w:p>
    <w:p w14:paraId="685AE4C1" w14:textId="77777777" w:rsidR="00AB3AA4" w:rsidRDefault="0012289B" w:rsidP="00AB3AA4">
      <w:r>
        <w:t>An dieser Stelle können die Vorgaben für eine datenschutzrechtliche Einwilligung nicht vollumfänglich besprochen werden; es wird hier auf die entsprechende Literatur verwiesen.</w:t>
      </w:r>
      <w:r>
        <w:rPr>
          <w:rStyle w:val="Funotenzeichen"/>
        </w:rPr>
        <w:footnoteReference w:id="101"/>
      </w:r>
    </w:p>
    <w:p w14:paraId="71C2CAD9" w14:textId="4B4229FE" w:rsidR="00AB3AA4" w:rsidRDefault="00AB3AA4" w:rsidP="00AB3AA4">
      <w:r>
        <w:t xml:space="preserve">Gemäß </w:t>
      </w:r>
      <w:r w:rsidR="00337C0B">
        <w:t>Art. </w:t>
      </w:r>
      <w:r>
        <w:t xml:space="preserve">4 Ziff. 11 DS-GVO ist eine Einwilligung eine </w:t>
      </w:r>
      <w:r w:rsidRPr="00AB3AA4">
        <w:t>Erklärung oder eine sonstige eindeutige bestätigende Handlung</w:t>
      </w:r>
      <w:r>
        <w:t>“</w:t>
      </w:r>
      <w:r w:rsidRPr="00AB3AA4">
        <w:t xml:space="preserve">, mit der die betroffene Person zu verstehen gibt, dass </w:t>
      </w:r>
      <w:r>
        <w:t>„</w:t>
      </w:r>
      <w:r w:rsidRPr="00AB3AA4">
        <w:t>sie mit der Verarbeitung der sie betreffenden personenbezogenen Daten einverstanden ist</w:t>
      </w:r>
      <w:r>
        <w:t>“. Eine Einwilligung ist eine Erklärung der betroffenen Person, dass sie</w:t>
      </w:r>
      <w:r w:rsidRPr="00AB3AA4">
        <w:t xml:space="preserve"> mit der Verarbeitung der </w:t>
      </w:r>
      <w:r>
        <w:t>sie</w:t>
      </w:r>
      <w:r w:rsidRPr="00AB3AA4">
        <w:t xml:space="preserve"> betreffenden personenbezogenen Daten einverstanden</w:t>
      </w:r>
      <w:r>
        <w:t xml:space="preserve"> ist, sagt aber nichts über das „wie“ der Verarbeitung aus. Allerdings muss die betreffende Person über das „wie“ der Verarbeitung aufgeklärt worden s</w:t>
      </w:r>
      <w:r w:rsidR="001D7978">
        <w:t>e</w:t>
      </w:r>
      <w:r>
        <w:t xml:space="preserve">in, sonst erfolgt eine Einwilligung nicht informiert, wie es </w:t>
      </w:r>
      <w:r w:rsidR="00337C0B">
        <w:t>Art. </w:t>
      </w:r>
      <w:r>
        <w:t>4 Ziff. 11 DS-GVO verlangt. Eine Einwilligung legitimiert somit immer die Verarbeitung und nur indirekt auch das „wie“, dementsprechend muss eine Einwilligung immer der eigentlichen Verarbeitung gelten, nicht nur der Art und Weise wie Daten verarbeitet werden.</w:t>
      </w:r>
    </w:p>
    <w:p w14:paraId="08EAB2C5" w14:textId="7E9DF2CE" w:rsidR="0012289B" w:rsidRDefault="0012289B" w:rsidP="0012289B">
      <w:r>
        <w:t>E</w:t>
      </w:r>
      <w:r w:rsidRPr="0012289B">
        <w:t>ine Einwilligung</w:t>
      </w:r>
      <w:r>
        <w:t xml:space="preserve"> kann sich </w:t>
      </w:r>
      <w:r w:rsidRPr="0012289B">
        <w:t xml:space="preserve">nur auf </w:t>
      </w:r>
      <w:r w:rsidRPr="00C20724">
        <w:t>d</w:t>
      </w:r>
      <w:r w:rsidR="00C20724" w:rsidRPr="00C20724">
        <w:t>ie</w:t>
      </w:r>
      <w:r w:rsidRPr="00C20724">
        <w:t xml:space="preserve"> Beziehung</w:t>
      </w:r>
      <w:r w:rsidR="00C20724" w:rsidRPr="00C20724">
        <w:t xml:space="preserve"> </w:t>
      </w:r>
      <w:r w:rsidRPr="00C20724">
        <w:t>zwischen</w:t>
      </w:r>
      <w:r w:rsidRPr="0012289B">
        <w:t xml:space="preserve"> dem</w:t>
      </w:r>
      <w:r w:rsidR="00000B2B">
        <w:t xml:space="preserve"> </w:t>
      </w:r>
      <w:r>
        <w:t xml:space="preserve">Verantwortlichen und der betroffenen Person beziehen, aber niemals </w:t>
      </w:r>
      <w:r w:rsidRPr="0012289B">
        <w:t>auf das Verhältnis zu Dritten erstrecken.</w:t>
      </w:r>
      <w:r>
        <w:t xml:space="preserve"> </w:t>
      </w:r>
      <w:r w:rsidR="00337C0B">
        <w:t>Art. </w:t>
      </w:r>
      <w:r>
        <w:t xml:space="preserve">25 und </w:t>
      </w:r>
      <w:r w:rsidRPr="0012289B">
        <w:t xml:space="preserve">32 </w:t>
      </w:r>
      <w:r>
        <w:t xml:space="preserve">DS-GVO beinhalten </w:t>
      </w:r>
      <w:r w:rsidRPr="0012289B">
        <w:t xml:space="preserve">Anforderungen, </w:t>
      </w:r>
      <w:r>
        <w:t xml:space="preserve">welche </w:t>
      </w:r>
      <w:r w:rsidRPr="0012289B">
        <w:t xml:space="preserve">der Verantwortliche </w:t>
      </w:r>
      <w:r>
        <w:t xml:space="preserve">für einen rechtskonformen </w:t>
      </w:r>
      <w:r w:rsidR="00C20724" w:rsidRPr="00C20724">
        <w:t>B</w:t>
      </w:r>
      <w:r w:rsidRPr="00C20724">
        <w:t>etrieb</w:t>
      </w:r>
      <w:r>
        <w:t xml:space="preserve"> seiner IT-Systeme </w:t>
      </w:r>
      <w:r w:rsidRPr="0012289B">
        <w:t xml:space="preserve">zwingend vorhalten muss. Er kann von </w:t>
      </w:r>
      <w:r>
        <w:t>diesen Anforderungen</w:t>
      </w:r>
      <w:r w:rsidRPr="0012289B">
        <w:t xml:space="preserve"> </w:t>
      </w:r>
      <w:r>
        <w:t xml:space="preserve">durch eine betroffene Person </w:t>
      </w:r>
      <w:r w:rsidRPr="0012289B">
        <w:t xml:space="preserve">auf der </w:t>
      </w:r>
      <w:r>
        <w:t>Grundlage</w:t>
      </w:r>
      <w:r w:rsidRPr="0012289B">
        <w:t xml:space="preserve"> einer Einwilligung im Einzelfall </w:t>
      </w:r>
      <w:r>
        <w:t xml:space="preserve">– sofern man davon ausgeht, dass dies möglich ist, </w:t>
      </w:r>
      <w:r w:rsidRPr="0012289B">
        <w:t xml:space="preserve">nur </w:t>
      </w:r>
      <w:r>
        <w:t>entbunden werden</w:t>
      </w:r>
      <w:r w:rsidRPr="0012289B">
        <w:t xml:space="preserve">, </w:t>
      </w:r>
      <w:r>
        <w:t xml:space="preserve">wenn </w:t>
      </w:r>
      <w:r w:rsidRPr="0012289B">
        <w:t xml:space="preserve">mit dieser </w:t>
      </w:r>
      <w:r>
        <w:t xml:space="preserve">auf einer </w:t>
      </w:r>
      <w:r w:rsidRPr="0012289B">
        <w:t xml:space="preserve">Einwilligung </w:t>
      </w:r>
      <w:r>
        <w:t xml:space="preserve">beruhenden Absenkung des Schutzniveaus </w:t>
      </w:r>
      <w:r w:rsidRPr="0012289B">
        <w:t>keine Beeinträchtigung Dritter einhergeht</w:t>
      </w:r>
      <w:r>
        <w:t>; der Schutz der Dritten (im Umfeld der Betrachtung dieser Praxishilfe i. d. R. anderer Patienten) muss vollumfänglich gewährleistet bleiben</w:t>
      </w:r>
      <w:r w:rsidRPr="0012289B">
        <w:t>.</w:t>
      </w:r>
      <w:r>
        <w:t xml:space="preserve"> Somit </w:t>
      </w:r>
      <w:r w:rsidRPr="00C20724">
        <w:t>muss vorab immer eine entsprechende Risikoanalyse durchgeführt und das Ergebnis</w:t>
      </w:r>
      <w:r>
        <w:t xml:space="preserve"> </w:t>
      </w:r>
      <w:r w:rsidR="00C20724">
        <w:t xml:space="preserve">dieser Analyse </w:t>
      </w:r>
      <w:r>
        <w:t>genau auf die Auswirkungen für den Schutz der Daten Dritter analysiert werden.</w:t>
      </w:r>
    </w:p>
    <w:p w14:paraId="20720410" w14:textId="12EE75AA" w:rsidR="00EE549A" w:rsidRDefault="0012289B" w:rsidP="003B642E">
      <w:r>
        <w:t>Jedoch ist gerade im Gesundheitswesen das Abhängigkeitsverhältnis</w:t>
      </w:r>
      <w:r w:rsidR="00EE549A">
        <w:t xml:space="preserve"> </w:t>
      </w:r>
      <w:r>
        <w:t xml:space="preserve">zwischen den behandelnden Personen, i. d. R. Ärzte, </w:t>
      </w:r>
      <w:r w:rsidR="00EE549A">
        <w:t xml:space="preserve">Arzt und </w:t>
      </w:r>
      <w:r>
        <w:t xml:space="preserve">dem jeweiligen Patienten zu beachten. Nach ErwGr. 43 DS-GVO soll in besonderen Fällen, „wenn zwischen der betroffenen Person und dem Verantwortlichen ein klares Ungleichgewicht besteht“ „und es in Anbetracht aller Umstände in dem speziellen Fall unwahrscheinlich ist, dass die Einwilligung freiwillig gegeben wurde“, eine solche Einwilligung nicht als gültige Rechtsgrundlage angesehen werden sollte. Daher muss immer auch die </w:t>
      </w:r>
      <w:r w:rsidRPr="00A1498B">
        <w:t xml:space="preserve">bestehende Abhängigkeit </w:t>
      </w:r>
      <w:r>
        <w:t>eines</w:t>
      </w:r>
      <w:r w:rsidRPr="00A1498B">
        <w:t xml:space="preserve"> </w:t>
      </w:r>
      <w:r>
        <w:t xml:space="preserve">Patienten sowie die </w:t>
      </w:r>
      <w:r w:rsidRPr="00A1498B">
        <w:t>Umstände</w:t>
      </w:r>
      <w:r>
        <w:t xml:space="preserve"> (z. B. Eingriffstiefe, </w:t>
      </w:r>
      <w:r w:rsidRPr="00A1498B">
        <w:t>Art des verarbeiteten Datums</w:t>
      </w:r>
      <w:r>
        <w:t xml:space="preserve"> oder Umfang der Datenverarbeitung)</w:t>
      </w:r>
      <w:r w:rsidRPr="00A1498B">
        <w:t>, unter denen die Einwilligung erteilt worden ist</w:t>
      </w:r>
      <w:r>
        <w:t xml:space="preserve">, bei der Beurteilung bzgl. </w:t>
      </w:r>
      <w:r w:rsidRPr="00D65105">
        <w:t>des Vorliegens</w:t>
      </w:r>
      <w:r>
        <w:t xml:space="preserve"> der Freiwilligkeit einer abgegebenen Einwilligung berücksichtigt werden. Weitere, zu berücksichtigende </w:t>
      </w:r>
      <w:r w:rsidRPr="00A1498B">
        <w:t>Aspekt</w:t>
      </w:r>
      <w:r>
        <w:t xml:space="preserve">e können </w:t>
      </w:r>
      <w:r w:rsidRPr="00C20724">
        <w:t xml:space="preserve">in </w:t>
      </w:r>
      <w:r w:rsidR="00C20724" w:rsidRPr="00C20724">
        <w:t xml:space="preserve">einer </w:t>
      </w:r>
      <w:r w:rsidRPr="00C20724">
        <w:t>konkreten Drucksituation</w:t>
      </w:r>
      <w:r w:rsidRPr="00830F73">
        <w:t xml:space="preserve">, </w:t>
      </w:r>
      <w:r>
        <w:t>welche</w:t>
      </w:r>
      <w:r w:rsidR="00C20724">
        <w:t>r</w:t>
      </w:r>
      <w:r>
        <w:t xml:space="preserve"> </w:t>
      </w:r>
      <w:r w:rsidRPr="00830F73">
        <w:t xml:space="preserve">der </w:t>
      </w:r>
      <w:r>
        <w:t>Patient</w:t>
      </w:r>
      <w:r w:rsidRPr="00830F73">
        <w:t xml:space="preserve"> ausgesetzt ist, </w:t>
      </w:r>
      <w:r>
        <w:t xml:space="preserve">liegen. Beispielsweise kann </w:t>
      </w:r>
      <w:r w:rsidRPr="00A1498B">
        <w:t>der Zeitpunkt</w:t>
      </w:r>
      <w:r>
        <w:t xml:space="preserve"> der Einholung einer Einwilligung kurz </w:t>
      </w:r>
      <w:r w:rsidRPr="00A1498B">
        <w:t>vor oder nach Vertragsschluss</w:t>
      </w:r>
      <w:r>
        <w:t xml:space="preserve"> (wie z. B. dem Behandlungsvertrag) ein Anhaltspunkt dafür sein, welcher die Freiwilligkeit </w:t>
      </w:r>
      <w:r w:rsidRPr="00D65105">
        <w:t>infrage</w:t>
      </w:r>
      <w:r>
        <w:t xml:space="preserve"> stellen kann.</w:t>
      </w:r>
    </w:p>
    <w:p w14:paraId="6AFD7EFA" w14:textId="03CA7377" w:rsidR="0012289B" w:rsidRDefault="0012289B" w:rsidP="003B642E">
      <w:r>
        <w:t>Auf den Nachweis der Freiwilligkeit bei der Abgabe einer Einwilligung im Kontext des Arzt-Patienten-Verhältnisses (wie auch im Beschäftigungsverhältnis) ist daher besonders zu achten.</w:t>
      </w:r>
    </w:p>
    <w:p w14:paraId="6BA5BCF1" w14:textId="1936EF52" w:rsidR="003B642E" w:rsidRPr="003B642E" w:rsidRDefault="003B642E" w:rsidP="003B642E">
      <w:pPr>
        <w:pStyle w:val="Anhang2"/>
      </w:pPr>
      <w:bookmarkStart w:id="238" w:name="_Toc169934883"/>
      <w:r>
        <w:t xml:space="preserve">Urteile zum </w:t>
      </w:r>
      <w:r w:rsidRPr="00C20724">
        <w:t>Thema</w:t>
      </w:r>
      <w:bookmarkEnd w:id="238"/>
    </w:p>
    <w:p w14:paraId="48FCE472" w14:textId="18A12111" w:rsidR="0091165F" w:rsidRDefault="0091165F" w:rsidP="0091165F">
      <w:pPr>
        <w:pStyle w:val="Anhang3"/>
        <w:numPr>
          <w:ilvl w:val="2"/>
          <w:numId w:val="1"/>
        </w:numPr>
      </w:pPr>
      <w:bookmarkStart w:id="239" w:name="_Toc169934884"/>
      <w:bookmarkStart w:id="240" w:name="_Hlk164764990"/>
      <w:r>
        <w:t>Deutsche Gerichte</w:t>
      </w:r>
      <w:bookmarkEnd w:id="239"/>
    </w:p>
    <w:bookmarkEnd w:id="240"/>
    <w:p w14:paraId="60C5723E" w14:textId="70A725E8" w:rsidR="001C0082" w:rsidRDefault="001C0082" w:rsidP="003B642E">
      <w:r>
        <w:t xml:space="preserve">Das </w:t>
      </w:r>
      <w:r w:rsidR="00865786">
        <w:t>OLG Düsseldorf</w:t>
      </w:r>
      <w:r>
        <w:t xml:space="preserve"> urteilte 2021,</w:t>
      </w:r>
      <w:r>
        <w:rPr>
          <w:rStyle w:val="Funotenzeichen"/>
        </w:rPr>
        <w:footnoteReference w:id="102"/>
      </w:r>
      <w:r>
        <w:t xml:space="preserve"> dass eine </w:t>
      </w:r>
      <w:r w:rsidRPr="001C0082">
        <w:t>Einwilligung ein auf der privatautonomen Entscheidung des Betroffenen beruhender Rechtfertigungstatbestand</w:t>
      </w:r>
      <w:r>
        <w:t xml:space="preserve"> ist und e</w:t>
      </w:r>
      <w:r w:rsidRPr="001C0082">
        <w:t>s der Privatautonomie widerspräche, wenn die Einwilligung nicht zu einem Verzicht auf Anonymisierungs-, Pseudonymisierungs- sowie Verschlüsselungstechniken führen könnte</w:t>
      </w:r>
      <w:r>
        <w:t xml:space="preserve">. Das OLG Düsseldorf sieht also eine Möglichkeit, dass die Einwilligung einer betroffenen Person </w:t>
      </w:r>
      <w:r w:rsidRPr="00C20724">
        <w:t>die Hera</w:t>
      </w:r>
      <w:r w:rsidR="00C20724" w:rsidRPr="00C20724">
        <w:t>b</w:t>
      </w:r>
      <w:r w:rsidRPr="00C20724">
        <w:t>senkung</w:t>
      </w:r>
      <w:r>
        <w:t xml:space="preserve"> eigentlich zur Gewährleistung eines angemessenen Schutzniveaus erforderlichen Maßnahmen legitimieren kann.</w:t>
      </w:r>
    </w:p>
    <w:p w14:paraId="3396095B" w14:textId="3A672584" w:rsidR="001C0082" w:rsidRDefault="001C0082" w:rsidP="003B642E">
      <w:r>
        <w:t>Das SG Hamburg urteilte 2023,</w:t>
      </w:r>
      <w:r>
        <w:rPr>
          <w:rStyle w:val="Funotenzeichen"/>
        </w:rPr>
        <w:footnoteReference w:id="103"/>
      </w:r>
      <w:r>
        <w:t xml:space="preserve"> dass „in</w:t>
      </w:r>
      <w:r w:rsidRPr="001C0082">
        <w:t>sbesondere beim Umgang mit sensiblen Sozialdaten konkrete Anforderungen an eine sichere Kommunikation, wie beispielsweise die Verschlüsselung, zu stellen sind</w:t>
      </w:r>
      <w:r>
        <w:t xml:space="preserve">“ und betroffene Personen </w:t>
      </w:r>
      <w:r w:rsidRPr="001C0082">
        <w:t xml:space="preserve">grundsätzlich nicht wirksam </w:t>
      </w:r>
      <w:r>
        <w:t xml:space="preserve">in </w:t>
      </w:r>
      <w:r w:rsidRPr="001C0082">
        <w:t>eine unverschlüsselte Kommunikation einwilligen</w:t>
      </w:r>
      <w:r>
        <w:t xml:space="preserve"> können.</w:t>
      </w:r>
      <w:r w:rsidR="00DF2C6B">
        <w:t xml:space="preserve"> </w:t>
      </w:r>
      <w:r w:rsidR="00E45D66">
        <w:t xml:space="preserve">Im Urteil wurde auch festgehalten, dass </w:t>
      </w:r>
      <w:r w:rsidR="00337C0B">
        <w:t>Art. </w:t>
      </w:r>
      <w:r w:rsidR="00E45D66">
        <w:t>32 DS-GVO „</w:t>
      </w:r>
      <w:r w:rsidR="00E45D66" w:rsidRPr="00E45D66">
        <w:t>keine Datensicherheit um jeden Preis</w:t>
      </w:r>
      <w:r w:rsidR="00E45D66">
        <w:t>“ verlangt, sondern es „</w:t>
      </w:r>
      <w:r w:rsidR="00E45D66" w:rsidRPr="00E45D66">
        <w:t>muss eine Abwägung zwischen Schutzzweck und Aufwand vorgenommen werden</w:t>
      </w:r>
      <w:r w:rsidR="00E45D66">
        <w:t>“.</w:t>
      </w:r>
      <w:r w:rsidR="00E45D66" w:rsidRPr="00E45D66">
        <w:rPr>
          <w:rStyle w:val="Funotenzeichen"/>
        </w:rPr>
        <w:t xml:space="preserve"> </w:t>
      </w:r>
      <w:bookmarkStart w:id="241" w:name="_Ref164925743"/>
      <w:r w:rsidR="00E45D66">
        <w:rPr>
          <w:rStyle w:val="Funotenzeichen"/>
        </w:rPr>
        <w:footnoteReference w:id="104"/>
      </w:r>
      <w:bookmarkEnd w:id="241"/>
      <w:r w:rsidR="00E45D66">
        <w:t xml:space="preserve"> Die </w:t>
      </w:r>
      <w:r w:rsidR="00DF2C6B">
        <w:t xml:space="preserve">klagende Person </w:t>
      </w:r>
      <w:r w:rsidR="00E45D66">
        <w:t xml:space="preserve">war </w:t>
      </w:r>
      <w:r w:rsidR="00DF2C6B">
        <w:t>blind</w:t>
      </w:r>
      <w:r w:rsidR="00E45D66">
        <w:t>. Im vom SG Hamburg beurteilten Fall musste eine Abwägung einerseits „</w:t>
      </w:r>
      <w:r w:rsidR="00E45D66" w:rsidRPr="00E45D66">
        <w:t xml:space="preserve">die Verletzung des Grundrechts des Klägers auf informationelle Selbstbestimmung nach </w:t>
      </w:r>
      <w:r w:rsidR="00337C0B">
        <w:t>Art. </w:t>
      </w:r>
      <w:r w:rsidR="00E45D66" w:rsidRPr="00E45D66">
        <w:t xml:space="preserve">2 </w:t>
      </w:r>
      <w:r w:rsidR="00337C0B">
        <w:t>Abs. </w:t>
      </w:r>
      <w:r w:rsidR="00E45D66" w:rsidRPr="00E45D66">
        <w:t xml:space="preserve">1 i.V.m. </w:t>
      </w:r>
      <w:r w:rsidR="00337C0B">
        <w:t>Art. </w:t>
      </w:r>
      <w:r w:rsidR="00E45D66" w:rsidRPr="00E45D66">
        <w:t xml:space="preserve">1 </w:t>
      </w:r>
      <w:r w:rsidR="00337C0B">
        <w:t>Abs. </w:t>
      </w:r>
      <w:r w:rsidR="00E45D66" w:rsidRPr="00E45D66">
        <w:t xml:space="preserve">1 GG und zum anderen die Verletzung seines subjektiven Abwehrrechts aus dem Benachteiligungsverbot nach </w:t>
      </w:r>
      <w:r w:rsidR="00337C0B">
        <w:t>Art. </w:t>
      </w:r>
      <w:r w:rsidR="00E45D66" w:rsidRPr="00E45D66">
        <w:t xml:space="preserve">3 </w:t>
      </w:r>
      <w:r w:rsidR="00337C0B">
        <w:t>Abs. </w:t>
      </w:r>
      <w:r w:rsidR="00E45D66" w:rsidRPr="00E45D66">
        <w:t>3 Satz 2 GG</w:t>
      </w:r>
      <w:r w:rsidR="00E45D66">
        <w:t xml:space="preserve">“ </w:t>
      </w:r>
      <w:r w:rsidR="00E45D66" w:rsidRPr="00E45D66">
        <w:t>beinhalten.</w:t>
      </w:r>
      <w:r w:rsidR="00E45D66" w:rsidRPr="00E45D66">
        <w:rPr>
          <w:vertAlign w:val="superscript"/>
        </w:rPr>
        <w:fldChar w:fldCharType="begin"/>
      </w:r>
      <w:r w:rsidR="00E45D66" w:rsidRPr="00E45D66">
        <w:rPr>
          <w:vertAlign w:val="superscript"/>
        </w:rPr>
        <w:instrText xml:space="preserve"> NOTEREF _Ref164925743 \h  \* MERGEFORMAT </w:instrText>
      </w:r>
      <w:r w:rsidR="00E45D66" w:rsidRPr="00E45D66">
        <w:rPr>
          <w:vertAlign w:val="superscript"/>
        </w:rPr>
      </w:r>
      <w:r w:rsidR="00E45D66" w:rsidRPr="00E45D66">
        <w:rPr>
          <w:vertAlign w:val="superscript"/>
        </w:rPr>
        <w:fldChar w:fldCharType="separate"/>
      </w:r>
      <w:r w:rsidR="00F43608">
        <w:rPr>
          <w:vertAlign w:val="superscript"/>
        </w:rPr>
        <w:t>104</w:t>
      </w:r>
      <w:r w:rsidR="00E45D66" w:rsidRPr="00E45D66">
        <w:rPr>
          <w:vertAlign w:val="superscript"/>
        </w:rPr>
        <w:fldChar w:fldCharType="end"/>
      </w:r>
      <w:r w:rsidR="00E45D66">
        <w:t xml:space="preserve"> </w:t>
      </w:r>
      <w:r w:rsidR="00E45D66" w:rsidRPr="00E45D66">
        <w:t>E</w:t>
      </w:r>
      <w:r w:rsidR="00DF2C6B" w:rsidRPr="00E45D66">
        <w:t>ntsprechend</w:t>
      </w:r>
      <w:r w:rsidR="00DF2C6B">
        <w:t xml:space="preserve"> dem </w:t>
      </w:r>
      <w:r w:rsidR="00DF2C6B" w:rsidRPr="00E45D66">
        <w:t>Hamburgischen</w:t>
      </w:r>
      <w:r w:rsidR="00DF2C6B" w:rsidRPr="00DF2C6B">
        <w:t xml:space="preserve"> Behindertengleichstellungsgesetz </w:t>
      </w:r>
      <w:r w:rsidR="00DF2C6B">
        <w:t xml:space="preserve">i. V. m.  dem </w:t>
      </w:r>
      <w:r w:rsidR="00E45D66" w:rsidRPr="00E45D66">
        <w:t>BGG</w:t>
      </w:r>
      <w:r w:rsidR="00E45D66">
        <w:t xml:space="preserve"> hatte die Person </w:t>
      </w:r>
      <w:r w:rsidR="00DF2C6B">
        <w:t>das Recht auf zeitnahe Zustellung</w:t>
      </w:r>
      <w:r w:rsidR="00E45D66">
        <w:t>;</w:t>
      </w:r>
      <w:r w:rsidR="00DF2C6B">
        <w:t xml:space="preserve"> ein Aufruf einer Homepage des beklagten Jobcenters für den </w:t>
      </w:r>
      <w:r w:rsidR="00231E05" w:rsidRPr="00231E05">
        <w:t>D</w:t>
      </w:r>
      <w:r w:rsidR="00DF2C6B" w:rsidRPr="00231E05">
        <w:t>ownload</w:t>
      </w:r>
      <w:r w:rsidR="00DF2C6B">
        <w:t xml:space="preserve"> der </w:t>
      </w:r>
      <w:r w:rsidR="00DF2C6B" w:rsidRPr="00E45D66">
        <w:t>pdf-Datei</w:t>
      </w:r>
      <w:r w:rsidR="00DF2C6B">
        <w:t xml:space="preserve"> war ihr aufgrund ihrer </w:t>
      </w:r>
      <w:r w:rsidR="00231E05" w:rsidRPr="00231E05">
        <w:t>E</w:t>
      </w:r>
      <w:r w:rsidR="00DF2C6B" w:rsidRPr="00231E05">
        <w:t>rblindung</w:t>
      </w:r>
      <w:r w:rsidR="00DF2C6B">
        <w:t xml:space="preserve"> nicht möglich, eine Entschlüsselung auch nicht. Es bestand ein Sonderfall, bei dem auf eine Diskriminierung und Schlechterstellung von erblindeten Personen Rücksicht genommen werden musste und eine unverschlüsselte Übersendung der Daten durch das Jobcenter als angemessen anzusehen war.</w:t>
      </w:r>
    </w:p>
    <w:p w14:paraId="395FA5D0" w14:textId="02D9443B" w:rsidR="0091165F" w:rsidRDefault="0091165F" w:rsidP="0091165F">
      <w:pPr>
        <w:pStyle w:val="Anhang3"/>
        <w:numPr>
          <w:ilvl w:val="2"/>
          <w:numId w:val="1"/>
        </w:numPr>
      </w:pPr>
      <w:bookmarkStart w:id="242" w:name="_Toc169934885"/>
      <w:r>
        <w:t>EuGH</w:t>
      </w:r>
      <w:bookmarkEnd w:id="242"/>
    </w:p>
    <w:p w14:paraId="4EC38EA2" w14:textId="5B05A0F0" w:rsidR="00C20724" w:rsidRDefault="00C20724" w:rsidP="00C20724">
      <w:r>
        <w:t xml:space="preserve">Ein Urteil seitens des EuGH, ob eine Einwilligung dazu dienen kann, durch Gesetz auferlegte Pflichten eines Verantwortlichen oder Auftragsverarbeiter zu ändern, liegt zum Zeitpunkt der Erstellung dieser Praxishilfe noch nicht vor. Jedoch urteilte der EuGH bereits, wie die Geeignetheit der </w:t>
      </w:r>
      <w:r w:rsidRPr="00C20724">
        <w:t>technischen und organisatorischen Maßnahmen</w:t>
      </w:r>
      <w:r>
        <w:t xml:space="preserve"> zu beurteilen </w:t>
      </w:r>
      <w:r w:rsidRPr="00C20724">
        <w:t xml:space="preserve">ist, gleichermaßen </w:t>
      </w:r>
      <w:r>
        <w:t>äußerte er sich zu den Pflichten bzgl. Nachweis der Geeignetheit der Mittel.</w:t>
      </w:r>
    </w:p>
    <w:p w14:paraId="42B9B5EC" w14:textId="354FBAF1" w:rsidR="0091165F" w:rsidRDefault="00C20724" w:rsidP="00C20724">
      <w:pPr>
        <w:spacing w:after="0"/>
      </w:pPr>
      <w:r>
        <w:t>Der EuGH urteilte,</w:t>
      </w:r>
      <w:r>
        <w:rPr>
          <w:rStyle w:val="Funotenzeichen"/>
        </w:rPr>
        <w:footnoteReference w:id="105"/>
      </w:r>
      <w:r>
        <w:t xml:space="preserve"> dass d</w:t>
      </w:r>
      <w:r w:rsidRPr="00C20724">
        <w:t>ie Geeignetheit technischen und organisatorischen Maßnahmen in zwei Schritten zu beurteilen</w:t>
      </w:r>
      <w:r>
        <w:t xml:space="preserve"> ist:</w:t>
      </w:r>
    </w:p>
    <w:p w14:paraId="7D64CE2B" w14:textId="77777777" w:rsidR="00C20724" w:rsidRDefault="00C20724" w:rsidP="00105463">
      <w:pPr>
        <w:pStyle w:val="Listenabsatz"/>
        <w:numPr>
          <w:ilvl w:val="0"/>
          <w:numId w:val="18"/>
        </w:numPr>
      </w:pPr>
      <w:r w:rsidRPr="00C20724">
        <w:t>Zum einen sind die von der betreffenden Verarbeitung ausgehenden Risiken einer Verletzung des Schutzes personenbezogener Daten und ihre möglichen Folgen für die Rechte und Freiheiten natürlicher Personen zu ermitteln. Diese Beurteilung muss konkret unter Berücksichtigung der Eintrittswahrscheinlichkeit und Schwere der ermittelten Risiken erfolgen.</w:t>
      </w:r>
    </w:p>
    <w:p w14:paraId="7F3DADE4" w14:textId="71CE2B77" w:rsidR="00C20724" w:rsidRDefault="00C20724" w:rsidP="00105463">
      <w:pPr>
        <w:pStyle w:val="Listenabsatz"/>
        <w:numPr>
          <w:ilvl w:val="0"/>
          <w:numId w:val="18"/>
        </w:numPr>
        <w:spacing w:after="0"/>
        <w:ind w:left="714" w:hanging="357"/>
      </w:pPr>
      <w:r w:rsidRPr="00C20724">
        <w:t>Zum anderen ist zu prüfen, ob die vom Verantwortlichen getroffenen Maßnahmen unter Berücksichtigung des Stands der Technik, der Implementierungskosten und der Art, des Umfangs, der Umstände und der Zwecke dieser Verarbeitung diesen Risiken angemessen sind.</w:t>
      </w:r>
    </w:p>
    <w:p w14:paraId="7B924F60" w14:textId="77777777" w:rsidR="00C20724" w:rsidRDefault="00C20724" w:rsidP="00C20724">
      <w:r>
        <w:t>Bei der Kontrolle der Geeignetheit muss eine materielle Prüfung dieser Maßnahmen anhand aller genannten Kriterien sowie der Umstände des Einzelfalls und der dafür zur Verfügung stehenden Beweismittel vorgenommen werden.</w:t>
      </w:r>
    </w:p>
    <w:p w14:paraId="7347D10E" w14:textId="26690070" w:rsidR="0091165F" w:rsidRDefault="00C20724" w:rsidP="00C20724">
      <w:r>
        <w:t xml:space="preserve">Der für die betreffende Verarbeitung Verantwortliche trägt die Beweislast dafür, dass die von ihm getroffenen Sicherheitsmaßnahmen im Sinne von </w:t>
      </w:r>
      <w:r w:rsidR="00337C0B">
        <w:t>Art. </w:t>
      </w:r>
      <w:r>
        <w:t xml:space="preserve">32 DS-GVO geeignet waren. </w:t>
      </w:r>
      <w:r w:rsidRPr="00C20724">
        <w:t xml:space="preserve">Die Rechenschaftspflicht des Verantwortlichen verlangt, dass im Rahmen einer auf </w:t>
      </w:r>
      <w:r w:rsidR="00337C0B">
        <w:t>Art. </w:t>
      </w:r>
      <w:r w:rsidRPr="00C20724">
        <w:t>82 DS</w:t>
      </w:r>
      <w:r>
        <w:t>-</w:t>
      </w:r>
      <w:r w:rsidRPr="00C20724">
        <w:t xml:space="preserve">GVO gestützten Schadenersatzklage der für die betreffende Verarbeitung Verantwortliche die Beweislast dafür trägt, dass die von ihm getroffenen Sicherheitsmaßnahmen im Sinne von </w:t>
      </w:r>
      <w:r w:rsidR="00337C0B">
        <w:t>Art. </w:t>
      </w:r>
      <w:r w:rsidRPr="00C20724">
        <w:t>32 DS</w:t>
      </w:r>
      <w:r>
        <w:t>-</w:t>
      </w:r>
      <w:r w:rsidRPr="00C20724">
        <w:t>GVO geeignet waren.</w:t>
      </w:r>
      <w:r>
        <w:rPr>
          <w:rStyle w:val="Funotenzeichen"/>
        </w:rPr>
        <w:footnoteReference w:id="106"/>
      </w:r>
    </w:p>
    <w:p w14:paraId="534185B3" w14:textId="03123566" w:rsidR="00C20724" w:rsidRDefault="00C20724" w:rsidP="00C20724">
      <w:r>
        <w:t xml:space="preserve">Im Schadensfall obliegt </w:t>
      </w:r>
      <w:r w:rsidRPr="00C20724">
        <w:t>es,</w:t>
      </w:r>
      <w:r>
        <w:t xml:space="preserve"> entsprechend der Rechtsprechung des EuGH, dem Verantwortlichen zu beweisen, dass die getroffenen Maßnahmen geeignet i. S. d. DS-GVO waren. Bei der Bewertung der Geeignetheit spielt eine Einwilligung entsprechend EuGH-Urteil keine Rolle, wohl aber </w:t>
      </w:r>
      <w:r w:rsidRPr="00C20724">
        <w:t>Folgen für die Rechte und Freiheiten natürlicher Personen</w:t>
      </w:r>
      <w:r>
        <w:t>.</w:t>
      </w:r>
    </w:p>
    <w:p w14:paraId="4C0DF5BC" w14:textId="47F02BCB" w:rsidR="00C20724" w:rsidRDefault="00C20724" w:rsidP="00C20724">
      <w:pPr>
        <w:spacing w:after="0"/>
      </w:pPr>
      <w:r>
        <w:t>Gerade im medizinischen Kontext gibt es Vorgänge, die zeitkritisch sind. Ein Beispiel:</w:t>
      </w:r>
    </w:p>
    <w:p w14:paraId="1ACB1899" w14:textId="7A6075FE" w:rsidR="00C20724" w:rsidRDefault="00C20724" w:rsidP="00C20724">
      <w:pPr>
        <w:ind w:left="578"/>
        <w:contextualSpacing/>
      </w:pPr>
      <w:r>
        <w:t xml:space="preserve">Wird eine Frau mit Verdacht auf Gebärmutterhalskrebs operiert und intraoperativ genetisches Material zur Histologie geschickt wird, </w:t>
      </w:r>
      <w:r w:rsidRPr="00C20724">
        <w:t>d. h.</w:t>
      </w:r>
      <w:r>
        <w:t xml:space="preserve"> die Patientin in Narkose gehalten wird, bis das Ergebnis der Histologie eintrifft, dann spielen hier zeitkritische Faktoren eine Rolle: Z. B. beinhaltet jede Narkose ein Risiko, muss also so kurz wie möglich erfolgen, auch, um Nebenwirkungen zu vermeiden. Der Versand eines verschlossenen Briefumschlages mit dreitägiger Wartezeit ist hier keine Alternative zu einem Telefonat, welches immer das Risiko des Abhörens der Gesprächsinhalte beinhaltet.</w:t>
      </w:r>
    </w:p>
    <w:p w14:paraId="6EB7255B" w14:textId="67E700A3" w:rsidR="00C20724" w:rsidRDefault="00C20724" w:rsidP="00C20724">
      <w:pPr>
        <w:ind w:left="578"/>
        <w:contextualSpacing/>
      </w:pPr>
      <w:r>
        <w:t xml:space="preserve">Bei IP-Telefonie kann über das Netzwerk die Kommunikation mitgeschnitten und somit von Dritten auf die Inhalte zugegriffen werden. Bei Mobiltelefonen kann ein </w:t>
      </w:r>
      <w:r w:rsidRPr="00C20724">
        <w:t>IMSI-Catcher</w:t>
      </w:r>
      <w:r>
        <w:t xml:space="preserve"> eingesetzt werden, sodass sich Mobiltelefone mit diesem statt mit einer regulären Funkzelle verbinden, der Betreiber des </w:t>
      </w:r>
      <w:r w:rsidRPr="00C20724">
        <w:t>IMSI-Catchers</w:t>
      </w:r>
      <w:r>
        <w:t xml:space="preserve"> kann dann Gespräche mithören.</w:t>
      </w:r>
    </w:p>
    <w:p w14:paraId="2A4894EC" w14:textId="638D2EE1" w:rsidR="00C20724" w:rsidRDefault="00C20724" w:rsidP="00BF277A">
      <w:pPr>
        <w:ind w:left="578"/>
        <w:contextualSpacing/>
      </w:pPr>
      <w:r>
        <w:t xml:space="preserve">Trotz des </w:t>
      </w:r>
      <w:r w:rsidRPr="00C20724">
        <w:t>potenziellen</w:t>
      </w:r>
      <w:r>
        <w:t xml:space="preserve"> Risikos des Abhörens der Gesundheitsinformationen bei einem Telefongespräch wird in Anbetracht der voraussichtlichen negativen gesundheitlichen Folgen für die operierte Person sowie der äußerst geringen Eintrittswahrscheinlichkeit ein Telefongespräch das Mittel der Wahl darstellen, damit </w:t>
      </w:r>
      <w:r w:rsidR="00F93265">
        <w:t>benötigte</w:t>
      </w:r>
      <w:r>
        <w:t xml:space="preserve"> Information</w:t>
      </w:r>
      <w:r w:rsidR="00F93265">
        <w:t>en</w:t>
      </w:r>
      <w:r>
        <w:t xml:space="preserve"> so schnell und auch so sicher, wie in Anbetracht der Umstände möglich und erforderlich, zwischen Histologen und Operateur ausgetauscht werden können.</w:t>
      </w:r>
    </w:p>
    <w:p w14:paraId="0FF57951" w14:textId="52CA51C8" w:rsidR="003B642E" w:rsidRDefault="003B642E" w:rsidP="003B642E">
      <w:pPr>
        <w:pStyle w:val="Anhang2"/>
      </w:pPr>
      <w:bookmarkStart w:id="243" w:name="_Toc169934886"/>
      <w:r>
        <w:t xml:space="preserve">Die Sicht </w:t>
      </w:r>
      <w:r w:rsidR="001D7978">
        <w:t>von Datenschutz-</w:t>
      </w:r>
      <w:r>
        <w:t>Aufsichtsbehörden</w:t>
      </w:r>
      <w:bookmarkEnd w:id="243"/>
    </w:p>
    <w:p w14:paraId="3A3948E8" w14:textId="3C60EF9A" w:rsidR="00C06F0E" w:rsidRDefault="00C06F0E" w:rsidP="00C06F0E">
      <w:pPr>
        <w:pStyle w:val="Anhang3"/>
        <w:numPr>
          <w:ilvl w:val="2"/>
          <w:numId w:val="1"/>
        </w:numPr>
      </w:pPr>
      <w:bookmarkStart w:id="244" w:name="_Toc169934887"/>
      <w:r>
        <w:t>Deutsche Aufsichtsbehörden</w:t>
      </w:r>
      <w:bookmarkEnd w:id="244"/>
    </w:p>
    <w:p w14:paraId="1791FDCE" w14:textId="50E7F21C" w:rsidR="00DF2C6B" w:rsidRPr="00DF2C6B" w:rsidRDefault="00DF2C6B" w:rsidP="00DF2C6B">
      <w:pPr>
        <w:spacing w:after="0"/>
      </w:pPr>
      <w:r>
        <w:t>Folgende deutsche Aufsichtsbehörden vertreten die Auffassung, dass unter bestimmten Bedingungen auf Grundlage einer Einwilligungserklärung in zu dokumentierenden individuellen Fällen auf angemessene technische und organisatorische Maßnahmen verzichtet werden kann:</w:t>
      </w:r>
    </w:p>
    <w:p w14:paraId="2C43ADB4" w14:textId="5819CC87" w:rsidR="00DF2C6B" w:rsidRDefault="00DF2C6B">
      <w:pPr>
        <w:pStyle w:val="Listenabsatz"/>
        <w:numPr>
          <w:ilvl w:val="0"/>
          <w:numId w:val="47"/>
        </w:numPr>
      </w:pPr>
      <w:r>
        <w:t xml:space="preserve">Das </w:t>
      </w:r>
      <w:r w:rsidRPr="00231E05">
        <w:t>Bayrische</w:t>
      </w:r>
      <w:r>
        <w:t xml:space="preserve"> Landesamt</w:t>
      </w:r>
      <w:r>
        <w:rPr>
          <w:rStyle w:val="Funotenzeichen"/>
        </w:rPr>
        <w:footnoteReference w:id="107"/>
      </w:r>
      <w:r>
        <w:t xml:space="preserve"> für Datenschutzaufsicht teilte diese Auffassung, allerdings noch unter Geltung des </w:t>
      </w:r>
      <w:r w:rsidR="00337C0B">
        <w:t>§ </w:t>
      </w:r>
      <w:r>
        <w:t>9 BDSG a. F., unter Geltung der DS-GVO</w:t>
      </w:r>
      <w:r w:rsidRPr="00C06F0E">
        <w:t xml:space="preserve"> </w:t>
      </w:r>
      <w:r>
        <w:t>vertrat die Behörde zumindest in Bezug auf E-Mail-Verschlüsselung</w:t>
      </w:r>
      <w:r>
        <w:rPr>
          <w:rStyle w:val="Funotenzeichen"/>
        </w:rPr>
        <w:footnoteReference w:id="108"/>
      </w:r>
      <w:r>
        <w:t xml:space="preserve"> eine der Hamburger Behörde ähnlichen Ansatz, d. h. geringeres Schutzniveau unter bestimmten Bedingungen möglich.</w:t>
      </w:r>
    </w:p>
    <w:p w14:paraId="4BF97F76" w14:textId="04A1D1EA" w:rsidR="00DF2C6B" w:rsidRDefault="00865786">
      <w:pPr>
        <w:pStyle w:val="Listenabsatz"/>
        <w:numPr>
          <w:ilvl w:val="0"/>
          <w:numId w:val="47"/>
        </w:numPr>
      </w:pPr>
      <w:r>
        <w:t>Der Hamburger Datenschutzbeauftragte</w:t>
      </w:r>
      <w:r>
        <w:rPr>
          <w:rStyle w:val="Funotenzeichen"/>
        </w:rPr>
        <w:footnoteReference w:id="109"/>
      </w:r>
      <w:r>
        <w:t xml:space="preserve"> vertritt die Ansicht, dass </w:t>
      </w:r>
      <w:r w:rsidR="00337C0B">
        <w:t>Art. </w:t>
      </w:r>
      <w:r>
        <w:t>32 DS-GVO durch Einwilligung unter bestimmten Bedingungen im konkreten Einzelfall abdingbar sei und somit zur Disposition des Betroffenen stehe.</w:t>
      </w:r>
    </w:p>
    <w:p w14:paraId="544B4715" w14:textId="270E8B4A" w:rsidR="00F11B80" w:rsidRDefault="00C06F0E">
      <w:pPr>
        <w:pStyle w:val="Listenabsatz"/>
        <w:numPr>
          <w:ilvl w:val="0"/>
          <w:numId w:val="47"/>
        </w:numPr>
      </w:pPr>
      <w:r>
        <w:t xml:space="preserve">Auch der </w:t>
      </w:r>
      <w:r w:rsidRPr="00231E05">
        <w:t>Sächsische</w:t>
      </w:r>
      <w:r w:rsidRPr="00C06F0E">
        <w:t xml:space="preserve"> Datenschutz- und Transparenzbeauftragte</w:t>
      </w:r>
      <w:r>
        <w:t xml:space="preserve"> sieht zumindest in Bezug auf E-Mail-Kommunikation die Möglichkeit, dass betroffene Personen in ein niedrigeres Schutzniveau einwilligen können.</w:t>
      </w:r>
      <w:r>
        <w:rPr>
          <w:rStyle w:val="Funotenzeichen"/>
        </w:rPr>
        <w:footnoteReference w:id="110"/>
      </w:r>
    </w:p>
    <w:p w14:paraId="14CBB973" w14:textId="1ED0903C" w:rsidR="00E45D66" w:rsidRDefault="00E45D66" w:rsidP="00E45D66">
      <w:pPr>
        <w:pStyle w:val="Listenabsatz"/>
        <w:numPr>
          <w:ilvl w:val="0"/>
          <w:numId w:val="47"/>
        </w:numPr>
      </w:pPr>
      <w:r>
        <w:t xml:space="preserve">Die </w:t>
      </w:r>
      <w:r w:rsidRPr="00E45D66">
        <w:t>Konferenz der Diözesandatenschutzbeauftragten der Katholischen Kirche Deutschland</w:t>
      </w:r>
      <w:r>
        <w:t xml:space="preserve"> bewertete 2022 in ihrem Beschluss, dass die </w:t>
      </w:r>
      <w:r w:rsidR="00337C0B">
        <w:t>§ </w:t>
      </w:r>
      <w:r w:rsidRPr="00E45D66">
        <w:t>26 KDG</w:t>
      </w:r>
      <w:r>
        <w:t xml:space="preserve"> normierte Pflicht eines Verantwortlichen, </w:t>
      </w:r>
      <w:r w:rsidRPr="00E45D66">
        <w:t>geeignete</w:t>
      </w:r>
      <w:r>
        <w:t xml:space="preserve"> </w:t>
      </w:r>
      <w:r w:rsidRPr="00E45D66">
        <w:t>technische und organisatorische Maßnahmen zur Gewährleistung eines</w:t>
      </w:r>
      <w:r>
        <w:t xml:space="preserve"> </w:t>
      </w:r>
      <w:r w:rsidRPr="00E45D66">
        <w:t>angemessenen Schutzniveaus zu treffen</w:t>
      </w:r>
      <w:r>
        <w:t xml:space="preserve">, zwar grundsätzlicher Natur ist, im Einzelfall eine betroffene Person jedoch </w:t>
      </w:r>
      <w:r w:rsidRPr="00E45D66">
        <w:t xml:space="preserve">in das Nichtanwenden von einzelnen technischen und organisatorischen Schutzmaßnahmen gemäß </w:t>
      </w:r>
      <w:r w:rsidR="00337C0B">
        <w:t>§ </w:t>
      </w:r>
      <w:r w:rsidRPr="00E45D66">
        <w:t xml:space="preserve">6 </w:t>
      </w:r>
      <w:r w:rsidR="00337C0B">
        <w:t>Abs. </w:t>
      </w:r>
      <w:r w:rsidRPr="00E45D66">
        <w:t xml:space="preserve">1 </w:t>
      </w:r>
      <w:r w:rsidR="00337C0B">
        <w:t>lit. </w:t>
      </w:r>
      <w:r w:rsidRPr="00E45D66">
        <w:t xml:space="preserve">b bzw. </w:t>
      </w:r>
      <w:r w:rsidR="00337C0B">
        <w:t>§ </w:t>
      </w:r>
      <w:r w:rsidRPr="00E45D66">
        <w:t xml:space="preserve">11 </w:t>
      </w:r>
      <w:r w:rsidR="00337C0B">
        <w:t>Abs. </w:t>
      </w:r>
      <w:r w:rsidRPr="00E45D66">
        <w:t xml:space="preserve">2 </w:t>
      </w:r>
      <w:r w:rsidR="00337C0B">
        <w:t>lit. </w:t>
      </w:r>
      <w:r w:rsidRPr="00E45D66">
        <w:t>a KDG auf informierte Weise einwilligen</w:t>
      </w:r>
      <w:r>
        <w:t xml:space="preserve"> kann.</w:t>
      </w:r>
      <w:r>
        <w:rPr>
          <w:rStyle w:val="Funotenzeichen"/>
        </w:rPr>
        <w:footnoteReference w:id="111"/>
      </w:r>
    </w:p>
    <w:p w14:paraId="59F71875" w14:textId="44F4EACA" w:rsidR="00DF2C6B" w:rsidRDefault="00DF2C6B" w:rsidP="00DF2C6B">
      <w:pPr>
        <w:spacing w:after="0"/>
      </w:pPr>
      <w:r>
        <w:t xml:space="preserve">Andere deutsche Aufsichtsbehörden vertreten die Meinung, dass eine </w:t>
      </w:r>
      <w:r w:rsidRPr="00231E05">
        <w:t>Abdingung</w:t>
      </w:r>
      <w:r>
        <w:t xml:space="preserve"> der gesetzlichen </w:t>
      </w:r>
      <w:r w:rsidR="00231E05" w:rsidRPr="00231E05">
        <w:t>V</w:t>
      </w:r>
      <w:r w:rsidRPr="00231E05">
        <w:t>orgaben zur IT-Sicherheit durch eine Einwilligung nicht möglich ist</w:t>
      </w:r>
      <w:r>
        <w:t>.</w:t>
      </w:r>
    </w:p>
    <w:p w14:paraId="4C01E853" w14:textId="1B283C84" w:rsidR="00DF2C6B" w:rsidRDefault="00DF2C6B">
      <w:pPr>
        <w:pStyle w:val="Listenabsatz"/>
        <w:numPr>
          <w:ilvl w:val="0"/>
          <w:numId w:val="48"/>
        </w:numPr>
      </w:pPr>
      <w:r w:rsidRPr="00DF2C6B">
        <w:t>Der Bundesbeauftragte für den Datenschutz und die Informationsfreiheit</w:t>
      </w:r>
      <w:r>
        <w:t xml:space="preserve"> stellte 2019 in seiner </w:t>
      </w:r>
      <w:r w:rsidRPr="00DF2C6B">
        <w:t>Stellungnahme zur steuerlichen Förderung der Elektromobilität</w:t>
      </w:r>
      <w:r>
        <w:t xml:space="preserve"> fest, dass e</w:t>
      </w:r>
      <w:r w:rsidRPr="00DF2C6B">
        <w:t>ine Einwilligung i</w:t>
      </w:r>
      <w:r>
        <w:t xml:space="preserve">. S. v.  </w:t>
      </w:r>
      <w:r w:rsidR="00337C0B">
        <w:t>Art. </w:t>
      </w:r>
      <w:r w:rsidRPr="00DF2C6B">
        <w:t>4 N</w:t>
      </w:r>
      <w:r>
        <w:t>r. </w:t>
      </w:r>
      <w:r w:rsidRPr="00DF2C6B">
        <w:t>11 DS</w:t>
      </w:r>
      <w:r>
        <w:t>-</w:t>
      </w:r>
      <w:r w:rsidRPr="00DF2C6B">
        <w:t>GVO kein taugliches Instrument</w:t>
      </w:r>
      <w:r>
        <w:t xml:space="preserve"> ist</w:t>
      </w:r>
      <w:r w:rsidRPr="00DF2C6B">
        <w:t>, um von dem zu beachtenden Grundsatz der Sicherheit der Verarbeitung abzuweichen</w:t>
      </w:r>
      <w:r>
        <w:t>; e</w:t>
      </w:r>
      <w:r w:rsidRPr="00DF2C6B">
        <w:t>ntsprechende Einwilligungen wäre</w:t>
      </w:r>
      <w:r>
        <w:t>n</w:t>
      </w:r>
      <w:r w:rsidRPr="00DF2C6B">
        <w:t xml:space="preserve"> im Hinblick auf das zu wählende Schutzniveau ohne Wirkung</w:t>
      </w:r>
      <w:r>
        <w:t>.</w:t>
      </w:r>
      <w:r>
        <w:rPr>
          <w:rStyle w:val="Funotenzeichen"/>
        </w:rPr>
        <w:footnoteReference w:id="112"/>
      </w:r>
    </w:p>
    <w:p w14:paraId="78650E99" w14:textId="2615D0B8" w:rsidR="00DF2C6B" w:rsidRDefault="00DF2C6B">
      <w:pPr>
        <w:pStyle w:val="Listenabsatz"/>
        <w:numPr>
          <w:ilvl w:val="0"/>
          <w:numId w:val="48"/>
        </w:numPr>
      </w:pPr>
      <w:r w:rsidRPr="00DF2C6B">
        <w:t>Die Landesbeauftragte für den Datenschutz und für das Recht auf Akteneinsicht</w:t>
      </w:r>
      <w:r>
        <w:t xml:space="preserve"> des Landes </w:t>
      </w:r>
      <w:r w:rsidR="00D2273D">
        <w:t>B</w:t>
      </w:r>
      <w:r>
        <w:t>randenburg vertrat 2020 in ihrem Tätigkeitsbericht die Auffassung, dass eine datenschutzrechtliche Einwilligung sich ausschließlich auf die Frage, ob die eigenen personenbezogenen Daten zu einem bestimmten Zweck verarbeitet werden dürfen, bezieht und eine Einwilligung somit „nicht Vorschriften zur Art und Weise ihrer Verarbeitung aushebeln“ kann.</w:t>
      </w:r>
      <w:r>
        <w:rPr>
          <w:rStyle w:val="Funotenzeichen"/>
        </w:rPr>
        <w:footnoteReference w:id="113"/>
      </w:r>
    </w:p>
    <w:p w14:paraId="42514165" w14:textId="746F999D" w:rsidR="00865786" w:rsidRDefault="00865786">
      <w:pPr>
        <w:pStyle w:val="Listenabsatz"/>
        <w:numPr>
          <w:ilvl w:val="0"/>
          <w:numId w:val="48"/>
        </w:numPr>
      </w:pPr>
      <w:r>
        <w:t xml:space="preserve">Das </w:t>
      </w:r>
      <w:r w:rsidRPr="00231E05">
        <w:t>Unabhängiges</w:t>
      </w:r>
      <w:r w:rsidRPr="00865786">
        <w:t xml:space="preserve"> Landeszentrum für Datenschutz Schleswig-Holstein</w:t>
      </w:r>
      <w:r>
        <w:t xml:space="preserve"> verneint die Abdingbarkeit der vom Verantwortlichen zu ergreifenden M</w:t>
      </w:r>
      <w:r w:rsidR="00C06F0E">
        <w:t>a</w:t>
      </w:r>
      <w:r>
        <w:t>ßnahmen durch eine Einwilligung betroffener Personen.</w:t>
      </w:r>
      <w:r>
        <w:rPr>
          <w:rStyle w:val="Funotenzeichen"/>
        </w:rPr>
        <w:footnoteReference w:id="114"/>
      </w:r>
    </w:p>
    <w:p w14:paraId="4074E24A" w14:textId="66DB09F3" w:rsidR="00C06F0E" w:rsidRDefault="00C06F0E" w:rsidP="003B642E">
      <w:r>
        <w:t xml:space="preserve">Im November 2021 veröffentlichte die </w:t>
      </w:r>
      <w:r w:rsidRPr="00C20724">
        <w:t>DSK</w:t>
      </w:r>
      <w:r>
        <w:t xml:space="preserve"> einen Beschluss,</w:t>
      </w:r>
      <w:r w:rsidR="001C0082">
        <w:rPr>
          <w:rStyle w:val="Funotenzeichen"/>
        </w:rPr>
        <w:footnoteReference w:id="115"/>
      </w:r>
      <w:r>
        <w:t xml:space="preserve"> wonach </w:t>
      </w:r>
      <w:r w:rsidRPr="00C06F0E">
        <w:t xml:space="preserve">von </w:t>
      </w:r>
      <w:r w:rsidRPr="00C20724">
        <w:t>Verantwortlichen</w:t>
      </w:r>
      <w:r w:rsidRPr="00C06F0E">
        <w:t xml:space="preserve"> vorzuhaltenden technischen und organisatorischen Maßnahmen auf objektiven Rechtspflichten, beruhen und daher nicht zur Disposition der Beteiligten stehen.</w:t>
      </w:r>
      <w:r>
        <w:t xml:space="preserve"> Ein Verzicht </w:t>
      </w:r>
      <w:r w:rsidRPr="00C06F0E">
        <w:t>auf die vom Verantwortlichen vorzuhaltenden technischen und organisatorischen Maßnahmen oder die Absenkung des gesetzlich vorgeschriebenen Standards auf der Basis einer Einwilligung</w:t>
      </w:r>
      <w:r>
        <w:t xml:space="preserve"> ist daher nicht möglich.</w:t>
      </w:r>
    </w:p>
    <w:p w14:paraId="05753056" w14:textId="5BD81D1B" w:rsidR="001C0082" w:rsidRDefault="001C0082" w:rsidP="003B642E">
      <w:r w:rsidRPr="001C0082">
        <w:t>Aber es kann</w:t>
      </w:r>
      <w:r w:rsidR="00D35341">
        <w:t>,</w:t>
      </w:r>
      <w:r w:rsidRPr="001C0082">
        <w:t xml:space="preserve"> in zu dokumentierenden Einzelfällen</w:t>
      </w:r>
      <w:r w:rsidR="00D35341">
        <w:t>,</w:t>
      </w:r>
      <w:r w:rsidRPr="001C0082">
        <w:t xml:space="preserve"> möglich sein, dass Verantwortliche auf ausdrücklichen, eigeninitiativen Wunsch der informierten betroffenen Person bestimmte vorzuhaltende technische und organisatorische Maßnahmen ihr gegenüber in vertretbarem Umfang nicht anwenden.</w:t>
      </w:r>
    </w:p>
    <w:p w14:paraId="44F99F17" w14:textId="3A8CE171" w:rsidR="00C06F0E" w:rsidRDefault="00C06F0E" w:rsidP="00C06F0E">
      <w:pPr>
        <w:pStyle w:val="Anhang3"/>
        <w:numPr>
          <w:ilvl w:val="2"/>
          <w:numId w:val="1"/>
        </w:numPr>
      </w:pPr>
      <w:bookmarkStart w:id="245" w:name="_Toc169934888"/>
      <w:r>
        <w:t>Österreichische Aufsichtsbehörde</w:t>
      </w:r>
      <w:bookmarkEnd w:id="245"/>
    </w:p>
    <w:p w14:paraId="48666A8B" w14:textId="0CEB763C" w:rsidR="00C06F0E" w:rsidRPr="006B0E1D" w:rsidRDefault="00C06F0E" w:rsidP="003B642E">
      <w:r>
        <w:t xml:space="preserve">Die österreichische </w:t>
      </w:r>
      <w:r w:rsidRPr="00C06F0E">
        <w:t>Datenschutzbehörde</w:t>
      </w:r>
      <w:r>
        <w:t xml:space="preserve"> urteilte 2018, dass </w:t>
      </w:r>
      <w:r w:rsidRPr="00C06F0E">
        <w:t xml:space="preserve">Datensicherheitsmaßnahmen nach </w:t>
      </w:r>
      <w:r w:rsidR="00337C0B">
        <w:t>Art. </w:t>
      </w:r>
      <w:r w:rsidRPr="00C06F0E">
        <w:t>32 DS</w:t>
      </w:r>
      <w:r>
        <w:t>-</w:t>
      </w:r>
      <w:r w:rsidRPr="00C06F0E">
        <w:t>GVO allein von der Verantwortlichen zu beurteilen</w:t>
      </w:r>
      <w:r>
        <w:t xml:space="preserve"> sind, die Einholung einer Einwilligung keine Abweichung von erforderlichen Maßnahmen erlauben kann.</w:t>
      </w:r>
      <w:r>
        <w:rPr>
          <w:rStyle w:val="Funotenzeichen"/>
        </w:rPr>
        <w:footnoteReference w:id="116"/>
      </w:r>
    </w:p>
    <w:p w14:paraId="10C3A870" w14:textId="37B72921" w:rsidR="00F11B80" w:rsidRDefault="00AF6483" w:rsidP="00AF6483">
      <w:pPr>
        <w:pStyle w:val="Anhang2"/>
      </w:pPr>
      <w:bookmarkStart w:id="246" w:name="_Toc169934889"/>
      <w:r>
        <w:t>Diskussion</w:t>
      </w:r>
      <w:bookmarkEnd w:id="246"/>
    </w:p>
    <w:p w14:paraId="13FA6E1A" w14:textId="228780A1" w:rsidR="00AF6483" w:rsidRDefault="00AF6483" w:rsidP="003B642E">
      <w:r>
        <w:t>Der Gesetzgeber hat das Recht – und nutzt dieses auch – den Willen von betroffenen Personen durch Gesetze außer Kraft zu setzen, sodass eine Verarbeitung auch durch eine Einwilligung nicht legitimiert werden kann. Ein Beispiel hierzu findet sich in der Sozialgesetzgebung.</w:t>
      </w:r>
    </w:p>
    <w:p w14:paraId="4D9A43AD" w14:textId="7809A08C" w:rsidR="00AF6483" w:rsidRDefault="00AF6483" w:rsidP="00AF6483">
      <w:pPr>
        <w:spacing w:after="0"/>
      </w:pPr>
      <w:r>
        <w:t>Auch im Bereich der IT-Sicherheit gab der Gesetzgeber Regelungen vor, welche durch eine Einwilligung nicht geändert werden können. Neben den Regelungen der europäischen DS-GVO sind im Umfeld der Gesundheitsversorgung beispielsweise zu nennen:</w:t>
      </w:r>
    </w:p>
    <w:p w14:paraId="2F9F62A5" w14:textId="74AC355A" w:rsidR="00AF6483" w:rsidRDefault="00AF6483">
      <w:pPr>
        <w:pStyle w:val="Listenabsatz"/>
        <w:numPr>
          <w:ilvl w:val="0"/>
          <w:numId w:val="45"/>
        </w:numPr>
      </w:pPr>
      <w:r>
        <w:t xml:space="preserve">Die Gesetzgebung für kritische Infrastrukturen (BSIG i. V. m. </w:t>
      </w:r>
      <w:r w:rsidRPr="00C20724">
        <w:t>BSI-KritisV</w:t>
      </w:r>
      <w:r>
        <w:t>),</w:t>
      </w:r>
    </w:p>
    <w:p w14:paraId="0881EFDD" w14:textId="4B62F1A5" w:rsidR="00AF6483" w:rsidRDefault="00337C0B">
      <w:pPr>
        <w:pStyle w:val="Listenabsatz"/>
        <w:numPr>
          <w:ilvl w:val="0"/>
          <w:numId w:val="45"/>
        </w:numPr>
      </w:pPr>
      <w:r>
        <w:t>§ </w:t>
      </w:r>
      <w:r w:rsidR="00AF6483" w:rsidRPr="00AF6483">
        <w:t xml:space="preserve">390 </w:t>
      </w:r>
      <w:r w:rsidR="00AF6483">
        <w:t xml:space="preserve">SGB V </w:t>
      </w:r>
      <w:r w:rsidR="00AF6483" w:rsidRPr="00AF6483">
        <w:t>IT-Sicherheit in der vertragsärztlichen und vertragszahnärztlichen Versorgung</w:t>
      </w:r>
      <w:r w:rsidR="00AF6483">
        <w:t>,</w:t>
      </w:r>
    </w:p>
    <w:p w14:paraId="4864FE91" w14:textId="19BD8D9F" w:rsidR="00AF6483" w:rsidRDefault="00337C0B">
      <w:pPr>
        <w:pStyle w:val="Listenabsatz"/>
        <w:numPr>
          <w:ilvl w:val="0"/>
          <w:numId w:val="45"/>
        </w:numPr>
      </w:pPr>
      <w:r>
        <w:t>§ </w:t>
      </w:r>
      <w:r w:rsidR="00AF6483" w:rsidRPr="00AF6483">
        <w:t xml:space="preserve">391 </w:t>
      </w:r>
      <w:r w:rsidR="00AF6483">
        <w:t xml:space="preserve">SGB V </w:t>
      </w:r>
      <w:r w:rsidR="00AF6483" w:rsidRPr="00AF6483">
        <w:t>IT-Sicherheit in Krankenhäusern</w:t>
      </w:r>
      <w:r w:rsidR="00233007">
        <w:t>,</w:t>
      </w:r>
    </w:p>
    <w:p w14:paraId="450DDCE3" w14:textId="3E20AC85" w:rsidR="00233007" w:rsidRDefault="00337C0B">
      <w:pPr>
        <w:pStyle w:val="Listenabsatz"/>
        <w:numPr>
          <w:ilvl w:val="0"/>
          <w:numId w:val="45"/>
        </w:numPr>
      </w:pPr>
      <w:r>
        <w:t>§ </w:t>
      </w:r>
      <w:r w:rsidR="00AF6483" w:rsidRPr="00AF6483">
        <w:t xml:space="preserve">392 </w:t>
      </w:r>
      <w:r w:rsidR="00AF6483">
        <w:t xml:space="preserve">SGB V </w:t>
      </w:r>
      <w:r w:rsidR="00AF6483" w:rsidRPr="00AF6483">
        <w:t>IT-Sicherheit der gesetzlichen Krankenkassen</w:t>
      </w:r>
      <w:r w:rsidR="00233007">
        <w:t xml:space="preserve"> sowie</w:t>
      </w:r>
    </w:p>
    <w:p w14:paraId="4123A7CC" w14:textId="0FC43365" w:rsidR="00AF6483" w:rsidRDefault="00337C0B">
      <w:pPr>
        <w:pStyle w:val="Listenabsatz"/>
        <w:numPr>
          <w:ilvl w:val="0"/>
          <w:numId w:val="45"/>
        </w:numPr>
      </w:pPr>
      <w:r>
        <w:t>§ </w:t>
      </w:r>
      <w:r w:rsidR="00233007" w:rsidRPr="00233007">
        <w:t xml:space="preserve">103a </w:t>
      </w:r>
      <w:r w:rsidR="00233007">
        <w:t>SGB XI IT-</w:t>
      </w:r>
      <w:r w:rsidR="00233007" w:rsidRPr="00233007">
        <w:t>Sicherheit der Pflegekassen</w:t>
      </w:r>
      <w:r w:rsidR="00AF6483">
        <w:t>.</w:t>
      </w:r>
    </w:p>
    <w:p w14:paraId="4D3A392B" w14:textId="135114F0" w:rsidR="00AF6483" w:rsidRDefault="00AF6483" w:rsidP="003B642E">
      <w:r>
        <w:t xml:space="preserve">In </w:t>
      </w:r>
      <w:r w:rsidRPr="00C20724">
        <w:t xml:space="preserve">diesen </w:t>
      </w:r>
      <w:r w:rsidR="00C20724" w:rsidRPr="00C20724">
        <w:t xml:space="preserve">nationalen Regelungen </w:t>
      </w:r>
      <w:r>
        <w:t xml:space="preserve">werden den </w:t>
      </w:r>
      <w:r w:rsidRPr="00C20724">
        <w:t>Normad</w:t>
      </w:r>
      <w:r w:rsidR="00C20724" w:rsidRPr="00C20724">
        <w:t>r</w:t>
      </w:r>
      <w:r w:rsidRPr="00C20724">
        <w:t>essaten</w:t>
      </w:r>
      <w:r w:rsidR="00C20724" w:rsidRPr="00C20724">
        <w:t xml:space="preserve"> -</w:t>
      </w:r>
      <w:r>
        <w:t xml:space="preserve"> wie beispielsweise Krankenhäusern oder niedergelassenen Arztpraxen </w:t>
      </w:r>
      <w:r w:rsidR="00C20724">
        <w:t xml:space="preserve">- </w:t>
      </w:r>
      <w:r>
        <w:t>Pflichten auferlegt, welche durch eine Einwilligung nicht geändert werden können.</w:t>
      </w:r>
    </w:p>
    <w:p w14:paraId="1D797262" w14:textId="3B14B7C9" w:rsidR="00AF6483" w:rsidRDefault="00337C0B" w:rsidP="003B642E">
      <w:r>
        <w:t>Art. </w:t>
      </w:r>
      <w:r w:rsidR="00231E05">
        <w:t xml:space="preserve">24, </w:t>
      </w:r>
      <w:r w:rsidR="00AF6483">
        <w:t xml:space="preserve">25 und 32 DS-GVO erlegen </w:t>
      </w:r>
      <w:r w:rsidR="00AF6483" w:rsidRPr="00231E05">
        <w:t>Verantwortlichen</w:t>
      </w:r>
      <w:r w:rsidR="00AF6483">
        <w:t xml:space="preserve"> </w:t>
      </w:r>
      <w:r w:rsidR="00AF6483" w:rsidRPr="00C20724">
        <w:t>Pflichten</w:t>
      </w:r>
      <w:r w:rsidR="00AF6483">
        <w:t xml:space="preserve"> auf,</w:t>
      </w:r>
      <w:r w:rsidR="00C20724">
        <w:t xml:space="preserve"> sowohl</w:t>
      </w:r>
      <w:r w:rsidR="00AF6483">
        <w:t xml:space="preserve"> in </w:t>
      </w:r>
      <w:r>
        <w:t>Art. </w:t>
      </w:r>
      <w:r w:rsidR="00C20724">
        <w:t xml:space="preserve">25 als auch in </w:t>
      </w:r>
      <w:r>
        <w:t>Art. </w:t>
      </w:r>
      <w:r w:rsidR="00AF6483">
        <w:t xml:space="preserve">32 DS-GVO wird eine abschließende Reihe von Bedingungen genannt, welche bei der Feststellung des Schutzniveaus sowie der zu ergreifenden technischen und organisatorischen Maßnahmen zu berücksichtigen sind – die Einwilligung ist </w:t>
      </w:r>
      <w:r w:rsidR="00C20724">
        <w:t xml:space="preserve">in beiden Fällen </w:t>
      </w:r>
      <w:r w:rsidR="00AF6483">
        <w:t>nicht darunter.</w:t>
      </w:r>
    </w:p>
    <w:p w14:paraId="2D9AB78E" w14:textId="271EED67" w:rsidR="00AF6483" w:rsidRDefault="00AF6483" w:rsidP="003B642E">
      <w:r>
        <w:t>Für die Bewertung der Angemessenheit der Maßnahmen muss der Verantwortliche „</w:t>
      </w:r>
      <w:r w:rsidRPr="00AF6483">
        <w:t>Eintrittswahrscheinlichkeit und Schwere des Risikos für die Rechte und Freiheiten natürlicher Personen</w:t>
      </w:r>
      <w:r>
        <w:t xml:space="preserve">“ bewerten. Zu den Rechten und Freiheiten betroffener Personen gehört entsprechend Titel II („Freiheiten“) der </w:t>
      </w:r>
      <w:r w:rsidRPr="00AF6483">
        <w:t>Charta der Grundrechte der Europäischen Union</w:t>
      </w:r>
      <w:r>
        <w:t xml:space="preserve"> neben dem Schutz personenbezogener Daten (</w:t>
      </w:r>
      <w:r w:rsidR="00337C0B">
        <w:t>Art. </w:t>
      </w:r>
      <w:r>
        <w:t>8 Charta) auch das Recht auf Sicherheit (</w:t>
      </w:r>
      <w:r w:rsidR="00337C0B">
        <w:t>Art. </w:t>
      </w:r>
      <w:r>
        <w:t>6 Charta). Das Recht auf Sicherheit ist nach Rechtsprechung des EuGH weit zu fassen.</w:t>
      </w:r>
      <w:r>
        <w:rPr>
          <w:rStyle w:val="Funotenzeichen"/>
        </w:rPr>
        <w:footnoteReference w:id="117"/>
      </w:r>
      <w:r>
        <w:t xml:space="preserve"> Dieses Recht umfasst nicht nur den Schutz vor Kriminalität und Gewalttaten, sondern auch die Sicherheit des </w:t>
      </w:r>
      <w:r w:rsidRPr="00C20724">
        <w:t>e</w:t>
      </w:r>
      <w:r w:rsidR="00C20724" w:rsidRPr="00C20724">
        <w:t>i</w:t>
      </w:r>
      <w:r w:rsidRPr="00C20724">
        <w:t>g</w:t>
      </w:r>
      <w:r w:rsidR="00C20724" w:rsidRPr="00C20724">
        <w:t>e</w:t>
      </w:r>
      <w:r w:rsidRPr="00C20724">
        <w:t>nen</w:t>
      </w:r>
      <w:r>
        <w:t xml:space="preserve"> Lebens sowie der Gesundheit. Dementsprechend muss ein Verantwortlicher bei der Bewertung der Angemessenheit des nach </w:t>
      </w:r>
      <w:r w:rsidR="00337C0B">
        <w:t>Art. </w:t>
      </w:r>
      <w:r>
        <w:t>32 DS-GVO zu gewährleistenden Schutzniveaus auch immer die Auswirkungen der technisch-organisat</w:t>
      </w:r>
      <w:r w:rsidR="0012289B">
        <w:t>o</w:t>
      </w:r>
      <w:r>
        <w:t>rischen Maßnahmen auf Leben und Gesundheit einer betroffenen Person berücksichtigen.</w:t>
      </w:r>
    </w:p>
    <w:p w14:paraId="117F2CE8" w14:textId="05A234A8" w:rsidR="00877C39" w:rsidRDefault="00877C39" w:rsidP="003B642E">
      <w:r>
        <w:t>Abseits der DS-GVO sehen europäische und deutsche Rechtsnor</w:t>
      </w:r>
      <w:r w:rsidR="001D7978">
        <w:t>m</w:t>
      </w:r>
      <w:r>
        <w:t>e</w:t>
      </w:r>
      <w:r w:rsidR="001D7978">
        <w:t>n</w:t>
      </w:r>
      <w:r>
        <w:t xml:space="preserve"> eine Absenkung i. d. R. nicht vor, die Gedanken zur Einhaltung der EU-Grundrechtecharta gelten </w:t>
      </w:r>
      <w:r w:rsidR="00AC559B">
        <w:t>jedoch</w:t>
      </w:r>
      <w:r>
        <w:t xml:space="preserve"> gleichermaßen. Auch in diesen Rechtsakten werden i. d. R. „geeignete und angemessene“ Maßnahmen gefordert, d. h. ein gewisse</w:t>
      </w:r>
      <w:r w:rsidR="001D7978">
        <w:t>r</w:t>
      </w:r>
      <w:r>
        <w:t xml:space="preserve"> Spielraum zur Bewertung von angemessenen Maßnahmen verbleibt beim Rechtsanwender.</w:t>
      </w:r>
    </w:p>
    <w:p w14:paraId="5FC8C4C5" w14:textId="50AC2A8B" w:rsidR="00AF6483" w:rsidRDefault="00AF6483" w:rsidP="00AF6483">
      <w:pPr>
        <w:pStyle w:val="Anhang2"/>
      </w:pPr>
      <w:bookmarkStart w:id="247" w:name="_Toc169934890"/>
      <w:r>
        <w:t>Fazit</w:t>
      </w:r>
      <w:bookmarkEnd w:id="247"/>
    </w:p>
    <w:p w14:paraId="2BD93A31" w14:textId="77777777" w:rsidR="00877C39" w:rsidRDefault="00AF6483" w:rsidP="00AF6483">
      <w:r>
        <w:t>Eine Einwilligung betroffener Personen wird die gesetzlichen Anforderungen bzgl. zu gewährleistender IT-Sicherheit nicht verändern können. Jedoch kann der Wille betroffener Personen – insbesondere, wenn es sich dabei um Patienten handelt und sich die Verarbeitung auf die Behandlung von gesundheitlichen Beeinträchtigungen handelt – einen wichtigen Faktor zur Bestimmung der Angemessenheit in einem konkreten Fall darstellen.</w:t>
      </w:r>
    </w:p>
    <w:p w14:paraId="464B2044" w14:textId="70C760CB" w:rsidR="00AF6483" w:rsidRDefault="00AF6483" w:rsidP="00AF6483">
      <w:r>
        <w:t xml:space="preserve">Eine Einwilligung gibt den Willen der betroffenen Person wieder, aber ob dem Willen in Anbetracht der individuellen Situation aus Gründen der Risikobetrachtung für </w:t>
      </w:r>
      <w:r w:rsidRPr="00AF6483">
        <w:t xml:space="preserve">die Rechte und Freiheiten </w:t>
      </w:r>
      <w:r>
        <w:t>der betroffenen Person gefolgt werden kann oder nicht, diese Entscheidung muss ein Verantwortlicher tragen.</w:t>
      </w:r>
    </w:p>
    <w:p w14:paraId="256C7F25" w14:textId="3FDDCBF1" w:rsidR="00D2273D" w:rsidRDefault="00D2273D" w:rsidP="00D2273D">
      <w:r>
        <w:t xml:space="preserve">Zumindest die DS-GVO bietet mit </w:t>
      </w:r>
      <w:r w:rsidR="00337C0B">
        <w:t>Art. </w:t>
      </w:r>
      <w:r>
        <w:t xml:space="preserve">24, 25 und 32 DS-GVO einen großen Raum für „Ausnahmen“ und Einzelfallbetrachtungen hinsichtlich des individuellen Schutzumfangs, denn nach dem Wortlaut der Norm muss der Verantwortliche – ggf. entsprechend </w:t>
      </w:r>
      <w:r w:rsidR="00337C0B">
        <w:t>Art. </w:t>
      </w:r>
      <w:r>
        <w:t xml:space="preserve">32 </w:t>
      </w:r>
      <w:r w:rsidRPr="00231E05">
        <w:t>D</w:t>
      </w:r>
      <w:r w:rsidR="00231E05" w:rsidRPr="00231E05">
        <w:t>S</w:t>
      </w:r>
      <w:r w:rsidRPr="00231E05">
        <w:t>-GVO</w:t>
      </w:r>
      <w:r>
        <w:t xml:space="preserve"> auch gemeinsam mit einem oder </w:t>
      </w:r>
      <w:r w:rsidRPr="00231E05">
        <w:t>mehreren Auftragsverarbeiter</w:t>
      </w:r>
      <w:r w:rsidR="00231E05" w:rsidRPr="00231E05">
        <w:t>n</w:t>
      </w:r>
      <w:r>
        <w:t xml:space="preserve"> – „geeignete“ Maßnahmen treffen, um ein „angemessenes“ Schutzniveau zu gewährleisten. Hierbei muss der Verantwortliche zwar auch den „Stand der Technik“ berücksichtigen, aber gleichermaßen die „Zwecke der Verarbeitung“ und die „Schwere des Risikos für die Rechte und Freiheiten natürlicher Personen“, zu denen auch das Recht auf Leben sowie körperliche </w:t>
      </w:r>
      <w:r w:rsidRPr="00231E05">
        <w:t>un</w:t>
      </w:r>
      <w:r w:rsidR="00231E05" w:rsidRPr="00231E05">
        <w:t>d</w:t>
      </w:r>
      <w:r>
        <w:t xml:space="preserve"> geistige </w:t>
      </w:r>
      <w:r w:rsidRPr="00231E05">
        <w:t>Gesundh</w:t>
      </w:r>
      <w:r w:rsidR="00231E05" w:rsidRPr="00231E05">
        <w:t>e</w:t>
      </w:r>
      <w:r w:rsidRPr="00231E05">
        <w:t>it</w:t>
      </w:r>
      <w:r>
        <w:t xml:space="preserve"> der betroffenen Person gehören, in die Bewertung einbeziehen. Die DS-GVO bietet also die Möglichkeit, über das Merkmal der Angemessenheit das konkrete Schutzniveau im Einzelfall festzustellen und den Interessen der betroffenen Personen Rechnung zu tragen, auch ohne Einwilligung.</w:t>
      </w:r>
    </w:p>
    <w:p w14:paraId="73B18100" w14:textId="361FB63E" w:rsidR="00D2273D" w:rsidRDefault="00D2273D" w:rsidP="00D2273D">
      <w:r>
        <w:t xml:space="preserve">Das deutsche Recht, welches die IT-Sicherheit in der stationären und ambulanten Versorgung sowie bei Kranken- und Pflegekassen regelt, verlangt hingegen den „Stand der Technik“, welcher i. d. R. durch die Verbandsvertretungen wie der </w:t>
      </w:r>
      <w:r w:rsidRPr="00231E05">
        <w:t>Deutschen</w:t>
      </w:r>
      <w:r>
        <w:t xml:space="preserve"> Krankenhausgesellschaft oder der </w:t>
      </w:r>
      <w:r w:rsidRPr="00231E05">
        <w:t>Kassenärztlichen</w:t>
      </w:r>
      <w:r>
        <w:t xml:space="preserve"> Bundesvereinigung herausgegebenen branchenspezifischen Sicherheitsstandards definiert wird, einzuhalten. Eine Einzelfallabwägung zugunsten von Patienten oder Versicherten sah der deutsche Gesetzgeber nicht vor.</w:t>
      </w:r>
    </w:p>
    <w:p w14:paraId="701B150A" w14:textId="3AE53AA9" w:rsidR="00D2273D" w:rsidRPr="00AF6483" w:rsidRDefault="0012289B" w:rsidP="00AF6483">
      <w:r>
        <w:t>Verantwortliche müssen entsprechend den europäischen und deutschen gesetzlichen Vorgaben die Sicherheit der Verarbeitung entsprechend dem Stand der Technik gewährleisten</w:t>
      </w:r>
      <w:r w:rsidR="00D2273D">
        <w:t xml:space="preserve">, wobei zumindest das europäische </w:t>
      </w:r>
      <w:r w:rsidR="00877C39">
        <w:t>Recht</w:t>
      </w:r>
      <w:r w:rsidR="00D2273D">
        <w:t xml:space="preserve"> einen Ermessensspielraum </w:t>
      </w:r>
      <w:r w:rsidR="00877C39">
        <w:t xml:space="preserve">hinsichtlich der Vorgaben der Geeignetheit bzw. der Angemessenheit </w:t>
      </w:r>
      <w:r w:rsidR="00D2273D">
        <w:t>bietet</w:t>
      </w:r>
      <w:r>
        <w:t xml:space="preserve">. Ob im in einer bestimmten Situation für eine einzelne betroffene Person eine individuelle Entscheidung getroffen </w:t>
      </w:r>
      <w:r w:rsidR="00D2273D">
        <w:t xml:space="preserve">wird und darauf basierend eine Herabsenkung </w:t>
      </w:r>
      <w:r w:rsidR="00D2273D" w:rsidRPr="00231E05">
        <w:t>des Sicherheitsniveau</w:t>
      </w:r>
      <w:r w:rsidR="00231E05" w:rsidRPr="00231E05">
        <w:t>s</w:t>
      </w:r>
      <w:r w:rsidR="00D2273D">
        <w:t xml:space="preserve"> in einem individuellen Fall erfolgt</w:t>
      </w:r>
      <w:r>
        <w:t xml:space="preserve">, </w:t>
      </w:r>
      <w:r w:rsidR="00D2273D">
        <w:t xml:space="preserve">muss der jeweilige </w:t>
      </w:r>
      <w:r>
        <w:t>Verantwortliche</w:t>
      </w:r>
      <w:r w:rsidR="00D2273D">
        <w:t xml:space="preserve"> selbst </w:t>
      </w:r>
      <w:r w:rsidR="0062133B">
        <w:t>treffen</w:t>
      </w:r>
      <w:r w:rsidR="00D2273D">
        <w:t>;</w:t>
      </w:r>
      <w:r>
        <w:t xml:space="preserve"> </w:t>
      </w:r>
      <w:r w:rsidR="00D2273D">
        <w:t>d</w:t>
      </w:r>
      <w:r>
        <w:t>ieser muss die Entscheidung in letzter Konsequenz auch verantworten</w:t>
      </w:r>
      <w:r w:rsidR="00877C39">
        <w:t>. U</w:t>
      </w:r>
      <w:r>
        <w:t xml:space="preserve">nd </w:t>
      </w:r>
      <w:r w:rsidR="00D2273D">
        <w:t xml:space="preserve">im Zweifelsfall vor Gericht </w:t>
      </w:r>
      <w:r>
        <w:t>auch dafür haften.</w:t>
      </w:r>
    </w:p>
    <w:p w14:paraId="2DE324A8" w14:textId="77777777" w:rsidR="00AF6483" w:rsidRPr="00F11B80" w:rsidRDefault="00AF6483" w:rsidP="003B642E"/>
    <w:p w14:paraId="266D175E" w14:textId="0805D76C" w:rsidR="00F11B80" w:rsidRDefault="00F11B80">
      <w:pPr>
        <w:spacing w:after="0" w:line="240" w:lineRule="auto"/>
        <w:jc w:val="left"/>
        <w:rPr>
          <w:rFonts w:asciiTheme="majorHAnsi" w:eastAsiaTheme="majorEastAsia" w:hAnsiTheme="majorHAnsi" w:cstheme="majorBidi"/>
          <w:b/>
          <w:bCs/>
          <w:color w:val="365F91" w:themeColor="accent1" w:themeShade="BF"/>
          <w:sz w:val="28"/>
          <w:szCs w:val="28"/>
        </w:rPr>
      </w:pPr>
      <w:r>
        <w:br w:type="page"/>
      </w:r>
    </w:p>
    <w:p w14:paraId="0EA36E92" w14:textId="5251C7DC" w:rsidR="00594B31" w:rsidRDefault="00594B31" w:rsidP="003B642E">
      <w:pPr>
        <w:pStyle w:val="Anhang"/>
        <w:numPr>
          <w:ilvl w:val="0"/>
          <w:numId w:val="41"/>
        </w:numPr>
      </w:pPr>
      <w:bookmarkStart w:id="248" w:name="_Toc169934891"/>
      <w:r>
        <w:t>Gesetze im Internet</w:t>
      </w:r>
      <w:bookmarkEnd w:id="248"/>
    </w:p>
    <w:p w14:paraId="774AFCBD" w14:textId="77777777" w:rsidR="00B62A63" w:rsidRDefault="00B62A63" w:rsidP="003B642E">
      <w:pPr>
        <w:pStyle w:val="Anhang2"/>
        <w:numPr>
          <w:ilvl w:val="1"/>
          <w:numId w:val="41"/>
        </w:numPr>
      </w:pPr>
      <w:bookmarkStart w:id="249" w:name="_Toc169934892"/>
      <w:r w:rsidRPr="003B642E">
        <w:t>Bundesrecht</w:t>
      </w:r>
      <w:bookmarkEnd w:id="249"/>
    </w:p>
    <w:p w14:paraId="2001B4F5" w14:textId="77777777" w:rsidR="003F73B8" w:rsidRDefault="00594B31" w:rsidP="003B642E">
      <w:pPr>
        <w:pStyle w:val="Anhang3"/>
        <w:numPr>
          <w:ilvl w:val="2"/>
          <w:numId w:val="41"/>
        </w:numPr>
      </w:pPr>
      <w:bookmarkStart w:id="250" w:name="_Toc169934893"/>
      <w:r w:rsidRPr="003B642E">
        <w:t>Bundesdatenschutzgesetz</w:t>
      </w:r>
      <w:bookmarkEnd w:id="250"/>
    </w:p>
    <w:p w14:paraId="22CC5405" w14:textId="4D4592F3" w:rsidR="00594B31" w:rsidRDefault="00000000" w:rsidP="003F73B8">
      <w:pPr>
        <w:ind w:left="708"/>
      </w:pPr>
      <w:hyperlink r:id="rId22" w:history="1">
        <w:r w:rsidR="00594B31" w:rsidRPr="005E7451">
          <w:rPr>
            <w:rStyle w:val="Hyperlink"/>
          </w:rPr>
          <w:t>https://www.gesetze-im-internet.de/bdsg_2018/</w:t>
        </w:r>
      </w:hyperlink>
    </w:p>
    <w:p w14:paraId="1643935A" w14:textId="756D908D" w:rsidR="00594B31" w:rsidRDefault="005F5895" w:rsidP="00105463">
      <w:pPr>
        <w:pStyle w:val="Listenabsatz"/>
        <w:numPr>
          <w:ilvl w:val="1"/>
          <w:numId w:val="49"/>
        </w:numPr>
        <w:ind w:left="1134"/>
      </w:pPr>
      <w:r>
        <w:t>§ </w:t>
      </w:r>
      <w:r w:rsidR="00594B31" w:rsidRPr="00594B31">
        <w:t>22 Verarbeitung besonderer Kategorien personenbezogener Daten</w:t>
      </w:r>
    </w:p>
    <w:p w14:paraId="6370E637" w14:textId="422DE9EF" w:rsidR="00594B31" w:rsidRDefault="00000000" w:rsidP="00594B31">
      <w:pPr>
        <w:pStyle w:val="Listenabsatz"/>
        <w:ind w:left="1134"/>
      </w:pPr>
      <w:hyperlink r:id="rId23" w:history="1">
        <w:r w:rsidR="00594B31" w:rsidRPr="005E7451">
          <w:rPr>
            <w:rStyle w:val="Hyperlink"/>
          </w:rPr>
          <w:t>https://www.gesetze-im-internet.de/bdsg_2018/__22.html</w:t>
        </w:r>
      </w:hyperlink>
    </w:p>
    <w:p w14:paraId="1D5C1FDD" w14:textId="0C6C039C" w:rsidR="00594B31" w:rsidRDefault="005F5895" w:rsidP="00105463">
      <w:pPr>
        <w:pStyle w:val="Listenabsatz"/>
        <w:numPr>
          <w:ilvl w:val="1"/>
          <w:numId w:val="49"/>
        </w:numPr>
        <w:ind w:left="1134"/>
      </w:pPr>
      <w:r>
        <w:t>§ </w:t>
      </w:r>
      <w:r w:rsidR="00594B31" w:rsidRPr="00594B31">
        <w:t>26 Datenverarbeitung für Zwecke des Beschäftigungsverhältnisses</w:t>
      </w:r>
    </w:p>
    <w:p w14:paraId="5C839B28" w14:textId="65DF1860" w:rsidR="00594B31" w:rsidRDefault="00000000" w:rsidP="00594B31">
      <w:pPr>
        <w:pStyle w:val="Listenabsatz"/>
        <w:ind w:left="1134"/>
      </w:pPr>
      <w:hyperlink r:id="rId24" w:history="1">
        <w:r w:rsidR="00594B31" w:rsidRPr="005E7451">
          <w:rPr>
            <w:rStyle w:val="Hyperlink"/>
          </w:rPr>
          <w:t>https://www.gesetze-im-internet.de/bdsg_2018/__26.html</w:t>
        </w:r>
      </w:hyperlink>
    </w:p>
    <w:p w14:paraId="783A2422" w14:textId="0D480CB2" w:rsidR="00594B31" w:rsidRDefault="005F5895" w:rsidP="00105463">
      <w:pPr>
        <w:pStyle w:val="Listenabsatz"/>
        <w:numPr>
          <w:ilvl w:val="1"/>
          <w:numId w:val="49"/>
        </w:numPr>
        <w:ind w:left="1134"/>
      </w:pPr>
      <w:r>
        <w:t>§ </w:t>
      </w:r>
      <w:r w:rsidR="00594B31" w:rsidRPr="00594B31">
        <w:t>27 Datenverarbeitung zu wissenschaftlichen oder historischen Forschungszwecken und zu statistischen Zwecken</w:t>
      </w:r>
    </w:p>
    <w:p w14:paraId="5AE21B4B" w14:textId="1C82AC5B" w:rsidR="00594B31" w:rsidRPr="00B62A63" w:rsidRDefault="00000000" w:rsidP="00594B31">
      <w:pPr>
        <w:pStyle w:val="Listenabsatz"/>
        <w:ind w:left="1134"/>
      </w:pPr>
      <w:hyperlink r:id="rId25" w:history="1">
        <w:r w:rsidR="00594B31" w:rsidRPr="005E7451">
          <w:rPr>
            <w:rStyle w:val="Hyperlink"/>
          </w:rPr>
          <w:t>https://www.gesetze-im-internet.de/bdsg_2018/__27.html</w:t>
        </w:r>
      </w:hyperlink>
    </w:p>
    <w:p w14:paraId="41712FAD" w14:textId="77777777" w:rsidR="003F73B8" w:rsidRDefault="00B62A63" w:rsidP="003B642E">
      <w:pPr>
        <w:pStyle w:val="Anhang3"/>
        <w:numPr>
          <w:ilvl w:val="2"/>
          <w:numId w:val="41"/>
        </w:numPr>
      </w:pPr>
      <w:bookmarkStart w:id="251" w:name="_Toc169934894"/>
      <w:r w:rsidRPr="00B62A63">
        <w:t xml:space="preserve">Gesetz zur Nutzung von Gesundheitsdaten zu gemeinwohlorientierten Forschungszwecken und zur datenbasierten Weiterentwicklung des Gesundheitswesens </w:t>
      </w:r>
      <w:r>
        <w:t>(</w:t>
      </w:r>
      <w:r w:rsidRPr="00B62A63">
        <w:t>Gesundheitsdatennutzungsgesetz</w:t>
      </w:r>
      <w:r>
        <w:t>,</w:t>
      </w:r>
      <w:r w:rsidRPr="00B62A63">
        <w:t xml:space="preserve"> GDNG)</w:t>
      </w:r>
      <w:bookmarkEnd w:id="251"/>
    </w:p>
    <w:p w14:paraId="7FFA33ED" w14:textId="0DC64F87" w:rsidR="003F73B8" w:rsidRDefault="00000000" w:rsidP="003F73B8">
      <w:pPr>
        <w:ind w:left="708"/>
      </w:pPr>
      <w:hyperlink r:id="rId26" w:history="1">
        <w:r w:rsidR="00B62A63" w:rsidRPr="00944799">
          <w:rPr>
            <w:rStyle w:val="Hyperlink"/>
          </w:rPr>
          <w:t>https://www.gesetze-im-internet.de/gdng/index.html</w:t>
        </w:r>
      </w:hyperlink>
    </w:p>
    <w:p w14:paraId="42CFD2F9" w14:textId="06019F81" w:rsidR="00B62A63" w:rsidRPr="00B62A63" w:rsidRDefault="005F5895" w:rsidP="003F73B8">
      <w:pPr>
        <w:pStyle w:val="Listenabsatz"/>
        <w:numPr>
          <w:ilvl w:val="1"/>
          <w:numId w:val="49"/>
        </w:numPr>
        <w:ind w:left="1134"/>
        <w:jc w:val="left"/>
      </w:pPr>
      <w:r>
        <w:t>§ </w:t>
      </w:r>
      <w:r w:rsidR="00B62A63" w:rsidRPr="00B62A63">
        <w:t>6 Weiterverarbeitung von Versorgungsdaten zur Qualitätssicherung, zur Förderung der Patientensicherheit und zu Forschungszwecken</w:t>
      </w:r>
      <w:r w:rsidR="00B62A63">
        <w:br/>
      </w:r>
      <w:hyperlink r:id="rId27" w:history="1">
        <w:r w:rsidR="00B62A63" w:rsidRPr="00944799">
          <w:rPr>
            <w:rStyle w:val="Hyperlink"/>
          </w:rPr>
          <w:t>https://www.gesetze-im-internet.de/gdng/__6.html</w:t>
        </w:r>
      </w:hyperlink>
    </w:p>
    <w:p w14:paraId="13C019E9" w14:textId="1FD2D7EF" w:rsidR="00594B31" w:rsidRDefault="00594B31" w:rsidP="003B642E">
      <w:pPr>
        <w:pStyle w:val="Anhang2"/>
        <w:numPr>
          <w:ilvl w:val="1"/>
          <w:numId w:val="41"/>
        </w:numPr>
      </w:pPr>
      <w:bookmarkStart w:id="252" w:name="_Toc169934895"/>
      <w:r>
        <w:t>Landeskrankenhausgesetze</w:t>
      </w:r>
      <w:r w:rsidR="00B30E6F">
        <w:t xml:space="preserve"> nach Bundesländern</w:t>
      </w:r>
      <w:bookmarkEnd w:id="252"/>
    </w:p>
    <w:p w14:paraId="4BAECE2B" w14:textId="6F1C201F" w:rsidR="00594B31" w:rsidRDefault="005F288F" w:rsidP="003B642E">
      <w:pPr>
        <w:pStyle w:val="Anhang3"/>
        <w:numPr>
          <w:ilvl w:val="2"/>
          <w:numId w:val="41"/>
        </w:numPr>
      </w:pPr>
      <w:bookmarkStart w:id="253" w:name="_Toc169934896"/>
      <w:bookmarkStart w:id="254" w:name="_Hlk165877814"/>
      <w:r w:rsidRPr="005F288F">
        <w:t>Baden-Württemberg</w:t>
      </w:r>
      <w:bookmarkEnd w:id="253"/>
    </w:p>
    <w:p w14:paraId="40137838" w14:textId="446FB96E" w:rsidR="00B74DE5" w:rsidRDefault="00B74DE5" w:rsidP="00B74DE5">
      <w:pPr>
        <w:pStyle w:val="Listenabsatz"/>
        <w:numPr>
          <w:ilvl w:val="0"/>
          <w:numId w:val="29"/>
        </w:numPr>
        <w:jc w:val="left"/>
      </w:pPr>
      <w:r w:rsidRPr="00B74DE5">
        <w:t xml:space="preserve">Landeskrankenhausgesetz Baden-Württemberg </w:t>
      </w:r>
      <w:r>
        <w:t>(LKHG)</w:t>
      </w:r>
      <w:r>
        <w:br/>
      </w:r>
      <w:hyperlink r:id="rId28" w:history="1">
        <w:r w:rsidR="00514004" w:rsidRPr="005C71C9">
          <w:rPr>
            <w:rStyle w:val="Hyperlink"/>
          </w:rPr>
          <w:t>https://www.landesrecht-bw.de/perma?j=KHG_BW</w:t>
        </w:r>
      </w:hyperlink>
    </w:p>
    <w:p w14:paraId="45F7CD1E" w14:textId="0C09BFCE" w:rsidR="00B74DE5" w:rsidRDefault="005F5895" w:rsidP="00B74DE5">
      <w:pPr>
        <w:pStyle w:val="Listenabsatz"/>
        <w:numPr>
          <w:ilvl w:val="1"/>
          <w:numId w:val="29"/>
        </w:numPr>
        <w:jc w:val="left"/>
      </w:pPr>
      <w:r>
        <w:t>§ </w:t>
      </w:r>
      <w:r w:rsidR="00B74DE5">
        <w:t xml:space="preserve">45 </w:t>
      </w:r>
      <w:r w:rsidR="00B74DE5" w:rsidRPr="00B74DE5">
        <w:t>Zulässigkeit der Verarbeitung</w:t>
      </w:r>
      <w:r w:rsidR="00B74DE5">
        <w:br/>
      </w:r>
      <w:hyperlink r:id="rId29" w:history="1">
        <w:r w:rsidR="00B74DE5" w:rsidRPr="00B221D3">
          <w:rPr>
            <w:rStyle w:val="Hyperlink"/>
          </w:rPr>
          <w:t>https://www.landesrecht-bw.de/bsbw/document/jlr-KHGBW2008V8P45</w:t>
        </w:r>
      </w:hyperlink>
    </w:p>
    <w:p w14:paraId="4F6B6228" w14:textId="1A147AC9" w:rsidR="00B74DE5" w:rsidRDefault="005F5895" w:rsidP="00B74DE5">
      <w:pPr>
        <w:pStyle w:val="Listenabsatz"/>
        <w:numPr>
          <w:ilvl w:val="1"/>
          <w:numId w:val="29"/>
        </w:numPr>
        <w:jc w:val="left"/>
      </w:pPr>
      <w:r>
        <w:t>§ </w:t>
      </w:r>
      <w:r w:rsidR="00B74DE5">
        <w:t xml:space="preserve">46 </w:t>
      </w:r>
      <w:r w:rsidR="00B74DE5" w:rsidRPr="00B74DE5">
        <w:t>Zulässigkeit der Übermittlung</w:t>
      </w:r>
      <w:r w:rsidR="00B74DE5">
        <w:br/>
      </w:r>
      <w:hyperlink r:id="rId30" w:history="1">
        <w:r w:rsidR="00B74DE5" w:rsidRPr="00B221D3">
          <w:rPr>
            <w:rStyle w:val="Hyperlink"/>
          </w:rPr>
          <w:t>https://www.landesrecht-bw.de/bsbw/document/jlr-KHGBW2008V8P46</w:t>
        </w:r>
      </w:hyperlink>
    </w:p>
    <w:p w14:paraId="1FDC06EE" w14:textId="04A4F5CA" w:rsidR="005F288F" w:rsidRDefault="005F288F" w:rsidP="003B642E">
      <w:pPr>
        <w:pStyle w:val="Anhang3"/>
        <w:numPr>
          <w:ilvl w:val="2"/>
          <w:numId w:val="41"/>
        </w:numPr>
      </w:pPr>
      <w:bookmarkStart w:id="255" w:name="_Toc169934897"/>
      <w:r w:rsidRPr="005F288F">
        <w:t>Bayern</w:t>
      </w:r>
      <w:bookmarkEnd w:id="255"/>
    </w:p>
    <w:p w14:paraId="1158966E" w14:textId="765E4702" w:rsidR="00B74DE5" w:rsidRDefault="00B74DE5" w:rsidP="00B74DE5">
      <w:pPr>
        <w:pStyle w:val="Listenabsatz"/>
        <w:numPr>
          <w:ilvl w:val="0"/>
          <w:numId w:val="29"/>
        </w:numPr>
        <w:jc w:val="left"/>
      </w:pPr>
      <w:r>
        <w:t>Bayerisches Krankenhausgesetz (</w:t>
      </w:r>
      <w:r w:rsidRPr="005F5895">
        <w:t>BayKrG</w:t>
      </w:r>
      <w:r>
        <w:t>)</w:t>
      </w:r>
      <w:r>
        <w:br/>
      </w:r>
      <w:hyperlink r:id="rId31" w:history="1">
        <w:r w:rsidR="00514004" w:rsidRPr="005C71C9">
          <w:rPr>
            <w:rStyle w:val="Hyperlink"/>
          </w:rPr>
          <w:t>https://www.gesetze-bayern.de/Content/Document/BayKrG</w:t>
        </w:r>
      </w:hyperlink>
    </w:p>
    <w:p w14:paraId="1CB1E7C8" w14:textId="6A5F26FC" w:rsidR="00B74DE5" w:rsidRDefault="005F5895" w:rsidP="00B74DE5">
      <w:pPr>
        <w:pStyle w:val="Listenabsatz"/>
        <w:numPr>
          <w:ilvl w:val="1"/>
          <w:numId w:val="29"/>
        </w:numPr>
        <w:jc w:val="left"/>
      </w:pPr>
      <w:r>
        <w:t>Art. </w:t>
      </w:r>
      <w:r w:rsidR="00B74DE5">
        <w:t xml:space="preserve">27 </w:t>
      </w:r>
      <w:r w:rsidR="00B74DE5" w:rsidRPr="00B74DE5">
        <w:t>Datenschutz</w:t>
      </w:r>
      <w:r w:rsidR="00B74DE5">
        <w:br/>
      </w:r>
      <w:hyperlink r:id="rId32" w:history="1">
        <w:r w:rsidR="00B74DE5" w:rsidRPr="00B221D3">
          <w:rPr>
            <w:rStyle w:val="Hyperlink"/>
          </w:rPr>
          <w:t>https://www.gesetze-bayern.de/Content/Document/BayKrG-27</w:t>
        </w:r>
      </w:hyperlink>
    </w:p>
    <w:p w14:paraId="6C93F969" w14:textId="4C55C2A8" w:rsidR="005F288F" w:rsidRDefault="005F288F" w:rsidP="003B642E">
      <w:pPr>
        <w:pStyle w:val="Anhang3"/>
        <w:numPr>
          <w:ilvl w:val="2"/>
          <w:numId w:val="41"/>
        </w:numPr>
      </w:pPr>
      <w:bookmarkStart w:id="256" w:name="_Toc169934898"/>
      <w:r w:rsidRPr="005F288F">
        <w:t>Berlin</w:t>
      </w:r>
      <w:bookmarkEnd w:id="256"/>
    </w:p>
    <w:p w14:paraId="5D4B9B08" w14:textId="1F24D467" w:rsidR="00B74DE5" w:rsidRDefault="00B74DE5" w:rsidP="00B74DE5">
      <w:pPr>
        <w:pStyle w:val="Listenabsatz"/>
        <w:numPr>
          <w:ilvl w:val="0"/>
          <w:numId w:val="29"/>
        </w:numPr>
        <w:jc w:val="left"/>
      </w:pPr>
      <w:r w:rsidRPr="00B74DE5">
        <w:t xml:space="preserve">Landeskrankenhausgesetz </w:t>
      </w:r>
      <w:r>
        <w:t>(</w:t>
      </w:r>
      <w:r w:rsidRPr="005F5895">
        <w:t>LKG</w:t>
      </w:r>
      <w:r>
        <w:t>)</w:t>
      </w:r>
      <w:r>
        <w:br/>
      </w:r>
      <w:hyperlink r:id="rId33" w:history="1">
        <w:r w:rsidR="00514004" w:rsidRPr="005C71C9">
          <w:rPr>
            <w:rStyle w:val="Hyperlink"/>
          </w:rPr>
          <w:t>https://gesetze.berlin.de/perma?j=KHG_BE</w:t>
        </w:r>
      </w:hyperlink>
    </w:p>
    <w:p w14:paraId="1CED2C02" w14:textId="76B8D91F" w:rsidR="00B30E6F" w:rsidRPr="00B74DE5" w:rsidRDefault="005F5895" w:rsidP="00B74DE5">
      <w:pPr>
        <w:pStyle w:val="Listenabsatz"/>
        <w:numPr>
          <w:ilvl w:val="1"/>
          <w:numId w:val="29"/>
        </w:numPr>
        <w:jc w:val="left"/>
      </w:pPr>
      <w:r>
        <w:t>§ </w:t>
      </w:r>
      <w:r w:rsidR="00B74DE5">
        <w:t xml:space="preserve">24 </w:t>
      </w:r>
      <w:r w:rsidR="00B74DE5" w:rsidRPr="00B74DE5">
        <w:t>Verarbeitung von genetischen Daten und Gesundheitsdaten</w:t>
      </w:r>
      <w:r w:rsidR="00B74DE5">
        <w:br/>
      </w:r>
      <w:hyperlink r:id="rId34" w:history="1">
        <w:r w:rsidR="00B74DE5" w:rsidRPr="00B221D3">
          <w:rPr>
            <w:rStyle w:val="Hyperlink"/>
          </w:rPr>
          <w:t>https://gesetze.berlin.de/bsbe/document/jlr-KHGBE2011V6P24</w:t>
        </w:r>
      </w:hyperlink>
    </w:p>
    <w:p w14:paraId="65ED99A4" w14:textId="2393ED78" w:rsidR="00B74DE5" w:rsidRPr="00B74DE5" w:rsidRDefault="005F5895" w:rsidP="00B74DE5">
      <w:pPr>
        <w:pStyle w:val="Listenabsatz"/>
        <w:numPr>
          <w:ilvl w:val="1"/>
          <w:numId w:val="29"/>
        </w:numPr>
        <w:jc w:val="left"/>
        <w:rPr>
          <w:lang w:val="en-US"/>
        </w:rPr>
      </w:pPr>
      <w:r>
        <w:rPr>
          <w:lang w:val="en-US"/>
        </w:rPr>
        <w:t>§ </w:t>
      </w:r>
      <w:r w:rsidR="00B74DE5" w:rsidRPr="00B74DE5">
        <w:rPr>
          <w:lang w:val="en-US"/>
        </w:rPr>
        <w:t>25 Verarbeitung von genetischen Daten und Gesundheitsdaten zu wissenschaftlichen Forschungszwecken</w:t>
      </w:r>
      <w:r w:rsidR="00B74DE5" w:rsidRPr="00B74DE5">
        <w:rPr>
          <w:lang w:val="en-US"/>
        </w:rPr>
        <w:br/>
      </w:r>
      <w:hyperlink r:id="rId35" w:history="1">
        <w:r w:rsidR="00B74DE5" w:rsidRPr="00B74DE5">
          <w:rPr>
            <w:rStyle w:val="Hyperlink"/>
            <w:lang w:val="en-US"/>
          </w:rPr>
          <w:t>https://gesetze.berlin.de/bsbe/document/jlr-KHGBE2011V4P25</w:t>
        </w:r>
      </w:hyperlink>
    </w:p>
    <w:p w14:paraId="6474FA6C" w14:textId="31C13DA6" w:rsidR="005F288F" w:rsidRDefault="005F288F" w:rsidP="003B642E">
      <w:pPr>
        <w:pStyle w:val="Anhang3"/>
        <w:numPr>
          <w:ilvl w:val="2"/>
          <w:numId w:val="41"/>
        </w:numPr>
      </w:pPr>
      <w:bookmarkStart w:id="257" w:name="_Toc169934899"/>
      <w:r w:rsidRPr="005F288F">
        <w:t>Brandenburg</w:t>
      </w:r>
      <w:bookmarkEnd w:id="257"/>
    </w:p>
    <w:p w14:paraId="58BD4148" w14:textId="7BB1C7AE" w:rsidR="00ED6DE3" w:rsidRDefault="00ED6DE3" w:rsidP="00ED6DE3">
      <w:pPr>
        <w:pStyle w:val="Listenabsatz"/>
        <w:numPr>
          <w:ilvl w:val="0"/>
          <w:numId w:val="29"/>
        </w:numPr>
        <w:jc w:val="left"/>
      </w:pPr>
      <w:r w:rsidRPr="00ED6DE3">
        <w:t xml:space="preserve">Gesetz zur Entwicklung der Krankenhäuser im Land Brandenburg (Brandenburgisches Krankenhausentwicklungsgesetz - </w:t>
      </w:r>
      <w:r w:rsidRPr="005F5895">
        <w:t>BbgKHEG</w:t>
      </w:r>
      <w:r w:rsidRPr="00ED6DE3">
        <w:t>)</w:t>
      </w:r>
      <w:r>
        <w:br/>
      </w:r>
      <w:hyperlink r:id="rId36" w:history="1">
        <w:r w:rsidR="00514004" w:rsidRPr="005C71C9">
          <w:rPr>
            <w:rStyle w:val="Hyperlink"/>
          </w:rPr>
          <w:t>https://bravors.brandenburg.de/gesetze/bbgkheg</w:t>
        </w:r>
      </w:hyperlink>
    </w:p>
    <w:p w14:paraId="6F7E57C5" w14:textId="1DF40AFF" w:rsidR="00ED6DE3" w:rsidRDefault="005F5895" w:rsidP="00ED6DE3">
      <w:pPr>
        <w:pStyle w:val="Listenabsatz"/>
        <w:numPr>
          <w:ilvl w:val="1"/>
          <w:numId w:val="29"/>
        </w:numPr>
        <w:jc w:val="left"/>
      </w:pPr>
      <w:r>
        <w:t>§ </w:t>
      </w:r>
      <w:r w:rsidR="00ED6DE3">
        <w:t xml:space="preserve">28 </w:t>
      </w:r>
      <w:r w:rsidR="00ED6DE3" w:rsidRPr="00ED6DE3">
        <w:t>Verarbeitung von Patientendaten mit Ausnahme der Offenlegung</w:t>
      </w:r>
      <w:r w:rsidR="00ED6DE3">
        <w:br/>
      </w:r>
      <w:hyperlink r:id="rId37" w:anchor="28" w:history="1">
        <w:r w:rsidR="00ED6DE3" w:rsidRPr="00B221D3">
          <w:rPr>
            <w:rStyle w:val="Hyperlink"/>
          </w:rPr>
          <w:t>https://bravors.brandenburg.de/gesetze/bbgkheg#28</w:t>
        </w:r>
      </w:hyperlink>
    </w:p>
    <w:p w14:paraId="6D2894F8" w14:textId="3424255C" w:rsidR="00ED6DE3" w:rsidRDefault="005F5895" w:rsidP="00ED6DE3">
      <w:pPr>
        <w:pStyle w:val="Listenabsatz"/>
        <w:numPr>
          <w:ilvl w:val="1"/>
          <w:numId w:val="29"/>
        </w:numPr>
        <w:jc w:val="left"/>
      </w:pPr>
      <w:r>
        <w:t>§ </w:t>
      </w:r>
      <w:r w:rsidR="00ED6DE3">
        <w:t xml:space="preserve">29 </w:t>
      </w:r>
      <w:r w:rsidR="00ED6DE3" w:rsidRPr="00ED6DE3">
        <w:t>Offenlegung von Patientendaten</w:t>
      </w:r>
      <w:r w:rsidR="00ED6DE3">
        <w:br/>
      </w:r>
      <w:hyperlink r:id="rId38" w:anchor="29" w:history="1">
        <w:r w:rsidR="00ED6DE3" w:rsidRPr="00B221D3">
          <w:rPr>
            <w:rStyle w:val="Hyperlink"/>
          </w:rPr>
          <w:t>https://bravors.brandenburg.de/gesetze/bbgkheg#29</w:t>
        </w:r>
      </w:hyperlink>
    </w:p>
    <w:p w14:paraId="73B1E276" w14:textId="0C7A3FA4" w:rsidR="00ED6DE3" w:rsidRPr="00B74DE5" w:rsidRDefault="005F5895" w:rsidP="00ED6DE3">
      <w:pPr>
        <w:pStyle w:val="Listenabsatz"/>
        <w:numPr>
          <w:ilvl w:val="1"/>
          <w:numId w:val="29"/>
        </w:numPr>
        <w:jc w:val="left"/>
      </w:pPr>
      <w:r>
        <w:t>§ </w:t>
      </w:r>
      <w:r w:rsidR="00ED6DE3">
        <w:t xml:space="preserve">31 </w:t>
      </w:r>
      <w:r w:rsidR="00ED6DE3" w:rsidRPr="00ED6DE3">
        <w:t>Datenschutz bei Forschungsvorhaben</w:t>
      </w:r>
      <w:r w:rsidR="00ED6DE3">
        <w:br/>
      </w:r>
      <w:r w:rsidR="00ED6DE3" w:rsidRPr="00ED6DE3">
        <w:t>https://bravors.brandenburg.de/gesetze/bbgkheg#31</w:t>
      </w:r>
    </w:p>
    <w:p w14:paraId="6A2C09A1" w14:textId="3257BF12" w:rsidR="005F288F" w:rsidRDefault="005F288F" w:rsidP="003B642E">
      <w:pPr>
        <w:pStyle w:val="Anhang3"/>
        <w:numPr>
          <w:ilvl w:val="2"/>
          <w:numId w:val="41"/>
        </w:numPr>
      </w:pPr>
      <w:bookmarkStart w:id="258" w:name="_Toc169934900"/>
      <w:r w:rsidRPr="005F288F">
        <w:t>Bremen</w:t>
      </w:r>
      <w:bookmarkEnd w:id="258"/>
    </w:p>
    <w:p w14:paraId="0D01349E" w14:textId="20F333AC" w:rsidR="00F3228A" w:rsidRDefault="00F3228A" w:rsidP="00F3228A">
      <w:pPr>
        <w:pStyle w:val="Listenabsatz"/>
        <w:numPr>
          <w:ilvl w:val="0"/>
          <w:numId w:val="29"/>
        </w:numPr>
        <w:jc w:val="left"/>
      </w:pPr>
      <w:r w:rsidRPr="00F3228A">
        <w:t>Bremisches Krankenhausgesetz (</w:t>
      </w:r>
      <w:r w:rsidRPr="005F5895">
        <w:t>BremKrhG</w:t>
      </w:r>
      <w:r w:rsidRPr="00ED6DE3">
        <w:t>)</w:t>
      </w:r>
      <w:r>
        <w:br/>
      </w:r>
      <w:hyperlink r:id="rId39" w:history="1">
        <w:r w:rsidR="00514004" w:rsidRPr="005C71C9">
          <w:rPr>
            <w:rStyle w:val="Hyperlink"/>
          </w:rPr>
          <w:t>https://www.transparenz.bremen.de/metainformationen/bremisches-krankenhausgesetz-bremkrhg-vom-24-november-2020-159875?template=20_gp_ifg_meta_detail_d</w:t>
        </w:r>
      </w:hyperlink>
    </w:p>
    <w:p w14:paraId="024C5643" w14:textId="288D5A17" w:rsidR="00F3228A" w:rsidRDefault="005F5895" w:rsidP="00F3228A">
      <w:pPr>
        <w:pStyle w:val="Listenabsatz"/>
        <w:numPr>
          <w:ilvl w:val="1"/>
          <w:numId w:val="29"/>
        </w:numPr>
        <w:jc w:val="left"/>
      </w:pPr>
      <w:r>
        <w:t>§ </w:t>
      </w:r>
      <w:r w:rsidR="00F3228A" w:rsidRPr="00F3228A">
        <w:t>38 Verarbeitung</w:t>
      </w:r>
      <w:r w:rsidR="00F3228A">
        <w:br/>
      </w:r>
      <w:hyperlink r:id="rId40" w:anchor="jlr-KHGBR2020pP38" w:history="1">
        <w:r w:rsidR="00F3228A" w:rsidRPr="00B221D3">
          <w:rPr>
            <w:rStyle w:val="Hyperlink"/>
          </w:rPr>
          <w:t>https://www.transparenz.bremen.de/metainformationen/bremisches-krankenhausgesetz-bremkrhg-vom-24-november-2020-159875?template=20_gp_ifg_meta_detail_d#jlr-KHGBR2020pP38</w:t>
        </w:r>
      </w:hyperlink>
    </w:p>
    <w:p w14:paraId="38B9F13E" w14:textId="31543141" w:rsidR="00F3228A" w:rsidRDefault="005F5895" w:rsidP="00F3228A">
      <w:pPr>
        <w:pStyle w:val="Listenabsatz"/>
        <w:numPr>
          <w:ilvl w:val="1"/>
          <w:numId w:val="29"/>
        </w:numPr>
        <w:jc w:val="left"/>
      </w:pPr>
      <w:r>
        <w:t>§ </w:t>
      </w:r>
      <w:r w:rsidR="00F3228A" w:rsidRPr="00F3228A">
        <w:t>39 Verarbeitung von Patientendaten zu Forschungszwecken</w:t>
      </w:r>
      <w:r w:rsidR="00F3228A">
        <w:br/>
      </w:r>
      <w:hyperlink r:id="rId41" w:anchor="jlr-KHGBR2020pP39" w:history="1">
        <w:r w:rsidR="00F3228A" w:rsidRPr="00B221D3">
          <w:rPr>
            <w:rStyle w:val="Hyperlink"/>
          </w:rPr>
          <w:t>https://www.transparenz.bremen.de/metainformationen/bremisches-krankenhausgesetz-bremkrhg-vom-24-november-2020-159875?template=20_gp_ifg_meta_detail_d#jlr-KHGBR2020pP39</w:t>
        </w:r>
      </w:hyperlink>
    </w:p>
    <w:p w14:paraId="64763E44" w14:textId="3DA5D797" w:rsidR="00F3228A" w:rsidRDefault="005F5895" w:rsidP="00F3228A">
      <w:pPr>
        <w:pStyle w:val="Listenabsatz"/>
        <w:numPr>
          <w:ilvl w:val="1"/>
          <w:numId w:val="29"/>
        </w:numPr>
        <w:jc w:val="left"/>
      </w:pPr>
      <w:r>
        <w:t>§ </w:t>
      </w:r>
      <w:r w:rsidR="00F3228A" w:rsidRPr="00F3228A">
        <w:t>40 Übermitteln von Patientendaten an Stellen außerhalb des Krankenhauses</w:t>
      </w:r>
      <w:r w:rsidR="00F3228A">
        <w:br/>
      </w:r>
      <w:hyperlink r:id="rId42" w:anchor="jlr-KHGBR2020pP38" w:history="1">
        <w:r w:rsidR="00514004" w:rsidRPr="00514004">
          <w:rPr>
            <w:rStyle w:val="Hyperlink"/>
          </w:rPr>
          <w:t>https://www.transparenz.bremen.de/metainformationen/bremisches-krankenhausgesetz-bremkrhg-vom-24-november-2020-159875?template=20_gp_ifg_meta_detail_d#jlr-KHGBR2020pP38</w:t>
        </w:r>
      </w:hyperlink>
    </w:p>
    <w:p w14:paraId="2AEDF2BD" w14:textId="53A4BD6D" w:rsidR="005F288F" w:rsidRDefault="005F288F" w:rsidP="003B642E">
      <w:pPr>
        <w:pStyle w:val="Anhang3"/>
        <w:numPr>
          <w:ilvl w:val="2"/>
          <w:numId w:val="41"/>
        </w:numPr>
      </w:pPr>
      <w:bookmarkStart w:id="259" w:name="_Toc169934901"/>
      <w:r w:rsidRPr="005F288F">
        <w:t>Hamburg</w:t>
      </w:r>
      <w:bookmarkEnd w:id="259"/>
    </w:p>
    <w:p w14:paraId="43F6BD68" w14:textId="7BA19920" w:rsidR="00F3228A" w:rsidRDefault="00F3228A" w:rsidP="00F3228A">
      <w:pPr>
        <w:pStyle w:val="Listenabsatz"/>
        <w:numPr>
          <w:ilvl w:val="0"/>
          <w:numId w:val="29"/>
        </w:numPr>
        <w:jc w:val="left"/>
      </w:pPr>
      <w:r w:rsidRPr="00F3228A">
        <w:t>Hamburgisches Krankenhausgesetz (</w:t>
      </w:r>
      <w:r w:rsidRPr="005F5895">
        <w:t>HmbKHG</w:t>
      </w:r>
      <w:r w:rsidRPr="00F3228A">
        <w:t>)</w:t>
      </w:r>
      <w:r>
        <w:br/>
      </w:r>
      <w:hyperlink r:id="rId43" w:history="1">
        <w:r w:rsidRPr="00B221D3">
          <w:rPr>
            <w:rStyle w:val="Hyperlink"/>
          </w:rPr>
          <w:t>https://www.landesrecht-hamburg.de/bsha/document/jlr-KHGHAV7IVZ/part/S</w:t>
        </w:r>
      </w:hyperlink>
    </w:p>
    <w:p w14:paraId="6BCD1971" w14:textId="1AA441E3" w:rsidR="00F3228A" w:rsidRDefault="005F5895" w:rsidP="00F3228A">
      <w:pPr>
        <w:pStyle w:val="Listenabsatz"/>
        <w:numPr>
          <w:ilvl w:val="1"/>
          <w:numId w:val="29"/>
        </w:numPr>
        <w:jc w:val="left"/>
      </w:pPr>
      <w:r>
        <w:t>§ </w:t>
      </w:r>
      <w:r w:rsidR="00F3228A" w:rsidRPr="00F3228A">
        <w:t>8 Erhebung und Speicherung von Patientendaten</w:t>
      </w:r>
      <w:r w:rsidR="00F3228A">
        <w:br/>
      </w:r>
      <w:hyperlink r:id="rId44" w:history="1">
        <w:r w:rsidR="00F3228A" w:rsidRPr="00B221D3">
          <w:rPr>
            <w:rStyle w:val="Hyperlink"/>
          </w:rPr>
          <w:t>https://www.landesrecht-hamburg.de/bsha/document/jlr-KHGHAV1P8/part/S</w:t>
        </w:r>
      </w:hyperlink>
    </w:p>
    <w:p w14:paraId="320C2D9D" w14:textId="1AA043B3" w:rsidR="00F3228A" w:rsidRDefault="005F5895" w:rsidP="00F3228A">
      <w:pPr>
        <w:pStyle w:val="Listenabsatz"/>
        <w:numPr>
          <w:ilvl w:val="1"/>
          <w:numId w:val="29"/>
        </w:numPr>
        <w:jc w:val="left"/>
      </w:pPr>
      <w:r>
        <w:t>§ </w:t>
      </w:r>
      <w:r w:rsidR="00F3228A">
        <w:t xml:space="preserve">10 </w:t>
      </w:r>
      <w:r w:rsidR="00F3228A" w:rsidRPr="00F3228A">
        <w:t>Verwendung von Patientendaten innerhalb des Krankenhauses</w:t>
      </w:r>
      <w:r w:rsidR="00F3228A">
        <w:br/>
      </w:r>
      <w:hyperlink r:id="rId45" w:history="1">
        <w:r w:rsidR="00F3228A" w:rsidRPr="00B221D3">
          <w:rPr>
            <w:rStyle w:val="Hyperlink"/>
          </w:rPr>
          <w:t>https://www.landesrecht-hamburg.de/bsha/document/jlr-KHGHAV6P10/part/S</w:t>
        </w:r>
      </w:hyperlink>
    </w:p>
    <w:p w14:paraId="5D90F96D" w14:textId="0C3424E8" w:rsidR="00F3228A" w:rsidRDefault="005F5895" w:rsidP="00F3228A">
      <w:pPr>
        <w:pStyle w:val="Listenabsatz"/>
        <w:numPr>
          <w:ilvl w:val="1"/>
          <w:numId w:val="29"/>
        </w:numPr>
        <w:jc w:val="left"/>
      </w:pPr>
      <w:r>
        <w:t>§ </w:t>
      </w:r>
      <w:r w:rsidR="00F3228A">
        <w:t xml:space="preserve">11 </w:t>
      </w:r>
      <w:r w:rsidR="00F3228A" w:rsidRPr="00F3228A">
        <w:t>Offenlegung von Patientendaten</w:t>
      </w:r>
      <w:r w:rsidR="00F3228A">
        <w:br/>
      </w:r>
      <w:hyperlink r:id="rId46" w:history="1">
        <w:r w:rsidR="00F3228A" w:rsidRPr="00B221D3">
          <w:rPr>
            <w:rStyle w:val="Hyperlink"/>
          </w:rPr>
          <w:t>https://www.landesrecht-hamburg.de/bsha/document/jlr-KHGHAV7P11/part/S</w:t>
        </w:r>
      </w:hyperlink>
    </w:p>
    <w:p w14:paraId="2495A94D" w14:textId="764756B4" w:rsidR="00F3228A" w:rsidRDefault="005F5895" w:rsidP="00F3228A">
      <w:pPr>
        <w:pStyle w:val="Listenabsatz"/>
        <w:numPr>
          <w:ilvl w:val="1"/>
          <w:numId w:val="29"/>
        </w:numPr>
        <w:jc w:val="left"/>
      </w:pPr>
      <w:r>
        <w:t>§ </w:t>
      </w:r>
      <w:r w:rsidR="00F3228A">
        <w:t xml:space="preserve">12 </w:t>
      </w:r>
      <w:r w:rsidR="00F3228A" w:rsidRPr="00F3228A">
        <w:t>Forschungsvorhaben und Sammlungen von Proben</w:t>
      </w:r>
      <w:r w:rsidR="00F3228A">
        <w:br/>
      </w:r>
      <w:hyperlink r:id="rId47" w:history="1">
        <w:r w:rsidR="00F3228A" w:rsidRPr="00B221D3">
          <w:rPr>
            <w:rStyle w:val="Hyperlink"/>
          </w:rPr>
          <w:t>https://www.landesrecht-hamburg.de/bsha/document/jlr-KHGHAV7P12/part/S</w:t>
        </w:r>
      </w:hyperlink>
    </w:p>
    <w:p w14:paraId="78AA79E0" w14:textId="2F784233" w:rsidR="005F288F" w:rsidRDefault="005F288F" w:rsidP="003B642E">
      <w:pPr>
        <w:pStyle w:val="Anhang3"/>
        <w:numPr>
          <w:ilvl w:val="2"/>
          <w:numId w:val="41"/>
        </w:numPr>
      </w:pPr>
      <w:bookmarkStart w:id="260" w:name="_Toc169934902"/>
      <w:r w:rsidRPr="005F288F">
        <w:t>Hessen</w:t>
      </w:r>
      <w:bookmarkEnd w:id="260"/>
    </w:p>
    <w:p w14:paraId="03DA1BDF" w14:textId="16EC58E7" w:rsidR="00A231B0" w:rsidRDefault="00C039C3" w:rsidP="00C039C3">
      <w:pPr>
        <w:pStyle w:val="Listenabsatz"/>
        <w:numPr>
          <w:ilvl w:val="0"/>
          <w:numId w:val="29"/>
        </w:numPr>
        <w:jc w:val="left"/>
      </w:pPr>
      <w:r>
        <w:t xml:space="preserve">Zweites Gesetz zur Weiterentwicklung des Krankenhauswesens in Hessen (Hessisches Krankenhausgesetz 2011 - </w:t>
      </w:r>
      <w:r w:rsidRPr="005F5895">
        <w:t>HKHG</w:t>
      </w:r>
      <w:r>
        <w:t xml:space="preserve"> 2011)</w:t>
      </w:r>
      <w:r w:rsidR="00A231B0">
        <w:br/>
      </w:r>
      <w:hyperlink r:id="rId48" w:history="1">
        <w:r w:rsidR="00514004" w:rsidRPr="005C71C9">
          <w:rPr>
            <w:rStyle w:val="Hyperlink"/>
          </w:rPr>
          <w:t>https://www.rv.hessenrecht.hessen.de/perma?j=KHG_HE</w:t>
        </w:r>
      </w:hyperlink>
    </w:p>
    <w:p w14:paraId="616BFDAC" w14:textId="25AA9B90" w:rsidR="00A231B0" w:rsidRDefault="005F5895" w:rsidP="00A231B0">
      <w:pPr>
        <w:pStyle w:val="Listenabsatz"/>
        <w:numPr>
          <w:ilvl w:val="1"/>
          <w:numId w:val="29"/>
        </w:numPr>
        <w:jc w:val="left"/>
      </w:pPr>
      <w:r>
        <w:t>§ </w:t>
      </w:r>
      <w:r w:rsidR="00C039C3">
        <w:t xml:space="preserve">12 </w:t>
      </w:r>
      <w:r w:rsidR="00C039C3" w:rsidRPr="00C039C3">
        <w:t>Datenschutz im Krankenhaus, Sicherung von Patientenunterlagen</w:t>
      </w:r>
      <w:r w:rsidR="00A231B0">
        <w:br/>
      </w:r>
      <w:hyperlink r:id="rId49" w:history="1">
        <w:r w:rsidR="00514004" w:rsidRPr="005C71C9">
          <w:rPr>
            <w:rStyle w:val="Hyperlink"/>
          </w:rPr>
          <w:t>https://www.rv.hessenrecht.hessen.de/bshe/document/jlr-KHGHE2011rahmen/part/X</w:t>
        </w:r>
      </w:hyperlink>
    </w:p>
    <w:p w14:paraId="3F6EE779" w14:textId="474BE42F" w:rsidR="005F288F" w:rsidRDefault="005F288F" w:rsidP="003B642E">
      <w:pPr>
        <w:pStyle w:val="Anhang3"/>
        <w:numPr>
          <w:ilvl w:val="2"/>
          <w:numId w:val="41"/>
        </w:numPr>
      </w:pPr>
      <w:bookmarkStart w:id="261" w:name="_Toc169934903"/>
      <w:r w:rsidRPr="005F288F">
        <w:t>Mecklenburg-Vorpommern</w:t>
      </w:r>
      <w:bookmarkEnd w:id="261"/>
    </w:p>
    <w:p w14:paraId="4DFC467E" w14:textId="3E3A3F20" w:rsidR="00C039C3" w:rsidRDefault="00C039C3" w:rsidP="00C039C3">
      <w:pPr>
        <w:pStyle w:val="Listenabsatz"/>
        <w:numPr>
          <w:ilvl w:val="0"/>
          <w:numId w:val="29"/>
        </w:numPr>
        <w:jc w:val="left"/>
      </w:pPr>
      <w:r>
        <w:t>Krankenhausgesetz für das Land Mecklenburg-Vorpommern (Landeskrankenhausgesetz LKHG M-V)</w:t>
      </w:r>
      <w:r>
        <w:br/>
      </w:r>
      <w:hyperlink r:id="rId50" w:history="1">
        <w:r w:rsidR="00514004" w:rsidRPr="00514004">
          <w:rPr>
            <w:rStyle w:val="Hyperlink"/>
          </w:rPr>
          <w:t>https://www.landesrecht-mv.de/bsmv/document/jlr-LKHGMV2011rahmen</w:t>
        </w:r>
      </w:hyperlink>
    </w:p>
    <w:p w14:paraId="2FCF9C22" w14:textId="6D60A219" w:rsidR="00C039C3" w:rsidRDefault="005F5895" w:rsidP="00C039C3">
      <w:pPr>
        <w:pStyle w:val="Listenabsatz"/>
        <w:numPr>
          <w:ilvl w:val="1"/>
          <w:numId w:val="29"/>
        </w:numPr>
        <w:jc w:val="left"/>
      </w:pPr>
      <w:r>
        <w:t>§ </w:t>
      </w:r>
      <w:r w:rsidR="00C039C3">
        <w:t xml:space="preserve">33 </w:t>
      </w:r>
      <w:r w:rsidR="00C039C3" w:rsidRPr="00C039C3">
        <w:t>Rechtmäßigkeit der Datenverarbeitung</w:t>
      </w:r>
      <w:r w:rsidR="00C039C3">
        <w:br/>
      </w:r>
      <w:hyperlink r:id="rId51" w:history="1">
        <w:r w:rsidR="00C039C3" w:rsidRPr="00C039C3">
          <w:rPr>
            <w:rStyle w:val="Hyperlink"/>
          </w:rPr>
          <w:t>https://www.landesrecht-mv.de/bsmv/document/jlr-LKHGMV2011rahmen/part/</w:t>
        </w:r>
        <w:r w:rsidR="00C039C3" w:rsidRPr="00B221D3">
          <w:rPr>
            <w:rStyle w:val="Hyperlink"/>
          </w:rPr>
          <w:t>X</w:t>
        </w:r>
      </w:hyperlink>
    </w:p>
    <w:p w14:paraId="2E62D6DB" w14:textId="7F48E1FF" w:rsidR="00C039C3" w:rsidRDefault="005F5895" w:rsidP="00C039C3">
      <w:pPr>
        <w:pStyle w:val="Listenabsatz"/>
        <w:numPr>
          <w:ilvl w:val="1"/>
          <w:numId w:val="29"/>
        </w:numPr>
        <w:jc w:val="left"/>
      </w:pPr>
      <w:r>
        <w:t>§ </w:t>
      </w:r>
      <w:r w:rsidR="00C039C3">
        <w:t xml:space="preserve">34 </w:t>
      </w:r>
      <w:r w:rsidR="00C039C3" w:rsidRPr="00C039C3">
        <w:t>Weitere Verarbeitung von Daten</w:t>
      </w:r>
      <w:r w:rsidR="00C039C3">
        <w:br/>
      </w:r>
      <w:hyperlink r:id="rId52" w:history="1">
        <w:r w:rsidR="00514004" w:rsidRPr="00514004">
          <w:rPr>
            <w:rStyle w:val="Hyperlink"/>
          </w:rPr>
          <w:t>https://www.landesrecht-mv.de/bsmv/document/jlr-LKHGMV2011rahmen/part/X</w:t>
        </w:r>
      </w:hyperlink>
    </w:p>
    <w:p w14:paraId="37AD0CB0" w14:textId="31838F10" w:rsidR="00C039C3" w:rsidRDefault="005F5895" w:rsidP="00C039C3">
      <w:pPr>
        <w:pStyle w:val="Listenabsatz"/>
        <w:numPr>
          <w:ilvl w:val="1"/>
          <w:numId w:val="29"/>
        </w:numPr>
        <w:jc w:val="left"/>
      </w:pPr>
      <w:r>
        <w:t>§ </w:t>
      </w:r>
      <w:r w:rsidR="00C039C3">
        <w:t xml:space="preserve">37 </w:t>
      </w:r>
      <w:r w:rsidR="00C039C3" w:rsidRPr="00C039C3">
        <w:t>Datenverarbeitung für Forschungszwecke</w:t>
      </w:r>
      <w:r w:rsidR="00C039C3">
        <w:br/>
      </w:r>
      <w:hyperlink r:id="rId53" w:history="1">
        <w:r w:rsidR="00C039C3" w:rsidRPr="00B221D3">
          <w:rPr>
            <w:rStyle w:val="Hyperlink"/>
          </w:rPr>
          <w:t>https://www.landesrecht-mv.de/bsmv/document/jlr-LKHGMV2011rahmen/part/X</w:t>
        </w:r>
      </w:hyperlink>
    </w:p>
    <w:p w14:paraId="13AC47B5" w14:textId="5186A92D" w:rsidR="005F288F" w:rsidRDefault="005F288F" w:rsidP="003B642E">
      <w:pPr>
        <w:pStyle w:val="Anhang3"/>
        <w:numPr>
          <w:ilvl w:val="2"/>
          <w:numId w:val="41"/>
        </w:numPr>
      </w:pPr>
      <w:bookmarkStart w:id="262" w:name="_Toc169934904"/>
      <w:r w:rsidRPr="005F288F">
        <w:t>Niedersachsen</w:t>
      </w:r>
      <w:bookmarkEnd w:id="262"/>
    </w:p>
    <w:p w14:paraId="2CA66705" w14:textId="6158CB56" w:rsidR="00C039C3" w:rsidRDefault="00C039C3" w:rsidP="00C039C3">
      <w:pPr>
        <w:pStyle w:val="Listenabsatz"/>
        <w:numPr>
          <w:ilvl w:val="0"/>
          <w:numId w:val="29"/>
        </w:numPr>
        <w:jc w:val="left"/>
      </w:pPr>
      <w:r>
        <w:t>Krankenhausgesetz für das Land Mecklenburg-Vorpommern (Landeskrankenhausgesetz LKHG M-V)</w:t>
      </w:r>
      <w:r>
        <w:br/>
      </w:r>
      <w:hyperlink r:id="rId54" w:history="1">
        <w:r w:rsidR="00514004" w:rsidRPr="005C71C9">
          <w:rPr>
            <w:rStyle w:val="Hyperlink"/>
          </w:rPr>
          <w:t>https://voris.wolterskluwer-online.de/browse/document/48094838-599b-3c15-be0f-0d6ac78f2244</w:t>
        </w:r>
      </w:hyperlink>
    </w:p>
    <w:p w14:paraId="4C476E68" w14:textId="461BADE5" w:rsidR="005F288F" w:rsidRDefault="005F288F" w:rsidP="003B642E">
      <w:pPr>
        <w:pStyle w:val="Anhang3"/>
        <w:numPr>
          <w:ilvl w:val="2"/>
          <w:numId w:val="41"/>
        </w:numPr>
        <w:tabs>
          <w:tab w:val="left" w:pos="1701"/>
        </w:tabs>
      </w:pPr>
      <w:bookmarkStart w:id="263" w:name="_Toc169934905"/>
      <w:r w:rsidRPr="005F288F">
        <w:t>Nordrhein-Westfalen</w:t>
      </w:r>
      <w:bookmarkEnd w:id="263"/>
    </w:p>
    <w:p w14:paraId="7299CAB0" w14:textId="374A6096" w:rsidR="00C039C3" w:rsidRDefault="00C039C3" w:rsidP="00C039C3">
      <w:pPr>
        <w:pStyle w:val="Listenabsatz"/>
        <w:numPr>
          <w:ilvl w:val="0"/>
          <w:numId w:val="29"/>
        </w:numPr>
        <w:jc w:val="left"/>
      </w:pPr>
      <w:r>
        <w:t>Krankenhausgesetz des Landes Nordrhein-Westfalen - KHG NRW</w:t>
      </w:r>
      <w:r>
        <w:br/>
      </w:r>
      <w:hyperlink r:id="rId55" w:history="1">
        <w:r w:rsidRPr="00C039C3">
          <w:rPr>
            <w:rStyle w:val="Hyperlink"/>
          </w:rPr>
          <w:t>https://recht</w:t>
        </w:r>
        <w:r w:rsidRPr="00B221D3">
          <w:rPr>
            <w:rStyle w:val="Hyperlink"/>
          </w:rPr>
          <w:t>.nrw.de/lmi/owa/br_text_anzeigen?v_id=10000000000000000483</w:t>
        </w:r>
      </w:hyperlink>
    </w:p>
    <w:p w14:paraId="3F37E40E" w14:textId="2622A445" w:rsidR="00C039C3" w:rsidRDefault="00C039C3" w:rsidP="00C039C3">
      <w:pPr>
        <w:pStyle w:val="Listenabsatz"/>
        <w:numPr>
          <w:ilvl w:val="0"/>
          <w:numId w:val="29"/>
        </w:numPr>
        <w:jc w:val="left"/>
      </w:pPr>
      <w:r w:rsidRPr="00C039C3">
        <w:t xml:space="preserve">Gesetz zum Schutz personenbezogener Daten im Gesundheitswesen (Gesundheitsdatenschutzgesetz - </w:t>
      </w:r>
      <w:r w:rsidRPr="005F5895">
        <w:t>GDSG</w:t>
      </w:r>
      <w:r w:rsidRPr="00C039C3">
        <w:t xml:space="preserve"> </w:t>
      </w:r>
      <w:r w:rsidRPr="005F5895">
        <w:t>NW</w:t>
      </w:r>
      <w:r w:rsidRPr="00C039C3">
        <w:t>)</w:t>
      </w:r>
      <w:r>
        <w:br/>
      </w:r>
      <w:hyperlink r:id="rId56" w:history="1">
        <w:r w:rsidRPr="00B221D3">
          <w:rPr>
            <w:rStyle w:val="Hyperlink"/>
          </w:rPr>
          <w:t>https://recht.nrw.de/lmi/owa/br_text_anzeigen?v_id=10000000000000000495</w:t>
        </w:r>
      </w:hyperlink>
    </w:p>
    <w:p w14:paraId="3D1FE69D" w14:textId="4250BD7B" w:rsidR="00C039C3" w:rsidRDefault="005F5895" w:rsidP="00C039C3">
      <w:pPr>
        <w:pStyle w:val="Listenabsatz"/>
        <w:numPr>
          <w:ilvl w:val="1"/>
          <w:numId w:val="29"/>
        </w:numPr>
        <w:jc w:val="left"/>
      </w:pPr>
      <w:r>
        <w:t>§ </w:t>
      </w:r>
      <w:r w:rsidR="00C039C3">
        <w:t xml:space="preserve">6 </w:t>
      </w:r>
      <w:r w:rsidR="00C039C3" w:rsidRPr="00C039C3">
        <w:t>Datenverarbeitung für wissenschaftliche Zwecke</w:t>
      </w:r>
      <w:r w:rsidR="00C039C3">
        <w:br/>
      </w:r>
      <w:hyperlink r:id="rId57" w:history="1">
        <w:r w:rsidR="00C039C3" w:rsidRPr="00B221D3">
          <w:rPr>
            <w:rStyle w:val="Hyperlink"/>
          </w:rPr>
          <w:t>https://recht.nrw.de/lmi/owa/br_bes_detail?sg=0&amp;menu=0&amp;bes_id=4283&amp;anw_nr=2&amp;aufgehoben=N&amp;det_id=357750</w:t>
        </w:r>
      </w:hyperlink>
    </w:p>
    <w:p w14:paraId="3DA4F9A7" w14:textId="4B4F0583" w:rsidR="00C039C3" w:rsidRDefault="005F5895" w:rsidP="00C039C3">
      <w:pPr>
        <w:pStyle w:val="Listenabsatz"/>
        <w:numPr>
          <w:ilvl w:val="1"/>
          <w:numId w:val="29"/>
        </w:numPr>
        <w:jc w:val="left"/>
      </w:pPr>
      <w:r>
        <w:t>§ </w:t>
      </w:r>
      <w:r w:rsidR="00C039C3">
        <w:t xml:space="preserve">10 </w:t>
      </w:r>
      <w:r w:rsidR="00C039C3" w:rsidRPr="00C039C3">
        <w:t>Erhebung und Speicherung</w:t>
      </w:r>
      <w:r w:rsidR="00C039C3">
        <w:br/>
      </w:r>
      <w:hyperlink r:id="rId58" w:history="1">
        <w:r w:rsidR="00C039C3" w:rsidRPr="00B221D3">
          <w:rPr>
            <w:rStyle w:val="Hyperlink"/>
          </w:rPr>
          <w:t>https://recht.nrw.de/lmi/owa/br_bes_detail?sg=0&amp;menu=0&amp;bes_id=4283&amp;anw_nr=2&amp;aufgehoben=N&amp;det_id=357754</w:t>
        </w:r>
      </w:hyperlink>
    </w:p>
    <w:p w14:paraId="11C967BA" w14:textId="7DBF28E9" w:rsidR="00C039C3" w:rsidRDefault="005F5895" w:rsidP="00C039C3">
      <w:pPr>
        <w:pStyle w:val="Listenabsatz"/>
        <w:numPr>
          <w:ilvl w:val="1"/>
          <w:numId w:val="29"/>
        </w:numPr>
        <w:jc w:val="left"/>
      </w:pPr>
      <w:r>
        <w:t>§ </w:t>
      </w:r>
      <w:r w:rsidR="00C039C3">
        <w:t xml:space="preserve">11 </w:t>
      </w:r>
      <w:r w:rsidR="00C039C3" w:rsidRPr="00C039C3">
        <w:t>Übermittlung und Nutzung von Daten</w:t>
      </w:r>
      <w:r w:rsidR="00C039C3">
        <w:br/>
      </w:r>
      <w:hyperlink r:id="rId59" w:history="1">
        <w:r w:rsidR="00C039C3" w:rsidRPr="00B221D3">
          <w:rPr>
            <w:rStyle w:val="Hyperlink"/>
          </w:rPr>
          <w:t>https://recht.nrw.de/lmi/owa/br_bes_detail?sg=0&amp;menu=0&amp;bes_id=4283&amp;anw_nr=2&amp;aufgehoben=N&amp;det_id=357755</w:t>
        </w:r>
      </w:hyperlink>
    </w:p>
    <w:p w14:paraId="32B2654D" w14:textId="6A9D7B92" w:rsidR="005F288F" w:rsidRDefault="005F288F" w:rsidP="003B642E">
      <w:pPr>
        <w:pStyle w:val="Anhang3"/>
        <w:numPr>
          <w:ilvl w:val="2"/>
          <w:numId w:val="41"/>
        </w:numPr>
        <w:tabs>
          <w:tab w:val="left" w:pos="1701"/>
        </w:tabs>
      </w:pPr>
      <w:bookmarkStart w:id="264" w:name="_Toc169934906"/>
      <w:r w:rsidRPr="005F288F">
        <w:t>Rheinland-Pfalz</w:t>
      </w:r>
      <w:bookmarkEnd w:id="264"/>
    </w:p>
    <w:p w14:paraId="21375A8D" w14:textId="4AD8ED33" w:rsidR="00C039C3" w:rsidRDefault="00C039C3" w:rsidP="00C039C3">
      <w:pPr>
        <w:pStyle w:val="Listenabsatz"/>
        <w:numPr>
          <w:ilvl w:val="0"/>
          <w:numId w:val="29"/>
        </w:numPr>
        <w:jc w:val="left"/>
      </w:pPr>
      <w:r w:rsidRPr="00C039C3">
        <w:t>Landeskrankenhausgesetz</w:t>
      </w:r>
      <w:r>
        <w:t xml:space="preserve"> (</w:t>
      </w:r>
      <w:r w:rsidRPr="005F5895">
        <w:t>LKG</w:t>
      </w:r>
      <w:r w:rsidRPr="00C039C3">
        <w:t>)</w:t>
      </w:r>
      <w:r>
        <w:t xml:space="preserve"> </w:t>
      </w:r>
      <w:r w:rsidRPr="00C039C3">
        <w:t>Rheinland-Pfalz</w:t>
      </w:r>
      <w:r>
        <w:br/>
      </w:r>
      <w:hyperlink r:id="rId60" w:history="1">
        <w:r w:rsidRPr="00B221D3">
          <w:rPr>
            <w:rStyle w:val="Hyperlink"/>
          </w:rPr>
          <w:t>https://www.landesrecht.rlp.de/bsrp/document/jlr-KHGRPrahmen/part/X</w:t>
        </w:r>
      </w:hyperlink>
    </w:p>
    <w:p w14:paraId="252D3465" w14:textId="393B71F4" w:rsidR="00C039C3" w:rsidRDefault="005F5895" w:rsidP="00C039C3">
      <w:pPr>
        <w:pStyle w:val="Listenabsatz"/>
        <w:numPr>
          <w:ilvl w:val="1"/>
          <w:numId w:val="29"/>
        </w:numPr>
        <w:jc w:val="left"/>
      </w:pPr>
      <w:r>
        <w:t>§ </w:t>
      </w:r>
      <w:r w:rsidR="00C039C3">
        <w:t xml:space="preserve">36 </w:t>
      </w:r>
      <w:r w:rsidR="00C039C3" w:rsidRPr="00C039C3">
        <w:t>Datenschutz</w:t>
      </w:r>
      <w:r w:rsidR="00C039C3">
        <w:br/>
      </w:r>
      <w:hyperlink r:id="rId61" w:history="1">
        <w:r w:rsidR="00C039C3" w:rsidRPr="00B221D3">
          <w:rPr>
            <w:rStyle w:val="Hyperlink"/>
          </w:rPr>
          <w:t>https://www.landesrecht.rlp.de/bsrp/document/jlr-KHGRPV12P36</w:t>
        </w:r>
      </w:hyperlink>
    </w:p>
    <w:p w14:paraId="1207992B" w14:textId="705DD895" w:rsidR="00C039C3" w:rsidRDefault="005F5895" w:rsidP="00C039C3">
      <w:pPr>
        <w:pStyle w:val="Listenabsatz"/>
        <w:numPr>
          <w:ilvl w:val="1"/>
          <w:numId w:val="29"/>
        </w:numPr>
        <w:jc w:val="left"/>
      </w:pPr>
      <w:r>
        <w:t>§ </w:t>
      </w:r>
      <w:r w:rsidR="00C039C3">
        <w:t xml:space="preserve">37 </w:t>
      </w:r>
      <w:r w:rsidR="00C039C3" w:rsidRPr="00C039C3">
        <w:t>Datenschutz bei Forschungsvorhaben</w:t>
      </w:r>
      <w:r w:rsidR="00C039C3">
        <w:br/>
      </w:r>
      <w:hyperlink r:id="rId62" w:history="1">
        <w:r w:rsidR="00C039C3" w:rsidRPr="00B221D3">
          <w:rPr>
            <w:rStyle w:val="Hyperlink"/>
          </w:rPr>
          <w:t>https://www.landesrecht.rlp.de/bsrp/document/jlr-KHGRPV12P37</w:t>
        </w:r>
      </w:hyperlink>
    </w:p>
    <w:p w14:paraId="1D0D96FE" w14:textId="71DF9D66" w:rsidR="005F288F" w:rsidRDefault="005F288F" w:rsidP="003B642E">
      <w:pPr>
        <w:pStyle w:val="Anhang3"/>
        <w:numPr>
          <w:ilvl w:val="2"/>
          <w:numId w:val="41"/>
        </w:numPr>
        <w:tabs>
          <w:tab w:val="left" w:pos="1701"/>
        </w:tabs>
      </w:pPr>
      <w:bookmarkStart w:id="265" w:name="_Toc169934907"/>
      <w:r w:rsidRPr="005F288F">
        <w:t>Saarland</w:t>
      </w:r>
      <w:bookmarkEnd w:id="265"/>
    </w:p>
    <w:p w14:paraId="2CA8F155" w14:textId="5B54DB40" w:rsidR="00C039C3" w:rsidRDefault="00C039C3" w:rsidP="00C039C3">
      <w:pPr>
        <w:pStyle w:val="Listenabsatz"/>
        <w:numPr>
          <w:ilvl w:val="0"/>
          <w:numId w:val="29"/>
        </w:numPr>
        <w:jc w:val="left"/>
      </w:pPr>
      <w:r w:rsidRPr="00C039C3">
        <w:t>Saarländisches Krankenhausgesetz</w:t>
      </w:r>
      <w:r w:rsidR="004F6D36">
        <w:t xml:space="preserve"> (</w:t>
      </w:r>
      <w:r w:rsidR="004F6D36" w:rsidRPr="005F5895">
        <w:t>SKHG</w:t>
      </w:r>
      <w:r w:rsidR="004F6D36">
        <w:t>)</w:t>
      </w:r>
      <w:r>
        <w:br/>
      </w:r>
      <w:hyperlink r:id="rId63" w:history="1">
        <w:r w:rsidR="00514004" w:rsidRPr="005C71C9">
          <w:rPr>
            <w:rStyle w:val="Hyperlink"/>
          </w:rPr>
          <w:t>https://recht.saarland.de/bssl/document/jlr-KHGSL2015rahmen/part/R</w:t>
        </w:r>
      </w:hyperlink>
    </w:p>
    <w:p w14:paraId="683F0BF7" w14:textId="0A853EEA" w:rsidR="00C039C3" w:rsidRDefault="005F5895" w:rsidP="00C039C3">
      <w:pPr>
        <w:pStyle w:val="Listenabsatz"/>
        <w:numPr>
          <w:ilvl w:val="1"/>
          <w:numId w:val="29"/>
        </w:numPr>
        <w:jc w:val="left"/>
      </w:pPr>
      <w:r>
        <w:t>§ </w:t>
      </w:r>
      <w:r w:rsidR="004F6D36">
        <w:t xml:space="preserve">13 </w:t>
      </w:r>
      <w:r w:rsidR="004F6D36" w:rsidRPr="004F6D36">
        <w:t>Patientendatenschutz</w:t>
      </w:r>
      <w:r w:rsidR="00C039C3">
        <w:br/>
      </w:r>
      <w:hyperlink r:id="rId64" w:history="1">
        <w:r w:rsidR="004F6D36" w:rsidRPr="00B221D3">
          <w:rPr>
            <w:rStyle w:val="Hyperlink"/>
          </w:rPr>
          <w:t>https://recht.saarland.de/bssl/document/jlr-KHGSL2015V10P13</w:t>
        </w:r>
      </w:hyperlink>
    </w:p>
    <w:p w14:paraId="3695808A" w14:textId="76DE1E3E" w:rsidR="004F6D36" w:rsidRDefault="005F5895" w:rsidP="00C039C3">
      <w:pPr>
        <w:pStyle w:val="Listenabsatz"/>
        <w:numPr>
          <w:ilvl w:val="1"/>
          <w:numId w:val="29"/>
        </w:numPr>
        <w:jc w:val="left"/>
      </w:pPr>
      <w:r>
        <w:t>§ </w:t>
      </w:r>
      <w:r w:rsidR="004F6D36">
        <w:t xml:space="preserve">14 </w:t>
      </w:r>
      <w:r w:rsidR="004F6D36" w:rsidRPr="004F6D36">
        <w:t>Forschung und Patientendaten</w:t>
      </w:r>
      <w:r w:rsidR="004F6D36">
        <w:br/>
      </w:r>
      <w:hyperlink r:id="rId65" w:history="1">
        <w:r w:rsidR="00514004" w:rsidRPr="005C71C9">
          <w:rPr>
            <w:rStyle w:val="Hyperlink"/>
          </w:rPr>
          <w:t>https://recht.saarland.de/bssl/document/jlr-KHGSL2015pP14</w:t>
        </w:r>
      </w:hyperlink>
    </w:p>
    <w:p w14:paraId="5148776F" w14:textId="376528CD" w:rsidR="005F288F" w:rsidRDefault="005F288F" w:rsidP="003B642E">
      <w:pPr>
        <w:pStyle w:val="Anhang3"/>
        <w:numPr>
          <w:ilvl w:val="2"/>
          <w:numId w:val="41"/>
        </w:numPr>
        <w:tabs>
          <w:tab w:val="left" w:pos="1701"/>
        </w:tabs>
      </w:pPr>
      <w:bookmarkStart w:id="266" w:name="_Toc169934908"/>
      <w:r w:rsidRPr="005F288F">
        <w:t>Sachsen</w:t>
      </w:r>
      <w:bookmarkEnd w:id="266"/>
    </w:p>
    <w:p w14:paraId="5B18E44B" w14:textId="6FAFF098" w:rsidR="004F6D36" w:rsidRDefault="004F6D36" w:rsidP="004F6D36">
      <w:pPr>
        <w:pStyle w:val="Listenabsatz"/>
        <w:numPr>
          <w:ilvl w:val="0"/>
          <w:numId w:val="29"/>
        </w:numPr>
        <w:jc w:val="left"/>
      </w:pPr>
      <w:r w:rsidRPr="004F6D36">
        <w:t>Sächsisches Krankenhausgesetz</w:t>
      </w:r>
      <w:r>
        <w:t xml:space="preserve"> (</w:t>
      </w:r>
      <w:r w:rsidRPr="005F5895">
        <w:t>SächsKHG</w:t>
      </w:r>
      <w:r>
        <w:t>)</w:t>
      </w:r>
      <w:r>
        <w:br/>
      </w:r>
      <w:hyperlink r:id="rId66" w:history="1">
        <w:r w:rsidR="00514004" w:rsidRPr="005C71C9">
          <w:rPr>
            <w:rStyle w:val="Hyperlink"/>
          </w:rPr>
          <w:t>https://www.revosax.sachsen.de/vorschrift/19826--SaechsKHG</w:t>
        </w:r>
      </w:hyperlink>
    </w:p>
    <w:p w14:paraId="64FB053C" w14:textId="6972F927" w:rsidR="004F6D36" w:rsidRDefault="005F5895" w:rsidP="004F6D36">
      <w:pPr>
        <w:pStyle w:val="Listenabsatz"/>
        <w:numPr>
          <w:ilvl w:val="1"/>
          <w:numId w:val="29"/>
        </w:numPr>
        <w:jc w:val="left"/>
      </w:pPr>
      <w:r>
        <w:t>§ </w:t>
      </w:r>
      <w:r w:rsidR="004F6D36">
        <w:t xml:space="preserve">28 </w:t>
      </w:r>
      <w:r w:rsidR="004F6D36" w:rsidRPr="004F6D36">
        <w:t>Datenschutz</w:t>
      </w:r>
      <w:r w:rsidR="004F6D36">
        <w:br/>
      </w:r>
      <w:hyperlink r:id="rId67" w:anchor="p28" w:history="1">
        <w:r w:rsidR="004F6D36" w:rsidRPr="00B221D3">
          <w:rPr>
            <w:rStyle w:val="Hyperlink"/>
          </w:rPr>
          <w:t>https://www.revosax.sachsen.de/vorschrift/19826--SaechsKHG#p28</w:t>
        </w:r>
      </w:hyperlink>
    </w:p>
    <w:p w14:paraId="6AD374F7" w14:textId="2E5DC6DF" w:rsidR="004F6D36" w:rsidRDefault="005F5895" w:rsidP="004F6D36">
      <w:pPr>
        <w:pStyle w:val="Listenabsatz"/>
        <w:numPr>
          <w:ilvl w:val="1"/>
          <w:numId w:val="29"/>
        </w:numPr>
        <w:jc w:val="left"/>
      </w:pPr>
      <w:r>
        <w:t>§ </w:t>
      </w:r>
      <w:r w:rsidR="004F6D36">
        <w:t xml:space="preserve">29 </w:t>
      </w:r>
      <w:r w:rsidR="004F6D36" w:rsidRPr="004F6D36">
        <w:t>Datenschutz bei Forschungsvorhaben</w:t>
      </w:r>
      <w:r w:rsidR="004F6D36">
        <w:br/>
      </w:r>
      <w:hyperlink r:id="rId68" w:anchor="p29" w:history="1">
        <w:r w:rsidR="004F6D36" w:rsidRPr="00B221D3">
          <w:rPr>
            <w:rStyle w:val="Hyperlink"/>
          </w:rPr>
          <w:t>https://www.revosax.sachsen.de/vorschrift/19826--SaechsKHG#p29</w:t>
        </w:r>
      </w:hyperlink>
    </w:p>
    <w:p w14:paraId="03E80F00" w14:textId="20095977" w:rsidR="005F288F" w:rsidRDefault="005F288F" w:rsidP="003B642E">
      <w:pPr>
        <w:pStyle w:val="Anhang3"/>
        <w:numPr>
          <w:ilvl w:val="2"/>
          <w:numId w:val="41"/>
        </w:numPr>
        <w:tabs>
          <w:tab w:val="left" w:pos="1701"/>
        </w:tabs>
      </w:pPr>
      <w:bookmarkStart w:id="267" w:name="_Toc169934909"/>
      <w:r w:rsidRPr="005F288F">
        <w:t>Sachsen-Anhalt</w:t>
      </w:r>
      <w:bookmarkEnd w:id="267"/>
    </w:p>
    <w:p w14:paraId="28FBE6A6" w14:textId="31E914A6" w:rsidR="004F6D36" w:rsidRDefault="004F6D36" w:rsidP="004F6D36">
      <w:pPr>
        <w:pStyle w:val="Listenabsatz"/>
        <w:numPr>
          <w:ilvl w:val="0"/>
          <w:numId w:val="29"/>
        </w:numPr>
        <w:jc w:val="left"/>
      </w:pPr>
      <w:r w:rsidRPr="004F6D36">
        <w:t xml:space="preserve">Krankenhausgesetz Sachsen-Anhalt (KHG </w:t>
      </w:r>
      <w:r w:rsidRPr="005F5895">
        <w:t>LSA</w:t>
      </w:r>
      <w:r w:rsidRPr="004F6D36">
        <w:t>)</w:t>
      </w:r>
      <w:r>
        <w:br/>
      </w:r>
      <w:hyperlink r:id="rId69" w:history="1">
        <w:r w:rsidR="00514004" w:rsidRPr="005C71C9">
          <w:rPr>
            <w:rStyle w:val="Hyperlink"/>
          </w:rPr>
          <w:t>https://landesrecht.sachsen-anhalt.de/bsst/document/jlr-KHGST2005V6P1</w:t>
        </w:r>
      </w:hyperlink>
    </w:p>
    <w:p w14:paraId="62CC30FD" w14:textId="413EA214" w:rsidR="004F6D36" w:rsidRDefault="005F5895" w:rsidP="004F6D36">
      <w:pPr>
        <w:pStyle w:val="Listenabsatz"/>
        <w:numPr>
          <w:ilvl w:val="1"/>
          <w:numId w:val="29"/>
        </w:numPr>
        <w:jc w:val="left"/>
      </w:pPr>
      <w:r>
        <w:t>§ </w:t>
      </w:r>
      <w:r w:rsidR="004F6D36">
        <w:t xml:space="preserve">16 </w:t>
      </w:r>
      <w:r w:rsidR="004F6D36" w:rsidRPr="004F6D36">
        <w:t>Verarbeitung von Patientendaten</w:t>
      </w:r>
      <w:r w:rsidR="004F6D36">
        <w:br/>
      </w:r>
      <w:hyperlink r:id="rId70" w:history="1">
        <w:r w:rsidR="004F6D36" w:rsidRPr="00B221D3">
          <w:rPr>
            <w:rStyle w:val="Hyperlink"/>
          </w:rPr>
          <w:t>https://landesrecht.sachsen-anhalt.de/bsst/document/jlr-KHGST2005V9P16</w:t>
        </w:r>
      </w:hyperlink>
    </w:p>
    <w:p w14:paraId="3B8B08FD" w14:textId="208D9BF2" w:rsidR="004F6D36" w:rsidRDefault="005F5895" w:rsidP="004F6D36">
      <w:pPr>
        <w:pStyle w:val="Listenabsatz"/>
        <w:numPr>
          <w:ilvl w:val="1"/>
          <w:numId w:val="29"/>
        </w:numPr>
        <w:jc w:val="left"/>
      </w:pPr>
      <w:r>
        <w:t>§ </w:t>
      </w:r>
      <w:r w:rsidR="004F6D36">
        <w:t xml:space="preserve">17 </w:t>
      </w:r>
      <w:r w:rsidR="004F6D36" w:rsidRPr="004F6D36">
        <w:t>Verarbeitung von Patientendaten zu Forschungszwecken</w:t>
      </w:r>
      <w:r w:rsidR="004F6D36">
        <w:br/>
      </w:r>
      <w:hyperlink r:id="rId71" w:history="1">
        <w:r w:rsidR="004F6D36" w:rsidRPr="00B221D3">
          <w:rPr>
            <w:rStyle w:val="Hyperlink"/>
          </w:rPr>
          <w:t>https://landesrecht.sachsen-anhalt.de/bsst/document/jlr-KHGST2005V10P17</w:t>
        </w:r>
      </w:hyperlink>
    </w:p>
    <w:p w14:paraId="30B28E72" w14:textId="7A6ABB37" w:rsidR="005F288F" w:rsidRDefault="005F288F" w:rsidP="003B642E">
      <w:pPr>
        <w:pStyle w:val="Anhang3"/>
        <w:numPr>
          <w:ilvl w:val="2"/>
          <w:numId w:val="41"/>
        </w:numPr>
        <w:tabs>
          <w:tab w:val="left" w:pos="1701"/>
        </w:tabs>
      </w:pPr>
      <w:bookmarkStart w:id="268" w:name="_Toc169934910"/>
      <w:r w:rsidRPr="005F288F">
        <w:t>Schleswig-Holstein</w:t>
      </w:r>
      <w:bookmarkEnd w:id="268"/>
    </w:p>
    <w:p w14:paraId="0CD90351" w14:textId="05578084" w:rsidR="005F288F" w:rsidRDefault="00E343E3" w:rsidP="00E343E3">
      <w:pPr>
        <w:pStyle w:val="Listenabsatz"/>
        <w:numPr>
          <w:ilvl w:val="0"/>
          <w:numId w:val="29"/>
        </w:numPr>
        <w:jc w:val="left"/>
      </w:pPr>
      <w:r>
        <w:t>Krankenhausgesetz für das Land Schleswig-Holstein - Landeskrankenhausgesetz- (LKHG)</w:t>
      </w:r>
      <w:r>
        <w:br/>
      </w:r>
      <w:hyperlink r:id="rId72" w:history="1">
        <w:r w:rsidRPr="00205312">
          <w:rPr>
            <w:rStyle w:val="Hyperlink"/>
          </w:rPr>
          <w:t>https://www.gesetze-rechtsprechung.sh.juris.de/perma?j=KHG_SH</w:t>
        </w:r>
      </w:hyperlink>
    </w:p>
    <w:p w14:paraId="2D49F4C4" w14:textId="10F29892" w:rsidR="00E343E3" w:rsidRDefault="005F5895" w:rsidP="00E343E3">
      <w:pPr>
        <w:pStyle w:val="Listenabsatz"/>
        <w:numPr>
          <w:ilvl w:val="1"/>
          <w:numId w:val="29"/>
        </w:numPr>
        <w:jc w:val="left"/>
      </w:pPr>
      <w:r>
        <w:t>§ </w:t>
      </w:r>
      <w:r w:rsidR="00E343E3">
        <w:t xml:space="preserve">36 </w:t>
      </w:r>
      <w:r w:rsidR="00E343E3" w:rsidRPr="00E343E3">
        <w:t>Datenverarbeitung im Krankenhaus</w:t>
      </w:r>
      <w:r w:rsidR="00E343E3">
        <w:br/>
      </w:r>
      <w:hyperlink r:id="rId73" w:history="1">
        <w:r w:rsidR="00E343E3" w:rsidRPr="00205312">
          <w:rPr>
            <w:rStyle w:val="Hyperlink"/>
          </w:rPr>
          <w:t>https://www.gesetze-rechtsprechung.sh.juris.de/bssh/document/jlr-KHGSHpP36</w:t>
        </w:r>
      </w:hyperlink>
    </w:p>
    <w:p w14:paraId="4C1B55C6" w14:textId="6A7368F3" w:rsidR="00E343E3" w:rsidRPr="005F288F" w:rsidRDefault="005F5895" w:rsidP="002E6CB7">
      <w:pPr>
        <w:pStyle w:val="Listenabsatz"/>
        <w:numPr>
          <w:ilvl w:val="1"/>
          <w:numId w:val="29"/>
        </w:numPr>
        <w:jc w:val="left"/>
      </w:pPr>
      <w:r>
        <w:t>§ </w:t>
      </w:r>
      <w:r w:rsidR="00E343E3">
        <w:t xml:space="preserve">38 </w:t>
      </w:r>
      <w:r w:rsidR="00E343E3" w:rsidRPr="00E343E3">
        <w:t>Verarbeiten von Patientendaten im Rahmen von Forschungsvorhaben</w:t>
      </w:r>
      <w:r w:rsidR="00E343E3">
        <w:br/>
      </w:r>
      <w:hyperlink r:id="rId74" w:history="1">
        <w:r w:rsidR="00E343E3" w:rsidRPr="00205312">
          <w:rPr>
            <w:rStyle w:val="Hyperlink"/>
          </w:rPr>
          <w:t>https://www.gesetze-rechtsprechung.sh.juris.de/bssh/document/jlr-KHGSHpP38</w:t>
        </w:r>
      </w:hyperlink>
    </w:p>
    <w:p w14:paraId="106C5EDB" w14:textId="7DF8085C" w:rsidR="005F288F" w:rsidRDefault="005F288F" w:rsidP="003B642E">
      <w:pPr>
        <w:pStyle w:val="Anhang3"/>
        <w:numPr>
          <w:ilvl w:val="2"/>
          <w:numId w:val="41"/>
        </w:numPr>
        <w:tabs>
          <w:tab w:val="left" w:pos="1701"/>
        </w:tabs>
      </w:pPr>
      <w:bookmarkStart w:id="269" w:name="_Toc169934911"/>
      <w:r w:rsidRPr="005F288F">
        <w:t>Thüringen</w:t>
      </w:r>
      <w:bookmarkEnd w:id="269"/>
    </w:p>
    <w:p w14:paraId="07CAFF67" w14:textId="2F1A0E0D" w:rsidR="004F6D36" w:rsidRDefault="004F6D36" w:rsidP="004F6D36">
      <w:pPr>
        <w:pStyle w:val="Listenabsatz"/>
        <w:numPr>
          <w:ilvl w:val="0"/>
          <w:numId w:val="29"/>
        </w:numPr>
        <w:jc w:val="left"/>
      </w:pPr>
      <w:r w:rsidRPr="004F6D36">
        <w:t>Thüringer Krankenhausgesetz (</w:t>
      </w:r>
      <w:r w:rsidRPr="005F5895">
        <w:t>ThürKHG</w:t>
      </w:r>
      <w:r w:rsidRPr="004F6D36">
        <w:t>)</w:t>
      </w:r>
      <w:r>
        <w:br/>
      </w:r>
      <w:hyperlink r:id="rId75" w:history="1">
        <w:r w:rsidRPr="00B221D3">
          <w:rPr>
            <w:rStyle w:val="Hyperlink"/>
          </w:rPr>
          <w:t>https://landesrecht.thueringen.de/perma?j=KHG_TH</w:t>
        </w:r>
      </w:hyperlink>
    </w:p>
    <w:p w14:paraId="2B991794" w14:textId="497ED80A" w:rsidR="004F6D36" w:rsidRDefault="005F5895" w:rsidP="004F6D36">
      <w:pPr>
        <w:pStyle w:val="Listenabsatz"/>
        <w:numPr>
          <w:ilvl w:val="1"/>
          <w:numId w:val="29"/>
        </w:numPr>
        <w:jc w:val="left"/>
      </w:pPr>
      <w:r>
        <w:t>§ </w:t>
      </w:r>
      <w:r w:rsidR="004F6D36">
        <w:t xml:space="preserve">27 </w:t>
      </w:r>
      <w:r w:rsidR="004F6D36" w:rsidRPr="004F6D36">
        <w:t>Schutz der Persönlichkeit und Datenschutz</w:t>
      </w:r>
      <w:r w:rsidR="004F6D36">
        <w:br/>
      </w:r>
      <w:hyperlink r:id="rId76" w:history="1">
        <w:r w:rsidR="004F6D36" w:rsidRPr="00B221D3">
          <w:rPr>
            <w:rStyle w:val="Hyperlink"/>
          </w:rPr>
          <w:t>https://landesrecht.thueringen.de/bsth/document/jlr-KHGTH2003V3P27</w:t>
        </w:r>
      </w:hyperlink>
    </w:p>
    <w:p w14:paraId="7151F19C" w14:textId="126CE2B4" w:rsidR="004F6D36" w:rsidRDefault="005F5895" w:rsidP="004F6D36">
      <w:pPr>
        <w:pStyle w:val="Listenabsatz"/>
        <w:numPr>
          <w:ilvl w:val="1"/>
          <w:numId w:val="29"/>
        </w:numPr>
        <w:jc w:val="left"/>
      </w:pPr>
      <w:r>
        <w:t>§ </w:t>
      </w:r>
      <w:r w:rsidR="004F6D36">
        <w:t>27a Datenverarbeitung für Forschungszwecke außerhalb des Krankenhauses</w:t>
      </w:r>
      <w:r w:rsidR="004F6D36">
        <w:br/>
      </w:r>
      <w:hyperlink r:id="rId77" w:history="1">
        <w:r w:rsidR="004F6D36" w:rsidRPr="00B221D3">
          <w:rPr>
            <w:rStyle w:val="Hyperlink"/>
          </w:rPr>
          <w:t>https://landesrecht.thueringen.de/bsth/document/jlr-KHGTH2003V3P27a</w:t>
        </w:r>
      </w:hyperlink>
    </w:p>
    <w:p w14:paraId="0E8F0801" w14:textId="77777777" w:rsidR="00F034D6" w:rsidRDefault="00F034D6" w:rsidP="00F034D6">
      <w:pPr>
        <w:pStyle w:val="Anhang2"/>
        <w:numPr>
          <w:ilvl w:val="1"/>
          <w:numId w:val="41"/>
        </w:numPr>
      </w:pPr>
      <w:bookmarkStart w:id="270" w:name="_Toc169934912"/>
      <w:bookmarkEnd w:id="254"/>
      <w:r>
        <w:t>Landesrettungsdienstgesetze nach Bundesländern</w:t>
      </w:r>
      <w:bookmarkEnd w:id="270"/>
    </w:p>
    <w:p w14:paraId="2032D34D" w14:textId="77777777" w:rsidR="00F034D6" w:rsidRDefault="00F034D6" w:rsidP="00F034D6">
      <w:pPr>
        <w:pStyle w:val="Anhang3"/>
        <w:numPr>
          <w:ilvl w:val="2"/>
          <w:numId w:val="41"/>
        </w:numPr>
      </w:pPr>
      <w:bookmarkStart w:id="271" w:name="_Toc169934913"/>
      <w:r w:rsidRPr="005F288F">
        <w:t>Baden-Württemberg</w:t>
      </w:r>
      <w:bookmarkEnd w:id="271"/>
    </w:p>
    <w:p w14:paraId="58E0E8A5" w14:textId="0154E044" w:rsidR="00F034D6" w:rsidRDefault="00F034D6" w:rsidP="00F034D6">
      <w:pPr>
        <w:pStyle w:val="Listenabsatz"/>
        <w:numPr>
          <w:ilvl w:val="0"/>
          <w:numId w:val="29"/>
        </w:numPr>
        <w:jc w:val="left"/>
      </w:pPr>
      <w:r>
        <w:t xml:space="preserve">Gesetz über den Rettungsdienst (Rettungsdienstgesetz - RDG) </w:t>
      </w:r>
      <w:r>
        <w:br/>
      </w:r>
      <w:hyperlink r:id="rId78" w:history="1">
        <w:r w:rsidRPr="00896C4A">
          <w:rPr>
            <w:rStyle w:val="Hyperlink"/>
          </w:rPr>
          <w:t>https://www.landesrecht-bw.de/perma?j=RettDG_BW</w:t>
        </w:r>
      </w:hyperlink>
    </w:p>
    <w:p w14:paraId="4749DA35" w14:textId="2CDEAEC8" w:rsidR="00F034D6" w:rsidRDefault="00F034D6" w:rsidP="00F034D6">
      <w:pPr>
        <w:pStyle w:val="Listenabsatz"/>
        <w:numPr>
          <w:ilvl w:val="1"/>
          <w:numId w:val="29"/>
        </w:numPr>
        <w:jc w:val="left"/>
      </w:pPr>
      <w:r>
        <w:t xml:space="preserve">§ 32 </w:t>
      </w:r>
      <w:r w:rsidRPr="00474CF6">
        <w:t>Verarbeitung personenbezogener Daten</w:t>
      </w:r>
      <w:r>
        <w:br/>
      </w:r>
      <w:hyperlink r:id="rId79" w:history="1">
        <w:r w:rsidRPr="00896C4A">
          <w:rPr>
            <w:rStyle w:val="Hyperlink"/>
          </w:rPr>
          <w:t>https://www.landesrecht-bw.de/bsbw/document/jlr-RettDGBW2010V3P32</w:t>
        </w:r>
      </w:hyperlink>
    </w:p>
    <w:p w14:paraId="7744FC0A" w14:textId="77777777" w:rsidR="00F034D6" w:rsidRDefault="00F034D6" w:rsidP="00F034D6">
      <w:pPr>
        <w:pStyle w:val="Anhang3"/>
        <w:numPr>
          <w:ilvl w:val="2"/>
          <w:numId w:val="41"/>
        </w:numPr>
      </w:pPr>
      <w:bookmarkStart w:id="272" w:name="_Toc169934914"/>
      <w:r w:rsidRPr="005F288F">
        <w:t>Bayern</w:t>
      </w:r>
      <w:bookmarkEnd w:id="272"/>
    </w:p>
    <w:p w14:paraId="2C861534" w14:textId="47CF15C1" w:rsidR="00F034D6" w:rsidRDefault="00F034D6" w:rsidP="00F034D6">
      <w:pPr>
        <w:pStyle w:val="Listenabsatz"/>
        <w:numPr>
          <w:ilvl w:val="0"/>
          <w:numId w:val="29"/>
        </w:numPr>
        <w:jc w:val="left"/>
      </w:pPr>
      <w:r w:rsidRPr="00474CF6">
        <w:t>Bayerisches Rettungsdienstgesetz</w:t>
      </w:r>
      <w:r>
        <w:br/>
      </w:r>
      <w:hyperlink r:id="rId80" w:history="1">
        <w:r w:rsidRPr="00896C4A">
          <w:rPr>
            <w:rStyle w:val="Hyperlink"/>
          </w:rPr>
          <w:t>https://www.gesetze-bayern.de/Content/Document/BayRDG</w:t>
        </w:r>
      </w:hyperlink>
    </w:p>
    <w:p w14:paraId="2EE83240" w14:textId="1A5B7FD6" w:rsidR="00F034D6" w:rsidRDefault="00F034D6" w:rsidP="00F034D6">
      <w:pPr>
        <w:pStyle w:val="Listenabsatz"/>
        <w:numPr>
          <w:ilvl w:val="1"/>
          <w:numId w:val="29"/>
        </w:numPr>
        <w:jc w:val="left"/>
      </w:pPr>
      <w:r>
        <w:t xml:space="preserve">Art. 47 </w:t>
      </w:r>
      <w:r w:rsidRPr="00B74DE5">
        <w:t>Datenschutz</w:t>
      </w:r>
      <w:r>
        <w:br/>
      </w:r>
      <w:hyperlink r:id="rId81" w:history="1">
        <w:r w:rsidRPr="00896C4A">
          <w:rPr>
            <w:rStyle w:val="Hyperlink"/>
          </w:rPr>
          <w:t>https://www.gesetze-bayern.de/Content/Document/BayRDG-47</w:t>
        </w:r>
      </w:hyperlink>
    </w:p>
    <w:p w14:paraId="1CDC8A3C" w14:textId="77777777" w:rsidR="00F034D6" w:rsidRDefault="00F034D6" w:rsidP="00F034D6">
      <w:pPr>
        <w:pStyle w:val="Anhang3"/>
        <w:numPr>
          <w:ilvl w:val="2"/>
          <w:numId w:val="41"/>
        </w:numPr>
      </w:pPr>
      <w:bookmarkStart w:id="273" w:name="_Toc169934915"/>
      <w:r w:rsidRPr="005F288F">
        <w:t>Berlin</w:t>
      </w:r>
      <w:bookmarkEnd w:id="273"/>
    </w:p>
    <w:p w14:paraId="53AFD020" w14:textId="1E8405C7" w:rsidR="00F034D6" w:rsidRDefault="00F034D6" w:rsidP="00F034D6">
      <w:pPr>
        <w:pStyle w:val="Listenabsatz"/>
        <w:numPr>
          <w:ilvl w:val="0"/>
          <w:numId w:val="29"/>
        </w:numPr>
        <w:jc w:val="left"/>
      </w:pPr>
      <w:r>
        <w:t>Gesetz über den Rettungsdienst für das Land Berlin (Rettungsdienstgesetz - RDG)</w:t>
      </w:r>
      <w:r>
        <w:br/>
      </w:r>
      <w:hyperlink r:id="rId82" w:history="1">
        <w:r w:rsidRPr="00896C4A">
          <w:rPr>
            <w:rStyle w:val="Hyperlink"/>
          </w:rPr>
          <w:t>https://gesetze.berlin.de/perma?j=RettDG_BE</w:t>
        </w:r>
      </w:hyperlink>
    </w:p>
    <w:p w14:paraId="1AD03B89" w14:textId="7431B886" w:rsidR="00F034D6" w:rsidRPr="00B74DE5" w:rsidRDefault="00F034D6" w:rsidP="00F034D6">
      <w:pPr>
        <w:pStyle w:val="Listenabsatz"/>
        <w:numPr>
          <w:ilvl w:val="1"/>
          <w:numId w:val="29"/>
        </w:numPr>
        <w:jc w:val="left"/>
        <w:rPr>
          <w:lang w:val="en-US"/>
        </w:rPr>
      </w:pPr>
      <w:r>
        <w:t xml:space="preserve">§ 4 </w:t>
      </w:r>
      <w:r w:rsidRPr="00474CF6">
        <w:t>Datenschutz</w:t>
      </w:r>
      <w:r>
        <w:br/>
      </w:r>
      <w:hyperlink r:id="rId83" w:history="1">
        <w:r w:rsidRPr="00896C4A">
          <w:rPr>
            <w:rStyle w:val="Hyperlink"/>
          </w:rPr>
          <w:t>https://gesetze.berlin.de/bsbe/document/jlr-RettDGBEV7P4</w:t>
        </w:r>
      </w:hyperlink>
    </w:p>
    <w:p w14:paraId="4188BD6D" w14:textId="77777777" w:rsidR="00F034D6" w:rsidRDefault="00F034D6" w:rsidP="00F034D6">
      <w:pPr>
        <w:pStyle w:val="Anhang3"/>
        <w:numPr>
          <w:ilvl w:val="2"/>
          <w:numId w:val="41"/>
        </w:numPr>
      </w:pPr>
      <w:bookmarkStart w:id="274" w:name="_Toc169934916"/>
      <w:r w:rsidRPr="005F288F">
        <w:t>Brandenburg</w:t>
      </w:r>
      <w:bookmarkEnd w:id="274"/>
    </w:p>
    <w:p w14:paraId="35D7E374" w14:textId="17DB628A" w:rsidR="00F034D6" w:rsidRDefault="00F034D6" w:rsidP="00F034D6">
      <w:pPr>
        <w:pStyle w:val="Listenabsatz"/>
        <w:numPr>
          <w:ilvl w:val="0"/>
          <w:numId w:val="29"/>
        </w:numPr>
        <w:jc w:val="left"/>
      </w:pPr>
      <w:r w:rsidRPr="00415E82">
        <w:t>Gesetz über den Rettungsdienst im Land Brandenburg (Brandenburgisches Rettungsdienstgesetz - BbgRettG)</w:t>
      </w:r>
      <w:r>
        <w:br/>
      </w:r>
      <w:hyperlink r:id="rId84" w:history="1">
        <w:r w:rsidRPr="00896C4A">
          <w:rPr>
            <w:rStyle w:val="Hyperlink"/>
          </w:rPr>
          <w:t>https://bravors.brandenburg.de/gesetze/bbgrettg</w:t>
        </w:r>
      </w:hyperlink>
    </w:p>
    <w:p w14:paraId="363D9F59" w14:textId="3DC56481" w:rsidR="00F034D6" w:rsidRPr="00B74DE5" w:rsidRDefault="00F034D6" w:rsidP="00F034D6">
      <w:pPr>
        <w:pStyle w:val="Listenabsatz"/>
        <w:numPr>
          <w:ilvl w:val="1"/>
          <w:numId w:val="29"/>
        </w:numPr>
        <w:jc w:val="left"/>
      </w:pPr>
      <w:r>
        <w:t xml:space="preserve">§ 19 </w:t>
      </w:r>
      <w:r w:rsidRPr="00415E82">
        <w:t>Dokumentation, Datenschutz, Auskunftspflicht</w:t>
      </w:r>
      <w:r>
        <w:br/>
      </w:r>
      <w:hyperlink r:id="rId85" w:anchor="19" w:history="1">
        <w:r w:rsidRPr="00896C4A">
          <w:rPr>
            <w:rStyle w:val="Hyperlink"/>
          </w:rPr>
          <w:t>https://bravors.brandenburg.de/gesetze/bbgrettg#19</w:t>
        </w:r>
      </w:hyperlink>
    </w:p>
    <w:p w14:paraId="7516FABC" w14:textId="77777777" w:rsidR="00F034D6" w:rsidRDefault="00F034D6" w:rsidP="00F034D6">
      <w:pPr>
        <w:pStyle w:val="Anhang3"/>
        <w:numPr>
          <w:ilvl w:val="2"/>
          <w:numId w:val="41"/>
        </w:numPr>
      </w:pPr>
      <w:bookmarkStart w:id="275" w:name="_Toc169934917"/>
      <w:r w:rsidRPr="005F288F">
        <w:t>Bremen</w:t>
      </w:r>
      <w:bookmarkEnd w:id="275"/>
    </w:p>
    <w:p w14:paraId="0D9E0399" w14:textId="13ACE2DE" w:rsidR="00F034D6" w:rsidRDefault="00F034D6" w:rsidP="00F034D6">
      <w:pPr>
        <w:pStyle w:val="Listenabsatz"/>
        <w:numPr>
          <w:ilvl w:val="0"/>
          <w:numId w:val="29"/>
        </w:numPr>
        <w:jc w:val="left"/>
      </w:pPr>
      <w:r w:rsidRPr="00415E82">
        <w:t>Bremisches Hilfeleistungsgesetz (BremHilfeG)</w:t>
      </w:r>
      <w:r>
        <w:br/>
      </w:r>
      <w:hyperlink r:id="rId86" w:history="1">
        <w:r w:rsidRPr="005C71C9">
          <w:rPr>
            <w:rStyle w:val="Hyperlink"/>
          </w:rPr>
          <w:t>https://www.transparenz.bremen.de/metainformationen/bremisches-krankenhausgesetz-bremkrhg-vom-24-november-2020-159875?template=20_gp_ifg_meta_detail_d</w:t>
        </w:r>
      </w:hyperlink>
    </w:p>
    <w:p w14:paraId="01FCBD75" w14:textId="021ABC91" w:rsidR="00F034D6" w:rsidRDefault="00F034D6" w:rsidP="00F034D6">
      <w:pPr>
        <w:pStyle w:val="Listenabsatz"/>
        <w:numPr>
          <w:ilvl w:val="1"/>
          <w:numId w:val="29"/>
        </w:numPr>
        <w:jc w:val="left"/>
      </w:pPr>
      <w:r>
        <w:t>§ 61</w:t>
      </w:r>
      <w:r w:rsidRPr="00F3228A">
        <w:t xml:space="preserve"> </w:t>
      </w:r>
      <w:r w:rsidRPr="00415E82">
        <w:t>Datenverarbeitung</w:t>
      </w:r>
      <w:r>
        <w:br/>
      </w:r>
      <w:hyperlink r:id="rId87" w:anchor="jlr-HilfeGBR2016V7P61" w:history="1">
        <w:r w:rsidRPr="00896C4A">
          <w:rPr>
            <w:rStyle w:val="Hyperlink"/>
          </w:rPr>
          <w:t>https://www.transparenz.bremen.de/metainformationen/bremisches-hilfeleistungsgesetz-bremhilfeg-vom-21-juni-2016-184267?asl=bremen203_tpgesetz.c.55340.de&amp;template=20_gp_ifg_meta_detail_d#jlr-HilfeGBR2016V7P61</w:t>
        </w:r>
      </w:hyperlink>
    </w:p>
    <w:p w14:paraId="57FCDFCF" w14:textId="3B1C970F" w:rsidR="00F034D6" w:rsidRDefault="00F034D6" w:rsidP="00F034D6">
      <w:pPr>
        <w:pStyle w:val="Listenabsatz"/>
        <w:numPr>
          <w:ilvl w:val="1"/>
          <w:numId w:val="29"/>
        </w:numPr>
        <w:jc w:val="left"/>
      </w:pPr>
      <w:r>
        <w:t xml:space="preserve">§ 62 </w:t>
      </w:r>
      <w:r w:rsidRPr="00415E82">
        <w:t>Datenverarbeitung für das Qualitätsmanagement im Rettungsdienst</w:t>
      </w:r>
      <w:r>
        <w:br/>
      </w:r>
      <w:hyperlink r:id="rId88" w:anchor="jlr-HilfeGBR2016V7P62" w:history="1">
        <w:r w:rsidRPr="00896C4A">
          <w:rPr>
            <w:rStyle w:val="Hyperlink"/>
          </w:rPr>
          <w:t>https://www.transparenz.bremen.de/metainformationen/bremisches-hilfeleistungsgesetz-bremhilfeg-vom-21-juni-2016-184267?asl=bremen203_tpgesetz.c.55340.de&amp;template=20_gp_ifg_meta_detail_d#jlr-HilfeGBR2016V7P62</w:t>
        </w:r>
      </w:hyperlink>
    </w:p>
    <w:p w14:paraId="1B22EBC9" w14:textId="58FE6629" w:rsidR="00F034D6" w:rsidRDefault="00F034D6" w:rsidP="00F034D6">
      <w:pPr>
        <w:pStyle w:val="Listenabsatz"/>
        <w:numPr>
          <w:ilvl w:val="1"/>
          <w:numId w:val="29"/>
        </w:numPr>
        <w:jc w:val="left"/>
      </w:pPr>
      <w:r>
        <w:t xml:space="preserve">§ 63 </w:t>
      </w:r>
      <w:r w:rsidRPr="00415E82">
        <w:t>Datenerhebung und Zweckbindung</w:t>
      </w:r>
      <w:r>
        <w:br/>
      </w:r>
      <w:hyperlink r:id="rId89" w:anchor="jlr-HilfeGBR2016V7P63" w:history="1">
        <w:r w:rsidRPr="00896C4A">
          <w:rPr>
            <w:rStyle w:val="Hyperlink"/>
          </w:rPr>
          <w:t>https://www.transparenz.bremen.de/metainformationen/bremisches-hilfeleistungsgesetz-bremhilfeg-vom-21-juni-2016-184267?asl=bremen203_tpgesetz.c.55340.de&amp;template=20_gp_ifg_meta_detail_d#jlr-HilfeGBR2016V7P63</w:t>
        </w:r>
      </w:hyperlink>
    </w:p>
    <w:p w14:paraId="25BC317F" w14:textId="77777777" w:rsidR="00F034D6" w:rsidRDefault="00F034D6" w:rsidP="00F034D6">
      <w:pPr>
        <w:pStyle w:val="Anhang3"/>
        <w:numPr>
          <w:ilvl w:val="2"/>
          <w:numId w:val="41"/>
        </w:numPr>
      </w:pPr>
      <w:bookmarkStart w:id="276" w:name="_Toc169934918"/>
      <w:r w:rsidRPr="005F288F">
        <w:t>Hamburg</w:t>
      </w:r>
      <w:bookmarkEnd w:id="276"/>
    </w:p>
    <w:p w14:paraId="3FC3A6CF" w14:textId="0F4AC8E7" w:rsidR="00F034D6" w:rsidRDefault="00F034D6" w:rsidP="00F034D6">
      <w:pPr>
        <w:pStyle w:val="Listenabsatz"/>
        <w:numPr>
          <w:ilvl w:val="0"/>
          <w:numId w:val="29"/>
        </w:numPr>
        <w:jc w:val="left"/>
      </w:pPr>
      <w:r>
        <w:t>Hamburgisches Rettungsdienstgesetz (HmbRDG)</w:t>
      </w:r>
      <w:r>
        <w:br/>
      </w:r>
      <w:hyperlink r:id="rId90" w:history="1">
        <w:r w:rsidRPr="00896C4A">
          <w:rPr>
            <w:rStyle w:val="Hyperlink"/>
          </w:rPr>
          <w:t>https://www.landesrecht-hamburg.de/bsha/document/jlr-RettDGHA2019rahmen</w:t>
        </w:r>
      </w:hyperlink>
    </w:p>
    <w:p w14:paraId="4FE32C97" w14:textId="6F97B609" w:rsidR="00F034D6" w:rsidRDefault="00F034D6" w:rsidP="00F034D6">
      <w:pPr>
        <w:pStyle w:val="Listenabsatz"/>
        <w:numPr>
          <w:ilvl w:val="1"/>
          <w:numId w:val="29"/>
        </w:numPr>
        <w:jc w:val="left"/>
      </w:pPr>
      <w:r>
        <w:t>§ 7</w:t>
      </w:r>
      <w:r w:rsidRPr="00F3228A">
        <w:t xml:space="preserve"> </w:t>
      </w:r>
      <w:r w:rsidRPr="00415E82">
        <w:t>Datenschutz</w:t>
      </w:r>
      <w:r>
        <w:br/>
      </w:r>
      <w:hyperlink r:id="rId91" w:history="1">
        <w:r w:rsidRPr="00896C4A">
          <w:rPr>
            <w:rStyle w:val="Hyperlink"/>
          </w:rPr>
          <w:t>https://www.landesrecht-hamburg.de/bsha/document/jlr-RettDGHA2019pP7</w:t>
        </w:r>
      </w:hyperlink>
    </w:p>
    <w:p w14:paraId="59326B14" w14:textId="77777777" w:rsidR="00F034D6" w:rsidRDefault="00F034D6" w:rsidP="00F034D6">
      <w:pPr>
        <w:pStyle w:val="Anhang3"/>
        <w:numPr>
          <w:ilvl w:val="2"/>
          <w:numId w:val="41"/>
        </w:numPr>
      </w:pPr>
      <w:bookmarkStart w:id="277" w:name="_Toc169934919"/>
      <w:r w:rsidRPr="005F288F">
        <w:t>Hessen</w:t>
      </w:r>
      <w:bookmarkEnd w:id="277"/>
    </w:p>
    <w:p w14:paraId="7E42D061" w14:textId="773E4EC6" w:rsidR="00F034D6" w:rsidRDefault="00F034D6" w:rsidP="00F034D6">
      <w:pPr>
        <w:pStyle w:val="Listenabsatz"/>
        <w:numPr>
          <w:ilvl w:val="0"/>
          <w:numId w:val="29"/>
        </w:numPr>
        <w:jc w:val="left"/>
      </w:pPr>
      <w:r w:rsidRPr="00415E82">
        <w:t>Hessisches Rettungsdienstgesetz (HRDG)</w:t>
      </w:r>
      <w:r>
        <w:br/>
      </w:r>
      <w:hyperlink r:id="rId92" w:history="1">
        <w:r w:rsidRPr="00896C4A">
          <w:rPr>
            <w:rStyle w:val="Hyperlink"/>
          </w:rPr>
          <w:t>https://www.rv.hessenrecht.hessen.de/perma?j=RettDG_HE</w:t>
        </w:r>
      </w:hyperlink>
    </w:p>
    <w:p w14:paraId="64410B94" w14:textId="1F84D0B8" w:rsidR="00F034D6" w:rsidRDefault="00F034D6" w:rsidP="00F034D6">
      <w:pPr>
        <w:pStyle w:val="Listenabsatz"/>
        <w:numPr>
          <w:ilvl w:val="1"/>
          <w:numId w:val="29"/>
        </w:numPr>
        <w:jc w:val="left"/>
      </w:pPr>
      <w:r>
        <w:t xml:space="preserve">§ 17 </w:t>
      </w:r>
      <w:r w:rsidRPr="00415E82">
        <w:t>Datenschutz, Auskunftspflicht</w:t>
      </w:r>
      <w:r>
        <w:br/>
      </w:r>
      <w:hyperlink r:id="rId93" w:history="1">
        <w:r w:rsidRPr="00896C4A">
          <w:rPr>
            <w:rStyle w:val="Hyperlink"/>
          </w:rPr>
          <w:t>https://www.rv.hessenrecht.hessen.de/bshe/document/jlr-RettDGHE2010V3P17</w:t>
        </w:r>
      </w:hyperlink>
    </w:p>
    <w:p w14:paraId="2E660DCD" w14:textId="77777777" w:rsidR="00F034D6" w:rsidRDefault="00F034D6" w:rsidP="00F034D6">
      <w:pPr>
        <w:pStyle w:val="Anhang3"/>
        <w:numPr>
          <w:ilvl w:val="2"/>
          <w:numId w:val="41"/>
        </w:numPr>
      </w:pPr>
      <w:bookmarkStart w:id="278" w:name="_Toc169934920"/>
      <w:r w:rsidRPr="005F288F">
        <w:t>Mecklenburg-Vorpommern</w:t>
      </w:r>
      <w:bookmarkEnd w:id="278"/>
    </w:p>
    <w:p w14:paraId="1C2C2D91" w14:textId="74654660" w:rsidR="00F034D6" w:rsidRDefault="00F034D6" w:rsidP="00F034D6">
      <w:pPr>
        <w:pStyle w:val="Listenabsatz"/>
        <w:numPr>
          <w:ilvl w:val="0"/>
          <w:numId w:val="29"/>
        </w:numPr>
        <w:jc w:val="left"/>
      </w:pPr>
      <w:r w:rsidRPr="00415E82">
        <w:t>Rettungsdienstgesetz Mecklenburg-Vorpommern (RDG M-V)</w:t>
      </w:r>
      <w:r>
        <w:br/>
      </w:r>
      <w:hyperlink r:id="rId94" w:history="1">
        <w:r w:rsidRPr="00896C4A">
          <w:rPr>
            <w:rStyle w:val="Hyperlink"/>
          </w:rPr>
          <w:t>https://www.landesrecht-mv.de/bsmv/document/jlr-RettDGMV2015rahmen</w:t>
        </w:r>
      </w:hyperlink>
    </w:p>
    <w:p w14:paraId="65DCE113" w14:textId="645A3B4B" w:rsidR="00F034D6" w:rsidRDefault="00F034D6" w:rsidP="00F034D6">
      <w:pPr>
        <w:pStyle w:val="Listenabsatz"/>
        <w:numPr>
          <w:ilvl w:val="1"/>
          <w:numId w:val="29"/>
        </w:numPr>
        <w:jc w:val="left"/>
      </w:pPr>
      <w:r>
        <w:t>§ 15 D</w:t>
      </w:r>
      <w:r w:rsidRPr="00415E82">
        <w:t>okumentation, Datenschutz, Auskunftspflicht</w:t>
      </w:r>
      <w:r>
        <w:br/>
      </w:r>
      <w:hyperlink r:id="rId95" w:history="1">
        <w:r w:rsidRPr="00896C4A">
          <w:rPr>
            <w:rStyle w:val="Hyperlink"/>
          </w:rPr>
          <w:t>https://www.landesrecht-mv.de/bsmv/document/jlr-RettDGMV2015V1P15</w:t>
        </w:r>
      </w:hyperlink>
    </w:p>
    <w:p w14:paraId="65B38817" w14:textId="77777777" w:rsidR="00F034D6" w:rsidRDefault="00F034D6" w:rsidP="00F034D6">
      <w:pPr>
        <w:pStyle w:val="Anhang3"/>
        <w:numPr>
          <w:ilvl w:val="2"/>
          <w:numId w:val="41"/>
        </w:numPr>
      </w:pPr>
      <w:bookmarkStart w:id="279" w:name="_Toc169934921"/>
      <w:r w:rsidRPr="005F288F">
        <w:t>Niedersachsen</w:t>
      </w:r>
      <w:bookmarkEnd w:id="279"/>
    </w:p>
    <w:p w14:paraId="3378D3AA" w14:textId="75C9B2D5" w:rsidR="00F034D6" w:rsidRPr="00415E82" w:rsidRDefault="00F034D6" w:rsidP="00F034D6">
      <w:pPr>
        <w:pStyle w:val="Listenabsatz"/>
        <w:numPr>
          <w:ilvl w:val="0"/>
          <w:numId w:val="29"/>
        </w:numPr>
        <w:jc w:val="left"/>
      </w:pPr>
      <w:r w:rsidRPr="00415E82">
        <w:t>Niedersächsisches Rettungsdienstgesetz (NRettDG)</w:t>
      </w:r>
      <w:r>
        <w:br/>
      </w:r>
      <w:hyperlink r:id="rId96" w:history="1">
        <w:r w:rsidRPr="00415E82">
          <w:rPr>
            <w:rStyle w:val="Hyperlink"/>
          </w:rPr>
          <w:t>https://voris.wolterskluwer-online.de/browse/document/7946845b-2902-345d-bc8d-2357a5a72e7c</w:t>
        </w:r>
      </w:hyperlink>
    </w:p>
    <w:p w14:paraId="3D5CFD85" w14:textId="77777777" w:rsidR="00F034D6" w:rsidRDefault="00F034D6" w:rsidP="00F034D6">
      <w:pPr>
        <w:pStyle w:val="Anhang3"/>
        <w:numPr>
          <w:ilvl w:val="2"/>
          <w:numId w:val="41"/>
        </w:numPr>
        <w:tabs>
          <w:tab w:val="left" w:pos="1701"/>
        </w:tabs>
      </w:pPr>
      <w:bookmarkStart w:id="280" w:name="_Toc169934922"/>
      <w:r w:rsidRPr="005F288F">
        <w:t>Nordrhein-Westfalen</w:t>
      </w:r>
      <w:bookmarkEnd w:id="280"/>
    </w:p>
    <w:p w14:paraId="3376AC36" w14:textId="5379F0C7" w:rsidR="00F034D6" w:rsidRDefault="00F034D6" w:rsidP="00F034D6">
      <w:pPr>
        <w:pStyle w:val="Listenabsatz"/>
        <w:numPr>
          <w:ilvl w:val="0"/>
          <w:numId w:val="29"/>
        </w:numPr>
        <w:jc w:val="left"/>
      </w:pPr>
      <w:r w:rsidRPr="00415E82">
        <w:t>Gesetz über den Rettungsdienst sowie die Notfallrettung und den Krankentransport durch Unternehmer (Rettungsgesetz NRW - RettG NRW)</w:t>
      </w:r>
      <w:r>
        <w:br/>
      </w:r>
      <w:hyperlink r:id="rId97" w:history="1">
        <w:r w:rsidRPr="00896C4A">
          <w:rPr>
            <w:rStyle w:val="Hyperlink"/>
          </w:rPr>
          <w:t>https://recht.nrw.de/lmi/owa/br_text_anzeigen?v_id=10000000000000000325</w:t>
        </w:r>
      </w:hyperlink>
    </w:p>
    <w:p w14:paraId="6AB965BC" w14:textId="6FE277B4" w:rsidR="00F034D6" w:rsidRDefault="00F034D6" w:rsidP="00F034D6">
      <w:pPr>
        <w:pStyle w:val="Listenabsatz"/>
        <w:numPr>
          <w:ilvl w:val="1"/>
          <w:numId w:val="29"/>
        </w:numPr>
        <w:jc w:val="left"/>
      </w:pPr>
      <w:r>
        <w:t xml:space="preserve">§ 7a </w:t>
      </w:r>
      <w:r w:rsidRPr="00415E82">
        <w:t>Dokumentation, Datenschutz, Qualitätsmanagement</w:t>
      </w:r>
      <w:r>
        <w:br/>
      </w:r>
      <w:hyperlink r:id="rId98" w:history="1">
        <w:r w:rsidRPr="00896C4A">
          <w:rPr>
            <w:rStyle w:val="Hyperlink"/>
          </w:rPr>
          <w:t>https://recht.nrw.de/lmi/owa/br_bes_detail?sg=0&amp;menu=0&amp;bes_id=4300&amp;anw_nr=2&amp;aufgehoben=N&amp;det_id=344712</w:t>
        </w:r>
      </w:hyperlink>
    </w:p>
    <w:p w14:paraId="6580E07F" w14:textId="77777777" w:rsidR="00F034D6" w:rsidRDefault="00F034D6" w:rsidP="00F034D6">
      <w:pPr>
        <w:pStyle w:val="Anhang3"/>
        <w:numPr>
          <w:ilvl w:val="2"/>
          <w:numId w:val="41"/>
        </w:numPr>
        <w:tabs>
          <w:tab w:val="left" w:pos="1701"/>
        </w:tabs>
      </w:pPr>
      <w:bookmarkStart w:id="281" w:name="_Toc169934923"/>
      <w:r w:rsidRPr="005F288F">
        <w:t>Rheinland-Pfalz</w:t>
      </w:r>
      <w:bookmarkEnd w:id="281"/>
    </w:p>
    <w:p w14:paraId="1C314400" w14:textId="37C005A1" w:rsidR="00F034D6" w:rsidRDefault="00F034D6" w:rsidP="00F034D6">
      <w:pPr>
        <w:pStyle w:val="Listenabsatz"/>
        <w:numPr>
          <w:ilvl w:val="0"/>
          <w:numId w:val="29"/>
        </w:numPr>
        <w:jc w:val="left"/>
      </w:pPr>
      <w:r>
        <w:t>Landesgesetz über den Rettungsdienst sowie den Notfall- und Krankentransport (Rettungsdienstgesetz - RettDG )</w:t>
      </w:r>
      <w:r>
        <w:br/>
      </w:r>
      <w:hyperlink r:id="rId99" w:history="1">
        <w:r w:rsidRPr="00896C4A">
          <w:rPr>
            <w:rStyle w:val="Hyperlink"/>
          </w:rPr>
          <w:t>https://www.landesrecht.rlp.de/bsrp/document/jlr-RettDGRPrahmen</w:t>
        </w:r>
      </w:hyperlink>
    </w:p>
    <w:p w14:paraId="290A8201" w14:textId="381952B3" w:rsidR="00F034D6" w:rsidRDefault="00F034D6" w:rsidP="00F034D6">
      <w:pPr>
        <w:pStyle w:val="Listenabsatz"/>
        <w:numPr>
          <w:ilvl w:val="1"/>
          <w:numId w:val="29"/>
        </w:numPr>
        <w:jc w:val="left"/>
      </w:pPr>
      <w:r>
        <w:t xml:space="preserve">§296 </w:t>
      </w:r>
      <w:r w:rsidRPr="00415E82">
        <w:t>Dokumentationspflicht, Verarbeitung personenbezogener Daten, Informationsübermittlung</w:t>
      </w:r>
      <w:r>
        <w:br/>
      </w:r>
      <w:hyperlink r:id="rId100" w:history="1">
        <w:r w:rsidRPr="00896C4A">
          <w:rPr>
            <w:rStyle w:val="Hyperlink"/>
          </w:rPr>
          <w:t>https://www.landesrecht.rlp.de/bsrp/document/jlr-RettDGRPV8P29</w:t>
        </w:r>
      </w:hyperlink>
      <w:r>
        <w:br/>
        <w:t xml:space="preserve">(Verweis auf </w:t>
      </w:r>
      <w:r w:rsidRPr="00415E82">
        <w:t>§ 39 LBKG</w:t>
      </w:r>
      <w:r>
        <w:t>)</w:t>
      </w:r>
    </w:p>
    <w:p w14:paraId="132A1737" w14:textId="44F2F232" w:rsidR="00F034D6" w:rsidRDefault="00F034D6" w:rsidP="00F034D6">
      <w:pPr>
        <w:pStyle w:val="Listenabsatz"/>
        <w:numPr>
          <w:ilvl w:val="1"/>
          <w:numId w:val="29"/>
        </w:numPr>
        <w:jc w:val="left"/>
      </w:pPr>
      <w:r>
        <w:t xml:space="preserve">§ 39 LBKG: </w:t>
      </w:r>
      <w:r w:rsidRPr="00415E82">
        <w:t>Verarbeitung personenbezogener Daten für Zwecke des Brand- und Katastrophenschutzes</w:t>
      </w:r>
      <w:r>
        <w:br/>
      </w:r>
      <w:hyperlink r:id="rId101" w:history="1">
        <w:r w:rsidRPr="00896C4A">
          <w:rPr>
            <w:rStyle w:val="Hyperlink"/>
          </w:rPr>
          <w:t>https://www.landesrecht.rlp.de/bsrp/document/jlr-Brand_KatSchGRPV14P39</w:t>
        </w:r>
      </w:hyperlink>
    </w:p>
    <w:p w14:paraId="50C94AF5" w14:textId="77777777" w:rsidR="00F034D6" w:rsidRDefault="00F034D6" w:rsidP="00F034D6">
      <w:pPr>
        <w:pStyle w:val="Anhang3"/>
        <w:numPr>
          <w:ilvl w:val="2"/>
          <w:numId w:val="41"/>
        </w:numPr>
        <w:tabs>
          <w:tab w:val="left" w:pos="1701"/>
        </w:tabs>
      </w:pPr>
      <w:bookmarkStart w:id="282" w:name="_Toc169934924"/>
      <w:r w:rsidRPr="005F288F">
        <w:t>Saarland</w:t>
      </w:r>
      <w:bookmarkEnd w:id="282"/>
    </w:p>
    <w:p w14:paraId="554D78C3" w14:textId="02C89F1A" w:rsidR="00F034D6" w:rsidRDefault="00F034D6" w:rsidP="00F034D6">
      <w:pPr>
        <w:pStyle w:val="Listenabsatz"/>
        <w:numPr>
          <w:ilvl w:val="0"/>
          <w:numId w:val="29"/>
        </w:numPr>
        <w:jc w:val="left"/>
      </w:pPr>
      <w:r w:rsidRPr="00415E82">
        <w:t>Saarländisches Rettungsdienstgesetz</w:t>
      </w:r>
      <w:r>
        <w:br/>
      </w:r>
      <w:hyperlink r:id="rId102" w:history="1">
        <w:r w:rsidRPr="00896C4A">
          <w:rPr>
            <w:rStyle w:val="Hyperlink"/>
          </w:rPr>
          <w:t>https://recht.saarland.de/bssl/document/jlr-RettDGSL2020rahmen</w:t>
        </w:r>
      </w:hyperlink>
    </w:p>
    <w:p w14:paraId="181EAFED" w14:textId="53C0A924" w:rsidR="00F034D6" w:rsidRDefault="00F034D6" w:rsidP="00F034D6">
      <w:pPr>
        <w:pStyle w:val="Listenabsatz"/>
        <w:numPr>
          <w:ilvl w:val="1"/>
          <w:numId w:val="29"/>
        </w:numPr>
        <w:jc w:val="left"/>
      </w:pPr>
      <w:r>
        <w:t xml:space="preserve">§ 27 </w:t>
      </w:r>
      <w:r w:rsidRPr="00415E82">
        <w:t>Datenschutz</w:t>
      </w:r>
      <w:r>
        <w:br/>
      </w:r>
      <w:hyperlink r:id="rId103" w:history="1">
        <w:r w:rsidRPr="00896C4A">
          <w:rPr>
            <w:rStyle w:val="Hyperlink"/>
          </w:rPr>
          <w:t>https://recht.saarland.de/bssl/document/jlr-RettDGSL2020pP27</w:t>
        </w:r>
      </w:hyperlink>
    </w:p>
    <w:p w14:paraId="6C4FDDD4" w14:textId="77777777" w:rsidR="00F034D6" w:rsidRDefault="00F034D6" w:rsidP="00F034D6">
      <w:pPr>
        <w:pStyle w:val="Anhang3"/>
        <w:numPr>
          <w:ilvl w:val="2"/>
          <w:numId w:val="41"/>
        </w:numPr>
        <w:tabs>
          <w:tab w:val="left" w:pos="1701"/>
        </w:tabs>
      </w:pPr>
      <w:bookmarkStart w:id="283" w:name="_Toc169934925"/>
      <w:r w:rsidRPr="005F288F">
        <w:t>Sachsen</w:t>
      </w:r>
      <w:bookmarkEnd w:id="283"/>
    </w:p>
    <w:p w14:paraId="4EFDF9D6" w14:textId="3EF3DEAD" w:rsidR="00F034D6" w:rsidRDefault="00F034D6" w:rsidP="00F034D6">
      <w:pPr>
        <w:pStyle w:val="Listenabsatz"/>
        <w:numPr>
          <w:ilvl w:val="0"/>
          <w:numId w:val="29"/>
        </w:numPr>
        <w:jc w:val="left"/>
      </w:pPr>
      <w:r w:rsidRPr="00415E82">
        <w:t>Sächsisches Gesetz über den Brandschutz, Rettungsdienst und Katastrophenschutz</w:t>
      </w:r>
      <w:r>
        <w:br/>
      </w:r>
      <w:hyperlink r:id="rId104" w:history="1">
        <w:r w:rsidRPr="00896C4A">
          <w:rPr>
            <w:rStyle w:val="Hyperlink"/>
          </w:rPr>
          <w:t>https://revosax.sachsen.de/vorschrift/4911-SaechsBRKG?follow_successor=no</w:t>
        </w:r>
      </w:hyperlink>
    </w:p>
    <w:p w14:paraId="00666F45" w14:textId="5592DB81" w:rsidR="00F034D6" w:rsidRDefault="00F034D6" w:rsidP="00F034D6">
      <w:pPr>
        <w:pStyle w:val="Listenabsatz"/>
        <w:numPr>
          <w:ilvl w:val="1"/>
          <w:numId w:val="29"/>
        </w:numPr>
        <w:jc w:val="left"/>
      </w:pPr>
      <w:r>
        <w:t xml:space="preserve">§ 72 </w:t>
      </w:r>
      <w:r w:rsidRPr="004F6D36">
        <w:t>Datenschutz</w:t>
      </w:r>
      <w:r>
        <w:br/>
      </w:r>
      <w:hyperlink r:id="rId105" w:anchor="p72" w:history="1">
        <w:r w:rsidRPr="00896C4A">
          <w:rPr>
            <w:rStyle w:val="Hyperlink"/>
          </w:rPr>
          <w:t>https://revosax.sachsen.de/vorschrift/4911-SaechsBRKG?follow_successor=no#p72</w:t>
        </w:r>
      </w:hyperlink>
    </w:p>
    <w:p w14:paraId="74C76C73" w14:textId="77777777" w:rsidR="00F034D6" w:rsidRDefault="00F034D6" w:rsidP="00F034D6">
      <w:pPr>
        <w:pStyle w:val="Anhang3"/>
        <w:numPr>
          <w:ilvl w:val="2"/>
          <w:numId w:val="41"/>
        </w:numPr>
        <w:tabs>
          <w:tab w:val="left" w:pos="1701"/>
        </w:tabs>
      </w:pPr>
      <w:bookmarkStart w:id="284" w:name="_Toc169934926"/>
      <w:r w:rsidRPr="005F288F">
        <w:t>Sachsen-Anhalt</w:t>
      </w:r>
      <w:bookmarkEnd w:id="284"/>
    </w:p>
    <w:p w14:paraId="21987570" w14:textId="3D5EB76D" w:rsidR="00F034D6" w:rsidRDefault="00F034D6" w:rsidP="00F034D6">
      <w:pPr>
        <w:pStyle w:val="Listenabsatz"/>
        <w:numPr>
          <w:ilvl w:val="0"/>
          <w:numId w:val="29"/>
        </w:numPr>
        <w:jc w:val="left"/>
      </w:pPr>
      <w:r w:rsidRPr="00415E82">
        <w:t>Rettungsdienstgesetz des Landes Sachsen-Anhalt (RettDG LSA)</w:t>
      </w:r>
      <w:r>
        <w:br/>
      </w:r>
      <w:hyperlink r:id="rId106" w:history="1">
        <w:r w:rsidRPr="00896C4A">
          <w:rPr>
            <w:rStyle w:val="Hyperlink"/>
          </w:rPr>
          <w:t>https://www.landesrecht.sachsen-anhalt.de/perma?j=RettDG_ST</w:t>
        </w:r>
      </w:hyperlink>
    </w:p>
    <w:p w14:paraId="70DDFCB6" w14:textId="6DE86AD7" w:rsidR="00F034D6" w:rsidRDefault="00F034D6" w:rsidP="00F034D6">
      <w:pPr>
        <w:pStyle w:val="Listenabsatz"/>
        <w:numPr>
          <w:ilvl w:val="1"/>
          <w:numId w:val="29"/>
        </w:numPr>
        <w:jc w:val="left"/>
      </w:pPr>
      <w:r>
        <w:t xml:space="preserve">§ 47 </w:t>
      </w:r>
      <w:r w:rsidRPr="00415E82">
        <w:t>Datenschutz</w:t>
      </w:r>
      <w:r>
        <w:br/>
      </w:r>
      <w:hyperlink r:id="rId107" w:history="1">
        <w:r w:rsidRPr="00896C4A">
          <w:rPr>
            <w:rStyle w:val="Hyperlink"/>
          </w:rPr>
          <w:t>https://www.landesrecht.sachsen-anhalt.de/bsst/document/jlr-RettDGST2013pP47</w:t>
        </w:r>
      </w:hyperlink>
    </w:p>
    <w:p w14:paraId="0F34C6B5" w14:textId="77777777" w:rsidR="00F034D6" w:rsidRDefault="00F034D6" w:rsidP="00F034D6">
      <w:pPr>
        <w:pStyle w:val="Anhang3"/>
        <w:numPr>
          <w:ilvl w:val="2"/>
          <w:numId w:val="41"/>
        </w:numPr>
        <w:tabs>
          <w:tab w:val="left" w:pos="1701"/>
        </w:tabs>
      </w:pPr>
      <w:bookmarkStart w:id="285" w:name="_Toc169934927"/>
      <w:r w:rsidRPr="005F288F">
        <w:t>Schleswig-Holstein</w:t>
      </w:r>
      <w:bookmarkEnd w:id="285"/>
    </w:p>
    <w:p w14:paraId="76B7D981" w14:textId="28B5B8E5" w:rsidR="00F034D6" w:rsidRDefault="00F034D6" w:rsidP="00F034D6">
      <w:pPr>
        <w:pStyle w:val="Listenabsatz"/>
        <w:numPr>
          <w:ilvl w:val="0"/>
          <w:numId w:val="29"/>
        </w:numPr>
        <w:jc w:val="left"/>
      </w:pPr>
      <w:r w:rsidRPr="00415E82">
        <w:t>Schleswig-Holsteinisches Rettungsdienstgesetz (SHRDG)</w:t>
      </w:r>
      <w:r>
        <w:br/>
      </w:r>
      <w:hyperlink r:id="rId108" w:history="1">
        <w:r w:rsidRPr="00896C4A">
          <w:rPr>
            <w:rStyle w:val="Hyperlink"/>
          </w:rPr>
          <w:t>https://www.gesetze-rechtsprechung.sh.juris.de/perma?j=RettDG_SH</w:t>
        </w:r>
      </w:hyperlink>
    </w:p>
    <w:p w14:paraId="06201C35" w14:textId="1F836E64" w:rsidR="00F034D6" w:rsidRDefault="00F034D6" w:rsidP="00F034D6">
      <w:pPr>
        <w:pStyle w:val="Listenabsatz"/>
        <w:numPr>
          <w:ilvl w:val="1"/>
          <w:numId w:val="29"/>
        </w:numPr>
        <w:jc w:val="left"/>
      </w:pPr>
      <w:r>
        <w:t xml:space="preserve">§ 9 Abs. 3 </w:t>
      </w:r>
      <w:r w:rsidRPr="00415E82">
        <w:t>Weitere Aufgaben, Dokumentation, Datenverarbeitung</w:t>
      </w:r>
      <w:r>
        <w:t xml:space="preserve"> </w:t>
      </w:r>
      <w:r>
        <w:br/>
      </w:r>
      <w:hyperlink r:id="rId109" w:history="1">
        <w:r w:rsidR="00B232BC" w:rsidRPr="00E4326C">
          <w:rPr>
            <w:rStyle w:val="Hyperlink"/>
          </w:rPr>
          <w:t>https://www.gesetze-rechtsprechung.sh.juris.de/bssh/document/jlr-RettDGSH2017V1P9</w:t>
        </w:r>
      </w:hyperlink>
      <w:hyperlink r:id="rId110" w:history="1">
        <w:r w:rsidR="00BF277A" w:rsidRPr="00BF277A">
          <w:rPr>
            <w:rStyle w:val="Hyperlink"/>
          </w:rPr>
          <w:t>https://www.gesetze-rechtsprechung.sh.juris.de/bssh/document/jlr-RettDGSH2017rahmen</w:t>
        </w:r>
      </w:hyperlink>
      <w:r>
        <w:br/>
        <w:t>(Verweis auf § 12 Landesdatenschutzgesetz)</w:t>
      </w:r>
    </w:p>
    <w:p w14:paraId="18E6D7ED" w14:textId="69F1B21E" w:rsidR="00F034D6" w:rsidRPr="005F288F" w:rsidRDefault="00F034D6" w:rsidP="00F034D6">
      <w:pPr>
        <w:pStyle w:val="Listenabsatz"/>
        <w:numPr>
          <w:ilvl w:val="1"/>
          <w:numId w:val="29"/>
        </w:numPr>
        <w:jc w:val="left"/>
      </w:pPr>
      <w:r>
        <w:t xml:space="preserve">§ 12 LDSG: </w:t>
      </w:r>
      <w:r w:rsidRPr="00415E82">
        <w:t>Verarbeitung besonderer Kategorien personenbezogener Daten</w:t>
      </w:r>
      <w:r>
        <w:br/>
      </w:r>
      <w:hyperlink r:id="rId111" w:history="1">
        <w:r w:rsidRPr="00896C4A">
          <w:rPr>
            <w:rStyle w:val="Hyperlink"/>
          </w:rPr>
          <w:t>https://www.gesetze-rechtsprechung.sh.juris.de/bssh/document/jlr-DSGSH2018pP12</w:t>
        </w:r>
      </w:hyperlink>
    </w:p>
    <w:p w14:paraId="6AF65B30" w14:textId="77777777" w:rsidR="00F034D6" w:rsidRDefault="00F034D6" w:rsidP="00F034D6">
      <w:pPr>
        <w:pStyle w:val="Anhang3"/>
        <w:numPr>
          <w:ilvl w:val="2"/>
          <w:numId w:val="41"/>
        </w:numPr>
        <w:tabs>
          <w:tab w:val="left" w:pos="1701"/>
        </w:tabs>
      </w:pPr>
      <w:bookmarkStart w:id="286" w:name="_Toc169934928"/>
      <w:r w:rsidRPr="005F288F">
        <w:t>Thüringen</w:t>
      </w:r>
      <w:bookmarkEnd w:id="286"/>
    </w:p>
    <w:p w14:paraId="08153435" w14:textId="71E2B0C0" w:rsidR="00F034D6" w:rsidRDefault="00F034D6" w:rsidP="00F034D6">
      <w:pPr>
        <w:pStyle w:val="Listenabsatz"/>
        <w:numPr>
          <w:ilvl w:val="0"/>
          <w:numId w:val="29"/>
        </w:numPr>
        <w:jc w:val="left"/>
      </w:pPr>
      <w:r w:rsidRPr="00415E82">
        <w:t>Thüringer Rettungsdienstgesetz (ThürRettG)</w:t>
      </w:r>
      <w:r>
        <w:br/>
      </w:r>
      <w:hyperlink r:id="rId112" w:history="1">
        <w:r w:rsidRPr="00896C4A">
          <w:rPr>
            <w:rStyle w:val="Hyperlink"/>
          </w:rPr>
          <w:t>https://landesrecht.thueringen.de/perma?j=RettDG_TH</w:t>
        </w:r>
      </w:hyperlink>
    </w:p>
    <w:p w14:paraId="30807ACB" w14:textId="41DEB687" w:rsidR="00F034D6" w:rsidRDefault="00F034D6" w:rsidP="00F034D6">
      <w:pPr>
        <w:pStyle w:val="Listenabsatz"/>
        <w:numPr>
          <w:ilvl w:val="1"/>
          <w:numId w:val="29"/>
        </w:numPr>
        <w:jc w:val="left"/>
      </w:pPr>
      <w:r>
        <w:t xml:space="preserve">§ 30 </w:t>
      </w:r>
      <w:r w:rsidRPr="00415E82">
        <w:t>Datenschutz</w:t>
      </w:r>
      <w:r>
        <w:br/>
      </w:r>
      <w:hyperlink r:id="rId113" w:history="1">
        <w:r w:rsidRPr="00896C4A">
          <w:rPr>
            <w:rStyle w:val="Hyperlink"/>
          </w:rPr>
          <w:t>https://landesrecht.thueringen.de/bsth/document/jlr-RettDGTH2008V2P30</w:t>
        </w:r>
      </w:hyperlink>
    </w:p>
    <w:p w14:paraId="281729A9" w14:textId="77777777" w:rsidR="00594B31" w:rsidRPr="00594B31" w:rsidRDefault="00594B31" w:rsidP="00594B31"/>
    <w:sectPr w:rsidR="00594B31" w:rsidRPr="00594B31" w:rsidSect="00FE2688">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A2DA3" w14:textId="77777777" w:rsidR="00044D83" w:rsidRDefault="00044D83">
      <w:pPr>
        <w:spacing w:after="0" w:line="240" w:lineRule="auto"/>
      </w:pPr>
      <w:r>
        <w:separator/>
      </w:r>
    </w:p>
  </w:endnote>
  <w:endnote w:type="continuationSeparator" w:id="0">
    <w:p w14:paraId="056E8547" w14:textId="77777777" w:rsidR="00044D83" w:rsidRDefault="0004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roman"/>
    <w:pitch w:val="default"/>
  </w:font>
  <w:font w:name="Noto Sans Devanagari">
    <w:altName w:val="Nirmala U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Look w:val="04A0" w:firstRow="1" w:lastRow="0" w:firstColumn="1" w:lastColumn="0" w:noHBand="0" w:noVBand="1"/>
    </w:tblPr>
    <w:tblGrid>
      <w:gridCol w:w="9212"/>
    </w:tblGrid>
    <w:tr w:rsidR="00CA188B" w:rsidRPr="00CA188B" w14:paraId="05961D82" w14:textId="77777777" w:rsidTr="00CA188B">
      <w:tc>
        <w:tcPr>
          <w:tcW w:w="9212" w:type="dxa"/>
        </w:tcPr>
        <w:p w14:paraId="5835088E" w14:textId="57ECDA98" w:rsidR="00CA188B" w:rsidRPr="00CA188B" w:rsidRDefault="00CA188B" w:rsidP="00CA188B">
          <w:pPr>
            <w:pStyle w:val="Fuzeile"/>
            <w:jc w:val="center"/>
            <w:rPr>
              <w:sz w:val="18"/>
              <w:szCs w:val="18"/>
            </w:rPr>
          </w:pPr>
          <w:r w:rsidRPr="00CA188B">
            <w:rPr>
              <w:sz w:val="18"/>
              <w:szCs w:val="18"/>
            </w:rPr>
            <w:fldChar w:fldCharType="begin"/>
          </w:r>
          <w:r w:rsidRPr="00CA188B">
            <w:rPr>
              <w:sz w:val="18"/>
              <w:szCs w:val="18"/>
            </w:rPr>
            <w:instrText>PAGE   \* MERGEFORMAT</w:instrText>
          </w:r>
          <w:r w:rsidRPr="00CA188B">
            <w:rPr>
              <w:sz w:val="18"/>
              <w:szCs w:val="18"/>
            </w:rPr>
            <w:fldChar w:fldCharType="separate"/>
          </w:r>
          <w:r w:rsidRPr="00CA188B">
            <w:rPr>
              <w:sz w:val="18"/>
              <w:szCs w:val="18"/>
            </w:rPr>
            <w:t>1</w:t>
          </w:r>
          <w:r w:rsidRPr="00CA188B">
            <w:rPr>
              <w:sz w:val="18"/>
              <w:szCs w:val="18"/>
            </w:rPr>
            <w:fldChar w:fldCharType="end"/>
          </w:r>
        </w:p>
      </w:tc>
    </w:tr>
  </w:tbl>
  <w:p w14:paraId="236B2DC7" w14:textId="77777777" w:rsidR="00CA188B" w:rsidRPr="00CA188B" w:rsidRDefault="00CA188B">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212" w:type="dxa"/>
      <w:tblLayout w:type="fixed"/>
      <w:tblLook w:val="04A0" w:firstRow="1" w:lastRow="0" w:firstColumn="1" w:lastColumn="0" w:noHBand="0" w:noVBand="1"/>
    </w:tblPr>
    <w:tblGrid>
      <w:gridCol w:w="9212"/>
    </w:tblGrid>
    <w:tr w:rsidR="00AE4EA7" w14:paraId="42463F93" w14:textId="77777777">
      <w:tc>
        <w:tcPr>
          <w:tcW w:w="9212" w:type="dxa"/>
          <w:tcBorders>
            <w:left w:val="nil"/>
            <w:bottom w:val="nil"/>
            <w:right w:val="nil"/>
          </w:tcBorders>
        </w:tcPr>
        <w:p w14:paraId="5A0D10B1" w14:textId="13B9C753" w:rsidR="00AE4EA7" w:rsidRDefault="00000000">
          <w:pPr>
            <w:pStyle w:val="Fuzeile"/>
            <w:widowControl w:val="0"/>
            <w:jc w:val="center"/>
            <w:rPr>
              <w:sz w:val="18"/>
              <w:szCs w:val="18"/>
            </w:rPr>
          </w:pPr>
          <w:sdt>
            <w:sdtPr>
              <w:rPr>
                <w:sz w:val="16"/>
                <w:szCs w:val="16"/>
              </w:rPr>
              <w:id w:val="-1426956131"/>
              <w:docPartObj>
                <w:docPartGallery w:val="Page Numbers (Top of Page)"/>
                <w:docPartUnique/>
              </w:docPartObj>
            </w:sdtPr>
            <w:sdtContent>
              <w:r w:rsidR="00CA188B">
                <w:rPr>
                  <w:sz w:val="16"/>
                  <w:szCs w:val="16"/>
                </w:rPr>
                <w:t xml:space="preserve">Seite </w:t>
              </w:r>
              <w:r w:rsidR="00CA188B">
                <w:rPr>
                  <w:b/>
                  <w:sz w:val="16"/>
                  <w:szCs w:val="16"/>
                </w:rPr>
                <w:fldChar w:fldCharType="begin"/>
              </w:r>
              <w:r w:rsidR="00CA188B">
                <w:rPr>
                  <w:b/>
                  <w:sz w:val="16"/>
                  <w:szCs w:val="16"/>
                </w:rPr>
                <w:instrText>PAGE  \* Arabic  \* MERGEFORMAT</w:instrText>
              </w:r>
              <w:r w:rsidR="00CA188B">
                <w:rPr>
                  <w:b/>
                  <w:sz w:val="16"/>
                  <w:szCs w:val="16"/>
                </w:rPr>
                <w:fldChar w:fldCharType="separate"/>
              </w:r>
              <w:r w:rsidR="00CA188B">
                <w:rPr>
                  <w:b/>
                  <w:sz w:val="16"/>
                  <w:szCs w:val="16"/>
                </w:rPr>
                <w:t>9</w:t>
              </w:r>
              <w:r w:rsidR="00CA188B">
                <w:rPr>
                  <w:b/>
                  <w:sz w:val="16"/>
                  <w:szCs w:val="16"/>
                </w:rPr>
                <w:fldChar w:fldCharType="end"/>
              </w:r>
              <w:r w:rsidR="00CA188B">
                <w:rPr>
                  <w:sz w:val="16"/>
                  <w:szCs w:val="16"/>
                </w:rPr>
                <w:t xml:space="preserve"> von</w:t>
              </w:r>
              <w:r w:rsidR="00CA188B">
                <w:rPr>
                  <w:sz w:val="18"/>
                  <w:szCs w:val="18"/>
                </w:rPr>
                <w:t xml:space="preserve"> </w:t>
              </w:r>
              <w:r w:rsidR="00CA188B">
                <w:rPr>
                  <w:sz w:val="18"/>
                  <w:szCs w:val="18"/>
                </w:rPr>
                <w:fldChar w:fldCharType="begin"/>
              </w:r>
              <w:r w:rsidR="00CA188B">
                <w:rPr>
                  <w:sz w:val="18"/>
                  <w:szCs w:val="18"/>
                </w:rPr>
                <w:instrText xml:space="preserve"> =</w:instrText>
              </w:r>
              <w:r w:rsidR="00CA188B">
                <w:rPr>
                  <w:b/>
                  <w:sz w:val="18"/>
                  <w:szCs w:val="18"/>
                </w:rPr>
                <w:fldChar w:fldCharType="begin"/>
              </w:r>
              <w:r w:rsidR="00CA188B">
                <w:rPr>
                  <w:b/>
                  <w:sz w:val="18"/>
                  <w:szCs w:val="18"/>
                </w:rPr>
                <w:instrText>NUMPAGES  \* Arabic  \* MERGEFORMAT</w:instrText>
              </w:r>
              <w:r w:rsidR="00CA188B">
                <w:rPr>
                  <w:b/>
                  <w:sz w:val="18"/>
                  <w:szCs w:val="18"/>
                </w:rPr>
                <w:fldChar w:fldCharType="separate"/>
              </w:r>
              <w:r w:rsidR="00F135C3">
                <w:rPr>
                  <w:b/>
                  <w:noProof/>
                  <w:sz w:val="18"/>
                  <w:szCs w:val="18"/>
                </w:rPr>
                <w:instrText>93</w:instrText>
              </w:r>
              <w:r w:rsidR="00CA188B">
                <w:rPr>
                  <w:b/>
                  <w:sz w:val="18"/>
                  <w:szCs w:val="18"/>
                </w:rPr>
                <w:fldChar w:fldCharType="end"/>
              </w:r>
              <w:r w:rsidR="00CA188B">
                <w:rPr>
                  <w:sz w:val="18"/>
                  <w:szCs w:val="18"/>
                </w:rPr>
                <w:instrText>-</w:instrText>
              </w:r>
              <w:r w:rsidR="003B642E">
                <w:rPr>
                  <w:sz w:val="18"/>
                  <w:szCs w:val="18"/>
                </w:rPr>
                <w:instrText>7</w:instrText>
              </w:r>
              <w:r w:rsidR="00CA188B">
                <w:rPr>
                  <w:sz w:val="18"/>
                  <w:szCs w:val="18"/>
                </w:rPr>
                <w:fldChar w:fldCharType="separate"/>
              </w:r>
              <w:r w:rsidR="00F135C3">
                <w:rPr>
                  <w:noProof/>
                  <w:sz w:val="18"/>
                  <w:szCs w:val="18"/>
                </w:rPr>
                <w:t>86</w:t>
              </w:r>
              <w:r w:rsidR="00CA188B">
                <w:rPr>
                  <w:sz w:val="18"/>
                  <w:szCs w:val="18"/>
                </w:rPr>
                <w:fldChar w:fldCharType="end"/>
              </w:r>
            </w:sdtContent>
          </w:sdt>
        </w:p>
      </w:tc>
    </w:tr>
  </w:tbl>
  <w:p w14:paraId="1C01CC1D" w14:textId="77777777" w:rsidR="00AE4EA7" w:rsidRDefault="00AE4E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E6FA6" w14:textId="77777777" w:rsidR="00044D83" w:rsidRDefault="00044D83">
      <w:pPr>
        <w:rPr>
          <w:sz w:val="12"/>
        </w:rPr>
      </w:pPr>
      <w:r>
        <w:separator/>
      </w:r>
    </w:p>
  </w:footnote>
  <w:footnote w:type="continuationSeparator" w:id="0">
    <w:p w14:paraId="6E47524A" w14:textId="77777777" w:rsidR="00044D83" w:rsidRDefault="00044D83">
      <w:pPr>
        <w:rPr>
          <w:sz w:val="12"/>
        </w:rPr>
      </w:pPr>
      <w:r>
        <w:continuationSeparator/>
      </w:r>
    </w:p>
  </w:footnote>
  <w:footnote w:id="1">
    <w:p w14:paraId="00B139B0" w14:textId="77777777" w:rsidR="00687085" w:rsidRDefault="00687085" w:rsidP="00687085">
      <w:pPr>
        <w:pStyle w:val="Funotentext"/>
      </w:pPr>
      <w:r>
        <w:rPr>
          <w:rStyle w:val="Funotenzeichen"/>
        </w:rPr>
        <w:footnoteRef/>
      </w:r>
      <w:r>
        <w:t xml:space="preserve"> Siehe insbesondere BVerfG, Urteil des </w:t>
      </w:r>
      <w:r w:rsidRPr="005F5895">
        <w:t>Ersten</w:t>
      </w:r>
      <w:r>
        <w:t xml:space="preserve"> Senats vom 15. Dezember 1983, Az. 1 </w:t>
      </w:r>
      <w:r w:rsidRPr="005F5895">
        <w:t>BvR</w:t>
      </w:r>
      <w:r>
        <w:t xml:space="preserve"> 209/83. </w:t>
      </w:r>
      <w:r w:rsidRPr="006F562E">
        <w:t xml:space="preserve">Online, zitiert am </w:t>
      </w:r>
      <w:r>
        <w:t>2024-01-15</w:t>
      </w:r>
      <w:r w:rsidRPr="006F562E">
        <w:t>; verfügbar u</w:t>
      </w:r>
      <w:r>
        <w:t xml:space="preserve">nter </w:t>
      </w:r>
      <w:hyperlink r:id="rId1" w:history="1">
        <w:r>
          <w:rPr>
            <w:rStyle w:val="Hyperlink"/>
          </w:rPr>
          <w:t>https://www.bundesverfassungsgericht.de/SharedDocs/ Entscheidungen/DE/1983/12/</w:t>
        </w:r>
        <w:r w:rsidRPr="005F5895">
          <w:rPr>
            <w:rStyle w:val="Hyperlink"/>
          </w:rPr>
          <w:t>rs19831215_1bvr020983.html</w:t>
        </w:r>
      </w:hyperlink>
    </w:p>
  </w:footnote>
  <w:footnote w:id="2">
    <w:p w14:paraId="29FEBDED" w14:textId="77777777" w:rsidR="00687085" w:rsidRDefault="00687085" w:rsidP="00687085">
      <w:pPr>
        <w:pStyle w:val="Funotentext"/>
      </w:pPr>
      <w:r>
        <w:rPr>
          <w:rStyle w:val="Funotenzeichen"/>
        </w:rPr>
        <w:footnoteRef/>
      </w:r>
      <w:r>
        <w:t xml:space="preserve"> </w:t>
      </w:r>
      <w:r w:rsidRPr="00463704">
        <w:t>EuGH,</w:t>
      </w:r>
      <w:r>
        <w:t xml:space="preserve"> Urt. v. 2023-12-</w:t>
      </w:r>
      <w:r w:rsidRPr="00463704">
        <w:t>21</w:t>
      </w:r>
      <w:r>
        <w:t>, Rechtssache </w:t>
      </w:r>
      <w:r w:rsidRPr="00463704">
        <w:t>C-667/21</w:t>
      </w:r>
      <w:r>
        <w:t xml:space="preserve">, Rn. 79. </w:t>
      </w:r>
      <w:r w:rsidRPr="006F562E">
        <w:t xml:space="preserve">Online, zitiert am </w:t>
      </w:r>
      <w:r>
        <w:t>2024-01-15</w:t>
      </w:r>
      <w:r w:rsidRPr="006F562E">
        <w:t>; verfügbar u</w:t>
      </w:r>
      <w:r>
        <w:t xml:space="preserve">nter </w:t>
      </w:r>
      <w:hyperlink r:id="rId2" w:history="1">
        <w:r w:rsidRPr="005F5895">
          <w:rPr>
            <w:rStyle w:val="Hyperlink"/>
          </w:rPr>
          <w:t>https://eur-lex.europa.eu/legal-content/de/TXT/?uri=CELEX:62021CJ0667</w:t>
        </w:r>
      </w:hyperlink>
    </w:p>
  </w:footnote>
  <w:footnote w:id="3">
    <w:p w14:paraId="13C7E720" w14:textId="77777777" w:rsidR="00687085" w:rsidRDefault="00687085" w:rsidP="00687085">
      <w:pPr>
        <w:pStyle w:val="Funotentext"/>
      </w:pPr>
      <w:r>
        <w:rPr>
          <w:rStyle w:val="Funotenzeichen"/>
        </w:rPr>
        <w:footnoteRef/>
      </w:r>
      <w:r>
        <w:t xml:space="preserve"> EuGH, </w:t>
      </w:r>
      <w:r w:rsidRPr="008444FB">
        <w:t>Urt</w:t>
      </w:r>
      <w:r>
        <w:t>. </w:t>
      </w:r>
      <w:r w:rsidRPr="008444FB">
        <w:t>v.</w:t>
      </w:r>
      <w:r>
        <w:t> 2022-08-0</w:t>
      </w:r>
      <w:r w:rsidRPr="002846F8">
        <w:t>1</w:t>
      </w:r>
      <w:r>
        <w:t>, Rechtssache </w:t>
      </w:r>
      <w:r w:rsidRPr="002846F8">
        <w:t>C-92/09, C-93/09</w:t>
      </w:r>
      <w:r>
        <w:t xml:space="preserve">, Rn. 119, 120, 125. Online, zitiert am 2024-01-15; verfügbar unter </w:t>
      </w:r>
      <w:hyperlink r:id="rId3" w:history="1">
        <w:r w:rsidRPr="00F35CC1">
          <w:rPr>
            <w:rStyle w:val="Hyperlink"/>
          </w:rPr>
          <w:t>https://dejure.org/2010</w:t>
        </w:r>
        <w:r w:rsidRPr="005F5895">
          <w:rPr>
            <w:rStyle w:val="Hyperlink"/>
          </w:rPr>
          <w:t>,236</w:t>
        </w:r>
      </w:hyperlink>
      <w:r>
        <w:t xml:space="preserve"> bzw. Volltext abrufbar unter </w:t>
      </w:r>
      <w:hyperlink r:id="rId4" w:history="1">
        <w:r w:rsidRPr="005F5895">
          <w:rPr>
            <w:rStyle w:val="Hyperlink"/>
          </w:rPr>
          <w:t>https://eur-lex.europa.eu/legal-content/DE/TXT/?qid=1698904362512&amp;uri=CELEX%3A62020CJ0184</w:t>
        </w:r>
      </w:hyperlink>
    </w:p>
  </w:footnote>
  <w:footnote w:id="4">
    <w:p w14:paraId="76FA6D19" w14:textId="53B626DA" w:rsidR="00687085" w:rsidRDefault="00687085" w:rsidP="00687085">
      <w:pPr>
        <w:pStyle w:val="Funotentext"/>
      </w:pPr>
      <w:r>
        <w:rPr>
          <w:rStyle w:val="Funotenzeichen"/>
        </w:rPr>
        <w:footnoteRef/>
      </w:r>
      <w:r>
        <w:t xml:space="preserve"> </w:t>
      </w:r>
      <w:r w:rsidRPr="00CD1BC8">
        <w:t>EuGH</w:t>
      </w:r>
      <w:r>
        <w:t>, Urt. v. 2023-07-04, Rechtssache </w:t>
      </w:r>
      <w:r w:rsidRPr="00463704">
        <w:t>C</w:t>
      </w:r>
      <w:r w:rsidRPr="00463704">
        <w:rPr>
          <w:rFonts w:ascii="Cambria Math" w:hAnsi="Cambria Math" w:cs="Cambria Math"/>
        </w:rPr>
        <w:t>‑</w:t>
      </w:r>
      <w:r w:rsidRPr="00463704">
        <w:t>252/21</w:t>
      </w:r>
      <w:r>
        <w:t xml:space="preserve">, Rn. 89 sowie Leitsatz 2. Online, zitiert am 2024-01-15; verfügbar unter </w:t>
      </w:r>
      <w:hyperlink r:id="rId5" w:history="1">
        <w:r w:rsidRPr="005F5895">
          <w:rPr>
            <w:rStyle w:val="Hyperlink"/>
          </w:rPr>
          <w:t>https://eur-lex.europa.eu/legal-content/de/TXT/?uri=CELEX:62021CJ0252</w:t>
        </w:r>
      </w:hyperlink>
    </w:p>
  </w:footnote>
  <w:footnote w:id="5">
    <w:p w14:paraId="1B941E43" w14:textId="77777777" w:rsidR="00687085" w:rsidRDefault="00687085" w:rsidP="00687085">
      <w:pPr>
        <w:pStyle w:val="Funotentext"/>
      </w:pPr>
      <w:r>
        <w:rPr>
          <w:rStyle w:val="Funotenzeichen"/>
        </w:rPr>
        <w:footnoteRef/>
      </w:r>
      <w:r>
        <w:t xml:space="preserve"> Z. B. GMDS, GDD (2021): </w:t>
      </w:r>
      <w:r w:rsidRPr="005F5895">
        <w:t>Die</w:t>
      </w:r>
      <w:r w:rsidRPr="00F61E50">
        <w:t xml:space="preserve"> datenschutzrechtliche Einwilligung: Freund (nicht nur) des Forschers</w:t>
      </w:r>
      <w:r>
        <w:t xml:space="preserve">. </w:t>
      </w:r>
      <w:r w:rsidRPr="006F562E">
        <w:t>Online, zitiert am 202</w:t>
      </w:r>
      <w:r>
        <w:t>4</w:t>
      </w:r>
      <w:r w:rsidRPr="006F562E">
        <w:t>-</w:t>
      </w:r>
      <w:r>
        <w:t>01</w:t>
      </w:r>
      <w:r w:rsidRPr="006F562E">
        <w:t>-</w:t>
      </w:r>
      <w:r>
        <w:t>15</w:t>
      </w:r>
      <w:r w:rsidRPr="006F562E">
        <w:t>; verfügbar unter</w:t>
      </w:r>
      <w:r>
        <w:t xml:space="preserve"> </w:t>
      </w:r>
      <w:hyperlink r:id="rId6" w:history="1">
        <w:r w:rsidRPr="00AE689E">
          <w:rPr>
            <w:rStyle w:val="Hyperlink"/>
          </w:rPr>
          <w:t>https://gesundheitsdatenschutz.org/html/einwilligung</w:t>
        </w:r>
        <w:r w:rsidRPr="005F5895">
          <w:rPr>
            <w:rStyle w:val="Hyperlink"/>
          </w:rPr>
          <w:t>.php</w:t>
        </w:r>
      </w:hyperlink>
    </w:p>
  </w:footnote>
  <w:footnote w:id="6">
    <w:p w14:paraId="1C59A158" w14:textId="77777777" w:rsidR="00687085" w:rsidRDefault="00687085" w:rsidP="00687085">
      <w:pPr>
        <w:pStyle w:val="Funotentext"/>
      </w:pPr>
      <w:r>
        <w:rPr>
          <w:rStyle w:val="Funotenzeichen"/>
        </w:rPr>
        <w:footnoteRef/>
      </w:r>
      <w:r>
        <w:t xml:space="preserve"> EuGH Urt. v. 2021-01-18, Rechtssache </w:t>
      </w:r>
      <w:r w:rsidRPr="00463704">
        <w:t>C-61/19</w:t>
      </w:r>
      <w:r>
        <w:t>, zu finden im Tenor</w:t>
      </w:r>
      <w:bookmarkStart w:id="80" w:name="_Hlk154302182"/>
      <w:r>
        <w:t xml:space="preserve"> </w:t>
      </w:r>
      <w:r w:rsidRPr="00CD1BC8">
        <w:t>des Urteil</w:t>
      </w:r>
      <w:r w:rsidRPr="00EF24CE">
        <w:t>s</w:t>
      </w:r>
      <w:r>
        <w:t xml:space="preserve">. </w:t>
      </w:r>
      <w:bookmarkEnd w:id="80"/>
      <w:r w:rsidRPr="006F562E">
        <w:t>Online, zitiert am 202</w:t>
      </w:r>
      <w:r>
        <w:t>4</w:t>
      </w:r>
      <w:r w:rsidRPr="006F562E">
        <w:t>-</w:t>
      </w:r>
      <w:r>
        <w:t>01</w:t>
      </w:r>
      <w:r w:rsidRPr="006F562E">
        <w:t>-</w:t>
      </w:r>
      <w:r>
        <w:t>15</w:t>
      </w:r>
      <w:r w:rsidRPr="006F562E">
        <w:t>; verfügbar unter</w:t>
      </w:r>
      <w:r>
        <w:t xml:space="preserve"> </w:t>
      </w:r>
      <w:hyperlink r:id="rId7" w:history="1">
        <w:r w:rsidRPr="005F5895">
          <w:rPr>
            <w:rStyle w:val="Hyperlink"/>
          </w:rPr>
          <w:t>https://eur-lex.europa.eu/legal-content/DE/TXT/?uri=CELEX%3A62019CA0061&amp;qid=1703360472835</w:t>
        </w:r>
      </w:hyperlink>
    </w:p>
  </w:footnote>
  <w:footnote w:id="7">
    <w:p w14:paraId="358F7EDE" w14:textId="46E3FAEE" w:rsidR="00687085" w:rsidRDefault="00687085" w:rsidP="00687085">
      <w:pPr>
        <w:pStyle w:val="Funotentext"/>
      </w:pPr>
      <w:r>
        <w:rPr>
          <w:rStyle w:val="Funotenzeichen"/>
        </w:rPr>
        <w:footnoteRef/>
      </w:r>
      <w:r>
        <w:t xml:space="preserve"> Zu beachten: Der BGH erklärte mit seiner Postbank-Entscheidung Zustimmungsfiktionsklauseln in den AGB der Kreditinstitute für missbräuchlich, dies sollte im Kontext der Einwilligung ebenfalls beachtet werden, wenngleich es im Urteil nicht um eine Einwilligung i. S. d. DS-GVO ging, sondern um </w:t>
      </w:r>
      <w:r w:rsidR="005F5895">
        <w:t>Art. </w:t>
      </w:r>
      <w:r w:rsidRPr="00B9407A">
        <w:t xml:space="preserve">54 </w:t>
      </w:r>
      <w:r w:rsidR="005F5895">
        <w:t>Abs. </w:t>
      </w:r>
      <w:r>
        <w:t xml:space="preserve">1 i. V. m. </w:t>
      </w:r>
      <w:r w:rsidR="005F5895">
        <w:t>Art. </w:t>
      </w:r>
      <w:r w:rsidRPr="00B9407A">
        <w:t xml:space="preserve">52 </w:t>
      </w:r>
      <w:r w:rsidR="005F5895">
        <w:t>Nr. </w:t>
      </w:r>
      <w:r w:rsidRPr="00B9407A">
        <w:t xml:space="preserve">6 </w:t>
      </w:r>
      <w:r w:rsidR="005F5895">
        <w:t>Buchst. </w:t>
      </w:r>
      <w:r w:rsidRPr="00B9407A">
        <w:t>a Richtlinie (EU) 2015/2366</w:t>
      </w:r>
      <w:r>
        <w:t xml:space="preserve">. </w:t>
      </w:r>
      <w:r w:rsidRPr="00B9407A">
        <w:t xml:space="preserve">BGH, </w:t>
      </w:r>
      <w:r>
        <w:t>Urt. v. 2021-04-</w:t>
      </w:r>
      <w:r w:rsidRPr="00B9407A">
        <w:t>27</w:t>
      </w:r>
      <w:r>
        <w:t>, Az. </w:t>
      </w:r>
      <w:r w:rsidRPr="00B9407A">
        <w:t xml:space="preserve"> XI </w:t>
      </w:r>
      <w:r w:rsidRPr="005F5895">
        <w:t>ZR</w:t>
      </w:r>
      <w:r w:rsidRPr="00B9407A">
        <w:t xml:space="preserve"> 26/20</w:t>
      </w:r>
      <w:r>
        <w:t xml:space="preserve">. </w:t>
      </w:r>
      <w:r w:rsidRPr="006F562E">
        <w:t>Online, zitiert am 202</w:t>
      </w:r>
      <w:r>
        <w:t>4</w:t>
      </w:r>
      <w:r w:rsidRPr="006F562E">
        <w:t>-</w:t>
      </w:r>
      <w:r>
        <w:t>01</w:t>
      </w:r>
      <w:r w:rsidRPr="006F562E">
        <w:t>-</w:t>
      </w:r>
      <w:r>
        <w:t>15</w:t>
      </w:r>
      <w:r w:rsidRPr="006F562E">
        <w:t>;</w:t>
      </w:r>
      <w:r w:rsidRPr="00B9407A">
        <w:t xml:space="preserve"> </w:t>
      </w:r>
      <w:r w:rsidRPr="006F562E">
        <w:t>verfügbar unter</w:t>
      </w:r>
      <w:r>
        <w:t xml:space="preserve"> </w:t>
      </w:r>
      <w:hyperlink r:id="rId8" w:history="1">
        <w:r w:rsidRPr="00AE689E">
          <w:rPr>
            <w:rStyle w:val="Hyperlink"/>
          </w:rPr>
          <w:t>https://dejure.org/2021</w:t>
        </w:r>
        <w:r w:rsidRPr="005F5895">
          <w:rPr>
            <w:rStyle w:val="Hyperlink"/>
          </w:rPr>
          <w:t>,10415</w:t>
        </w:r>
      </w:hyperlink>
      <w:r>
        <w:rPr>
          <w:rStyle w:val="copytoclipboard"/>
        </w:rPr>
        <w:t xml:space="preserve"> bzw. Volltext Urteil unter </w:t>
      </w:r>
      <w:hyperlink r:id="rId9" w:history="1">
        <w:r w:rsidRPr="005F5895">
          <w:rPr>
            <w:rStyle w:val="Hyperlink"/>
          </w:rPr>
          <w:t>https://juris.bundesgerichtshof.de/cgi-bin/rechtsprechung/document.py?Gericht=bgh&amp;Art=en&amp;nr=118834&amp;pos=0&amp;anz=1</w:t>
        </w:r>
      </w:hyperlink>
    </w:p>
  </w:footnote>
  <w:footnote w:id="8">
    <w:p w14:paraId="5D02D294" w14:textId="15272AE2" w:rsidR="00687085" w:rsidRDefault="00687085" w:rsidP="00687085">
      <w:pPr>
        <w:pStyle w:val="Funotentext"/>
      </w:pPr>
      <w:r>
        <w:rPr>
          <w:rStyle w:val="Funotenzeichen"/>
        </w:rPr>
        <w:footnoteRef/>
      </w:r>
      <w:r>
        <w:t xml:space="preserve"> </w:t>
      </w:r>
      <w:r w:rsidRPr="00AB6ECD">
        <w:t xml:space="preserve">EuGH, </w:t>
      </w:r>
      <w:r>
        <w:t>Urt. v. 2023-07-</w:t>
      </w:r>
      <w:r w:rsidRPr="00AB6ECD">
        <w:t>04</w:t>
      </w:r>
      <w:r>
        <w:t xml:space="preserve">, </w:t>
      </w:r>
      <w:r w:rsidR="00C374BF">
        <w:t>Rechtssache</w:t>
      </w:r>
      <w:r>
        <w:t> </w:t>
      </w:r>
      <w:r w:rsidRPr="00AB6ECD">
        <w:t>C-252/21</w:t>
      </w:r>
      <w:r>
        <w:t xml:space="preserve">. Rn. 150. </w:t>
      </w:r>
      <w:r w:rsidR="0061796E">
        <w:t>Online, zitiert am 2024-03-22; verfügbar unter</w:t>
      </w:r>
      <w:r>
        <w:t xml:space="preserve"> </w:t>
      </w:r>
      <w:hyperlink r:id="rId10" w:history="1">
        <w:r w:rsidRPr="005F5895">
          <w:rPr>
            <w:rStyle w:val="Hyperlink"/>
          </w:rPr>
          <w:t>https://eur-lex.europa.eu/legal-content/de/TXT/?uri=CELEX:62021CJ0252</w:t>
        </w:r>
      </w:hyperlink>
    </w:p>
  </w:footnote>
  <w:footnote w:id="9">
    <w:p w14:paraId="081D4083" w14:textId="59B7F07F" w:rsidR="00E458DB" w:rsidRDefault="00E458DB">
      <w:pPr>
        <w:pStyle w:val="Funotentext"/>
      </w:pPr>
      <w:r>
        <w:rPr>
          <w:rStyle w:val="Funotenzeichen"/>
        </w:rPr>
        <w:footnoteRef/>
      </w:r>
      <w:r>
        <w:t xml:space="preserve"> Eine Abrechnungsgesellschaft kann im Rahmen einer Auftragsverarbeitung vom Krankenhaus eingesetzt werden. In diesem Fall zählt die Abrechnungsgesellschaft als interne Stelle des Verantwortlichen, eine Einwilligung zur Abrechnung durch die Abrechnungsgesellschaft ist dann nicht nötig. Zu beachten ist hierbei, dass die gesamte Abrechnung in diesen Fälle</w:t>
      </w:r>
      <w:r w:rsidR="00E616DE">
        <w:t>n</w:t>
      </w:r>
      <w:r>
        <w:t xml:space="preserve"> immer auch im Namen des jeweiligen Krankenhauses erfolgen muss, nie die Abrechnungsgesellschaft selbst Forderungen stellen darf.</w:t>
      </w:r>
    </w:p>
  </w:footnote>
  <w:footnote w:id="10">
    <w:p w14:paraId="50555FFD" w14:textId="7F4557EF" w:rsidR="00687085" w:rsidRDefault="00687085" w:rsidP="00687085">
      <w:pPr>
        <w:pStyle w:val="Funotentext"/>
      </w:pPr>
      <w:r>
        <w:rPr>
          <w:rStyle w:val="Funotenzeichen"/>
        </w:rPr>
        <w:footnoteRef/>
      </w:r>
      <w:r>
        <w:t xml:space="preserve"> </w:t>
      </w:r>
      <w:r w:rsidRPr="004D1A18">
        <w:t>Albers</w:t>
      </w:r>
      <w:r>
        <w:t xml:space="preserve"> M, </w:t>
      </w:r>
      <w:r w:rsidRPr="004D1A18">
        <w:t>Veit</w:t>
      </w:r>
      <w:r>
        <w:t xml:space="preserve"> RD.: </w:t>
      </w:r>
      <w:r w:rsidR="005F5895">
        <w:t>Art. </w:t>
      </w:r>
      <w:r>
        <w:t xml:space="preserve">6 DS-GVO, Rn. 44. In: </w:t>
      </w:r>
      <w:r w:rsidRPr="004D1A18">
        <w:t>Wolff/Brink/v. Ungern-Sternberg</w:t>
      </w:r>
      <w:r>
        <w:t xml:space="preserve"> (Hrsg.) </w:t>
      </w:r>
      <w:r w:rsidRPr="005F5895">
        <w:t>BeckOK</w:t>
      </w:r>
      <w:r w:rsidRPr="004D1A18">
        <w:t xml:space="preserve"> Datenschutzrecht</w:t>
      </w:r>
      <w:r>
        <w:t>. 46. Edition, Stand: 01.08.2023</w:t>
      </w:r>
    </w:p>
  </w:footnote>
  <w:footnote w:id="11">
    <w:p w14:paraId="76506026" w14:textId="77777777" w:rsidR="00687085" w:rsidRDefault="00687085" w:rsidP="00687085">
      <w:pPr>
        <w:pStyle w:val="Funotentext"/>
      </w:pPr>
      <w:r>
        <w:rPr>
          <w:rStyle w:val="Funotenzeichen"/>
        </w:rPr>
        <w:footnoteRef/>
      </w:r>
      <w:r>
        <w:t xml:space="preserve"> So z. B.:</w:t>
      </w:r>
    </w:p>
    <w:p w14:paraId="04857996" w14:textId="42177EBE" w:rsidR="00687085" w:rsidRDefault="00687085" w:rsidP="00687085">
      <w:pPr>
        <w:pStyle w:val="Funotentext"/>
        <w:numPr>
          <w:ilvl w:val="0"/>
          <w:numId w:val="10"/>
        </w:numPr>
      </w:pPr>
      <w:r>
        <w:t xml:space="preserve">Buchner B, Petri T.: </w:t>
      </w:r>
      <w:r w:rsidR="005F5895">
        <w:t>Art. </w:t>
      </w:r>
      <w:r>
        <w:t xml:space="preserve">6, Rn. 77. In: </w:t>
      </w:r>
      <w:r w:rsidRPr="005F5895">
        <w:t>Kühling</w:t>
      </w:r>
      <w:r>
        <w:t xml:space="preserve"> / Buchner (Hrsg.) Datenschutz-Grundverordnung, Bundesdatenschutzgesetz: DS-GVO / BDSG. C. H. Beck, 3. Auflage 2020. ISBN: </w:t>
      </w:r>
      <w:r w:rsidRPr="000144B7">
        <w:t>978-3-406-74994-0</w:t>
      </w:r>
    </w:p>
    <w:p w14:paraId="0F9612A3" w14:textId="5861D8A4" w:rsidR="00687085" w:rsidRDefault="00687085" w:rsidP="00687085">
      <w:pPr>
        <w:pStyle w:val="Funotentext"/>
        <w:numPr>
          <w:ilvl w:val="0"/>
          <w:numId w:val="10"/>
        </w:numPr>
      </w:pPr>
      <w:r>
        <w:t xml:space="preserve">Kremer P.: </w:t>
      </w:r>
      <w:r w:rsidR="005F5895">
        <w:t>Art. </w:t>
      </w:r>
      <w:r>
        <w:t xml:space="preserve">6. Rn. 53. In: </w:t>
      </w:r>
      <w:r w:rsidRPr="005F5895">
        <w:t>Eßer</w:t>
      </w:r>
      <w:r w:rsidRPr="000144B7">
        <w:t xml:space="preserve"> / Kramer / von Lewinski (Hrsg.)</w:t>
      </w:r>
      <w:r>
        <w:t xml:space="preserve"> </w:t>
      </w:r>
      <w:r w:rsidRPr="000144B7">
        <w:t>DSGVO / BDSG: Datenschutz-Grundverordnung, Bundesdatenschutzgesetz und Nebengesetze</w:t>
      </w:r>
      <w:r>
        <w:t xml:space="preserve"> </w:t>
      </w:r>
      <w:r w:rsidRPr="000144B7">
        <w:t>(</w:t>
      </w:r>
      <w:r w:rsidRPr="005F5895">
        <w:t>Auernhammer</w:t>
      </w:r>
      <w:r w:rsidRPr="000144B7">
        <w:t>)</w:t>
      </w:r>
      <w:r>
        <w:t xml:space="preserve">. Wolters </w:t>
      </w:r>
      <w:r w:rsidRPr="005F5895">
        <w:t>Kluwer</w:t>
      </w:r>
      <w:r>
        <w:t>, 7. Auflage 2020. ISBN 978-3-452-295-26-2</w:t>
      </w:r>
    </w:p>
    <w:p w14:paraId="0B55B1F6" w14:textId="4E4AF5C2" w:rsidR="00687085" w:rsidRDefault="00687085" w:rsidP="00687085">
      <w:pPr>
        <w:pStyle w:val="Funotentext"/>
        <w:numPr>
          <w:ilvl w:val="0"/>
          <w:numId w:val="10"/>
        </w:numPr>
      </w:pPr>
      <w:r w:rsidRPr="005F5895">
        <w:t>Roßnagel</w:t>
      </w:r>
      <w:r>
        <w:t xml:space="preserve"> A.: </w:t>
      </w:r>
      <w:r w:rsidR="005F5895">
        <w:t>Art. </w:t>
      </w:r>
      <w:r>
        <w:t xml:space="preserve">6, Rn. 57. In: </w:t>
      </w:r>
      <w:r w:rsidRPr="000144B7">
        <w:t xml:space="preserve">Simitis / Hornung / Spiecker gen. </w:t>
      </w:r>
      <w:r w:rsidRPr="005F5895">
        <w:t>Döhmann</w:t>
      </w:r>
      <w:r>
        <w:t xml:space="preserve"> (Hrsg.) </w:t>
      </w:r>
      <w:r w:rsidRPr="000144B7">
        <w:t>Datenschutzrecht</w:t>
      </w:r>
      <w:r>
        <w:t>. Nomos, 1. Auflage 2019. ISBN 978-3-8487-3590-7</w:t>
      </w:r>
    </w:p>
  </w:footnote>
  <w:footnote w:id="12">
    <w:p w14:paraId="7198ED6D" w14:textId="77777777" w:rsidR="00687085" w:rsidRDefault="00687085" w:rsidP="00687085">
      <w:pPr>
        <w:pStyle w:val="Funotentext"/>
      </w:pPr>
      <w:r>
        <w:rPr>
          <w:rStyle w:val="Funotenzeichen"/>
        </w:rPr>
        <w:footnoteRef/>
      </w:r>
      <w:r>
        <w:t xml:space="preserve"> EuGH, Urt. v-2023-07-04, Rechtssache </w:t>
      </w:r>
      <w:r w:rsidRPr="00463704">
        <w:t>C</w:t>
      </w:r>
      <w:r w:rsidRPr="00463704">
        <w:rPr>
          <w:rFonts w:ascii="Cambria Math" w:hAnsi="Cambria Math" w:cs="Cambria Math"/>
        </w:rPr>
        <w:t>‑</w:t>
      </w:r>
      <w:r w:rsidRPr="00463704">
        <w:t>252/21</w:t>
      </w:r>
      <w:r>
        <w:t xml:space="preserve">, Rn. 93. </w:t>
      </w:r>
      <w:r w:rsidRPr="006F562E">
        <w:t xml:space="preserve">Online, zitiert am </w:t>
      </w:r>
      <w:r>
        <w:t>2024-01-15</w:t>
      </w:r>
      <w:r w:rsidRPr="006F562E">
        <w:t>; verfügbar unter</w:t>
      </w:r>
      <w:r>
        <w:t xml:space="preserve"> </w:t>
      </w:r>
      <w:hyperlink r:id="rId11" w:history="1">
        <w:r w:rsidRPr="005F5895">
          <w:rPr>
            <w:rStyle w:val="Hyperlink"/>
          </w:rPr>
          <w:t>https://eur-lex.europa.eu/legal-content/de/TXT/?uri=CELEX:62021CJ0252</w:t>
        </w:r>
      </w:hyperlink>
    </w:p>
  </w:footnote>
  <w:footnote w:id="13">
    <w:p w14:paraId="12D95E3E" w14:textId="4FD18EAC" w:rsidR="00687085" w:rsidRDefault="00687085" w:rsidP="00687085">
      <w:pPr>
        <w:pStyle w:val="Funotentext"/>
      </w:pPr>
      <w:r>
        <w:rPr>
          <w:rStyle w:val="Funotenzeichen"/>
        </w:rPr>
        <w:footnoteRef/>
      </w:r>
      <w:r>
        <w:t xml:space="preserve"> </w:t>
      </w:r>
      <w:r w:rsidRPr="007E53F6">
        <w:t>Heberlein</w:t>
      </w:r>
      <w:r>
        <w:t xml:space="preserve"> H.: </w:t>
      </w:r>
      <w:r w:rsidR="005F5895">
        <w:t>Art. </w:t>
      </w:r>
      <w:r>
        <w:t xml:space="preserve">6, Rn. 21. In: </w:t>
      </w:r>
      <w:r w:rsidRPr="005F5895">
        <w:t>Ehmann</w:t>
      </w:r>
      <w:r w:rsidRPr="007E53F6">
        <w:t>/</w:t>
      </w:r>
      <w:r w:rsidRPr="005F5895">
        <w:t>Selmayr</w:t>
      </w:r>
      <w:r>
        <w:t xml:space="preserve"> (Hrsg.)</w:t>
      </w:r>
      <w:r w:rsidRPr="007E53F6">
        <w:t xml:space="preserve"> Datenschutz-Grundverordnung</w:t>
      </w:r>
      <w:r>
        <w:t xml:space="preserve">. C. H. Beck Verlag, </w:t>
      </w:r>
      <w:r w:rsidRPr="007E53F6">
        <w:t>2. Auflage</w:t>
      </w:r>
      <w:r>
        <w:t>,</w:t>
      </w:r>
      <w:r w:rsidRPr="007E53F6">
        <w:t xml:space="preserve"> 2018</w:t>
      </w:r>
      <w:r>
        <w:t xml:space="preserve">. </w:t>
      </w:r>
      <w:r w:rsidRPr="007E53F6">
        <w:t>ISBN 978-3-406-72006-2</w:t>
      </w:r>
    </w:p>
  </w:footnote>
  <w:footnote w:id="14">
    <w:p w14:paraId="5F509EAA" w14:textId="2C581731" w:rsidR="00E458DB" w:rsidRDefault="00E458DB" w:rsidP="00E458DB">
      <w:pPr>
        <w:pStyle w:val="Funotentext"/>
      </w:pPr>
      <w:r>
        <w:rPr>
          <w:rStyle w:val="Funotenzeichen"/>
        </w:rPr>
        <w:footnoteRef/>
      </w:r>
      <w:r>
        <w:t xml:space="preserve"> </w:t>
      </w:r>
      <w:r w:rsidRPr="00E458DB">
        <w:t>Wiesner</w:t>
      </w:r>
      <w:r>
        <w:t xml:space="preserve"> R.: § 76 SGB VIII, Rn. 12. In: Wiesner / </w:t>
      </w:r>
      <w:r w:rsidRPr="00E616DE">
        <w:t>Wapler</w:t>
      </w:r>
      <w:r>
        <w:t xml:space="preserve"> (Hrsg.) SGB VIII </w:t>
      </w:r>
      <w:r w:rsidR="00E616DE">
        <w:t>-</w:t>
      </w:r>
      <w:r>
        <w:t xml:space="preserve"> Kinder- und Jugendhilfe. C. H. Beck Verlag, </w:t>
      </w:r>
      <w:r w:rsidRPr="00E458DB">
        <w:t>6. Auflage 2022</w:t>
      </w:r>
      <w:r>
        <w:t xml:space="preserve">. </w:t>
      </w:r>
      <w:r w:rsidRPr="00E458DB">
        <w:t>ISBN 978-3-406-75040-3</w:t>
      </w:r>
    </w:p>
  </w:footnote>
  <w:footnote w:id="15">
    <w:p w14:paraId="4F2E12D0" w14:textId="614E9DE3" w:rsidR="00E616DE" w:rsidRDefault="00E616DE">
      <w:pPr>
        <w:pStyle w:val="Funotentext"/>
      </w:pPr>
      <w:r>
        <w:rPr>
          <w:rStyle w:val="Funotenzeichen"/>
        </w:rPr>
        <w:footnoteRef/>
      </w:r>
      <w:r>
        <w:t xml:space="preserve"> </w:t>
      </w:r>
      <w:r w:rsidRPr="00E616DE">
        <w:t>Graulich</w:t>
      </w:r>
      <w:r>
        <w:t xml:space="preserve"> K.: E. </w:t>
      </w:r>
      <w:r w:rsidRPr="00E616DE">
        <w:t>Das Handeln von Polizei- und Ordnungsbehörden zur Gefahrenabwehr</w:t>
      </w:r>
      <w:r>
        <w:t xml:space="preserve">, Rn. 10. In: </w:t>
      </w:r>
      <w:r w:rsidRPr="00E616DE">
        <w:t>Lisken/Denninger, Handbuch des Polizeirechts</w:t>
      </w:r>
      <w:r>
        <w:t xml:space="preserve">. C. H. Beck Verlag, 7. Auflage 2021. </w:t>
      </w:r>
      <w:r w:rsidRPr="00E616DE">
        <w:t>ISBN 978-3-406-74370-2</w:t>
      </w:r>
    </w:p>
  </w:footnote>
  <w:footnote w:id="16">
    <w:p w14:paraId="6A26D524" w14:textId="75BFF89D" w:rsidR="00E616DE" w:rsidRDefault="00E616DE">
      <w:pPr>
        <w:pStyle w:val="Funotentext"/>
      </w:pPr>
      <w:r>
        <w:rPr>
          <w:rStyle w:val="Funotenzeichen"/>
        </w:rPr>
        <w:footnoteRef/>
      </w:r>
      <w:r>
        <w:t xml:space="preserve"> </w:t>
      </w:r>
      <w:r w:rsidRPr="00E616DE">
        <w:t>Katzenmeier</w:t>
      </w:r>
      <w:r>
        <w:t xml:space="preserve"> C.: </w:t>
      </w:r>
      <w:r w:rsidRPr="00E616DE">
        <w:t>XI. Passivlegitimation und Beweisrecht</w:t>
      </w:r>
      <w:r>
        <w:t xml:space="preserve">, Rn. 43. In: </w:t>
      </w:r>
      <w:r w:rsidRPr="00E616DE">
        <w:t>Laufs/Katzenmeier/Lipp</w:t>
      </w:r>
      <w:r>
        <w:t xml:space="preserve"> (Hrsg.)</w:t>
      </w:r>
      <w:r w:rsidRPr="00E616DE">
        <w:t xml:space="preserve"> Arztrecht</w:t>
      </w:r>
      <w:r>
        <w:t xml:space="preserve">. C. H. Beck Verlag, 8. Auflage 2021. </w:t>
      </w:r>
      <w:r w:rsidRPr="00E616DE">
        <w:t>ISBN 978-3-406-73675-9</w:t>
      </w:r>
    </w:p>
  </w:footnote>
  <w:footnote w:id="17">
    <w:p w14:paraId="78097D96" w14:textId="7159CF10" w:rsidR="00E616DE" w:rsidRDefault="00E616DE">
      <w:pPr>
        <w:pStyle w:val="Funotentext"/>
      </w:pPr>
      <w:r>
        <w:rPr>
          <w:rStyle w:val="Funotenzeichen"/>
        </w:rPr>
        <w:footnoteRef/>
      </w:r>
      <w:r>
        <w:t xml:space="preserve"> </w:t>
      </w:r>
      <w:r w:rsidRPr="00E616DE">
        <w:t>Katzenmeier</w:t>
      </w:r>
      <w:r>
        <w:t xml:space="preserve"> C.: </w:t>
      </w:r>
      <w:r w:rsidRPr="00E616DE">
        <w:t>XI. Passivlegitimation und Beweisrecht</w:t>
      </w:r>
      <w:r>
        <w:t xml:space="preserve">, Rn. 44. In: </w:t>
      </w:r>
      <w:r w:rsidRPr="00E616DE">
        <w:t>Laufs/Katzenmeier/Lipp</w:t>
      </w:r>
      <w:r>
        <w:t xml:space="preserve"> (Hrsg.)</w:t>
      </w:r>
      <w:r w:rsidRPr="00E616DE">
        <w:t xml:space="preserve"> Arztrecht</w:t>
      </w:r>
      <w:r>
        <w:t xml:space="preserve">. C. H. Beck Verlag, 8. Auflage 2021. </w:t>
      </w:r>
      <w:r w:rsidRPr="00E616DE">
        <w:t>ISBN 978-3-406-73675-9</w:t>
      </w:r>
    </w:p>
  </w:footnote>
  <w:footnote w:id="18">
    <w:p w14:paraId="56AF6B7D" w14:textId="4CA0FAE8" w:rsidR="00E616DE" w:rsidRDefault="00E616DE">
      <w:pPr>
        <w:pStyle w:val="Funotentext"/>
      </w:pPr>
      <w:r>
        <w:rPr>
          <w:rStyle w:val="Funotenzeichen"/>
        </w:rPr>
        <w:footnoteRef/>
      </w:r>
      <w:r>
        <w:t xml:space="preserve"> </w:t>
      </w:r>
      <w:r w:rsidRPr="00E616DE">
        <w:t>Greiner</w:t>
      </w:r>
      <w:r>
        <w:t xml:space="preserve"> H-P.: § 839 BGB, Rn. 492-498. In: </w:t>
      </w:r>
      <w:r w:rsidRPr="00E616DE">
        <w:t>Spickhoff</w:t>
      </w:r>
      <w:r>
        <w:t xml:space="preserve"> (Hrsg.) </w:t>
      </w:r>
      <w:r w:rsidRPr="00E616DE">
        <w:t>Medizinrecht</w:t>
      </w:r>
      <w:r>
        <w:t xml:space="preserve">. C. H. Beck </w:t>
      </w:r>
      <w:r w:rsidR="008362B2">
        <w:t>V</w:t>
      </w:r>
      <w:r>
        <w:t xml:space="preserve">erlag, 4. Auflage 2022. </w:t>
      </w:r>
      <w:r w:rsidRPr="00E616DE">
        <w:t>ISBN 978-3-406-78835-2</w:t>
      </w:r>
    </w:p>
  </w:footnote>
  <w:footnote w:id="19">
    <w:p w14:paraId="01B4D366" w14:textId="782774D0" w:rsidR="00E616DE" w:rsidRDefault="00E616DE">
      <w:pPr>
        <w:pStyle w:val="Funotentext"/>
      </w:pPr>
      <w:r>
        <w:rPr>
          <w:rStyle w:val="Funotenzeichen"/>
        </w:rPr>
        <w:footnoteRef/>
      </w:r>
      <w:r>
        <w:t xml:space="preserve"> </w:t>
      </w:r>
      <w:r w:rsidRPr="00E616DE">
        <w:t>Katzenmeier</w:t>
      </w:r>
      <w:r>
        <w:t xml:space="preserve"> C.: </w:t>
      </w:r>
      <w:r w:rsidRPr="00E616DE">
        <w:t>XI. Passivlegitimation und Beweisrecht</w:t>
      </w:r>
      <w:r>
        <w:t xml:space="preserve">, Rn. 45. In: </w:t>
      </w:r>
      <w:r w:rsidRPr="00E616DE">
        <w:t>Laufs/Katzenmeier/Lipp</w:t>
      </w:r>
      <w:r>
        <w:t xml:space="preserve"> (Hrsg.)</w:t>
      </w:r>
      <w:r w:rsidRPr="00E616DE">
        <w:t xml:space="preserve"> Arztrecht</w:t>
      </w:r>
      <w:r>
        <w:t xml:space="preserve">. C. H. Beck Verlag, 8. Auflage 2021. </w:t>
      </w:r>
      <w:r w:rsidRPr="00E616DE">
        <w:t>ISBN 978-3-406-73675-9</w:t>
      </w:r>
    </w:p>
  </w:footnote>
  <w:footnote w:id="20">
    <w:p w14:paraId="2DD3F81C" w14:textId="06964775" w:rsidR="00AF1849" w:rsidRDefault="00AF1849">
      <w:pPr>
        <w:pStyle w:val="Funotentext"/>
      </w:pPr>
      <w:r>
        <w:rPr>
          <w:rStyle w:val="Funotenzeichen"/>
        </w:rPr>
        <w:footnoteRef/>
      </w:r>
      <w:r>
        <w:t xml:space="preserve"> </w:t>
      </w:r>
      <w:r w:rsidRPr="005F5895">
        <w:t>Schantz</w:t>
      </w:r>
      <w:r w:rsidRPr="00AF1849">
        <w:t xml:space="preserve"> P.: </w:t>
      </w:r>
      <w:r w:rsidR="005F5895">
        <w:t>Art. </w:t>
      </w:r>
      <w:r w:rsidRPr="00AF1849">
        <w:t xml:space="preserve">6, Rn. </w:t>
      </w:r>
      <w:r>
        <w:t>99</w:t>
      </w:r>
      <w:r w:rsidRPr="00AF1849">
        <w:t xml:space="preserve">. In: Simitis / Hornung / Spiecker gen. </w:t>
      </w:r>
      <w:r w:rsidRPr="005F5895">
        <w:t>Döhmann</w:t>
      </w:r>
      <w:r w:rsidRPr="00AF1849">
        <w:t xml:space="preserve"> (Hrsg.) Datenschutzrecht. Nomos, 1. Auflage 2019. ISBN 978-3-8487-3590-7</w:t>
      </w:r>
    </w:p>
  </w:footnote>
  <w:footnote w:id="21">
    <w:p w14:paraId="5691F744" w14:textId="0B38A743" w:rsidR="00692E01" w:rsidRDefault="00692E01" w:rsidP="00692E01">
      <w:pPr>
        <w:pStyle w:val="Funotentext"/>
      </w:pPr>
      <w:r>
        <w:rPr>
          <w:rStyle w:val="Funotenzeichen"/>
        </w:rPr>
        <w:footnoteRef/>
      </w:r>
      <w:r>
        <w:t xml:space="preserve"> </w:t>
      </w:r>
      <w:r w:rsidRPr="00E124F4">
        <w:t>Schulz</w:t>
      </w:r>
      <w:r>
        <w:t xml:space="preserve"> S.: </w:t>
      </w:r>
      <w:r w:rsidR="005F5895">
        <w:t>Art. </w:t>
      </w:r>
      <w:r>
        <w:t xml:space="preserve">6, Rn. 62. In: </w:t>
      </w:r>
      <w:r w:rsidRPr="005F5895">
        <w:t>Gola</w:t>
      </w:r>
      <w:r w:rsidRPr="00E124F4">
        <w:t xml:space="preserve">/Heckmann, Datenschutz-Grundverordnung </w:t>
      </w:r>
      <w:r>
        <w:t>–</w:t>
      </w:r>
      <w:r w:rsidRPr="00E124F4">
        <w:t xml:space="preserve"> Bundesdatenschutzgesetz</w:t>
      </w:r>
      <w:r>
        <w:t xml:space="preserve">. C. H. Beck Verlag, </w:t>
      </w:r>
      <w:r w:rsidRPr="00E124F4">
        <w:t>3. Auflage</w:t>
      </w:r>
      <w:r>
        <w:t xml:space="preserve">, </w:t>
      </w:r>
      <w:r w:rsidRPr="00E124F4">
        <w:t>2022</w:t>
      </w:r>
      <w:r>
        <w:t xml:space="preserve">. </w:t>
      </w:r>
      <w:r w:rsidRPr="00E124F4">
        <w:t>ISBN 978-3-406-78266-4</w:t>
      </w:r>
    </w:p>
  </w:footnote>
  <w:footnote w:id="22">
    <w:p w14:paraId="07F5CFCB" w14:textId="0E8AC85E" w:rsidR="003147ED" w:rsidRDefault="003147ED">
      <w:pPr>
        <w:pStyle w:val="Funotentext"/>
      </w:pPr>
      <w:r>
        <w:rPr>
          <w:rStyle w:val="Funotenzeichen"/>
        </w:rPr>
        <w:footnoteRef/>
      </w:r>
      <w:r>
        <w:t xml:space="preserve"> </w:t>
      </w:r>
      <w:r w:rsidRPr="003147ED">
        <w:t xml:space="preserve">Albers M, Veit RD.: </w:t>
      </w:r>
      <w:r w:rsidR="005F5895">
        <w:t>Art. </w:t>
      </w:r>
      <w:r w:rsidRPr="003147ED">
        <w:t xml:space="preserve">6 DS-GVO, Rn. </w:t>
      </w:r>
      <w:r>
        <w:t>71</w:t>
      </w:r>
      <w:r w:rsidRPr="003147ED">
        <w:t xml:space="preserve">. In: Wolff/Brink/v. Ungern-Sternberg (Hrsg.) </w:t>
      </w:r>
      <w:r w:rsidRPr="005F5895">
        <w:t>BeckOK</w:t>
      </w:r>
      <w:r w:rsidRPr="003147ED">
        <w:t xml:space="preserve"> Datenschutzrecht. 46. Edition, Stand: 01.08.2023</w:t>
      </w:r>
    </w:p>
  </w:footnote>
  <w:footnote w:id="23">
    <w:p w14:paraId="7F7AE6E1" w14:textId="4E6F08E9" w:rsidR="00687085" w:rsidRDefault="00687085" w:rsidP="00687085">
      <w:pPr>
        <w:pStyle w:val="Funotentext"/>
      </w:pPr>
      <w:r>
        <w:rPr>
          <w:rStyle w:val="Funotenzeichen"/>
        </w:rPr>
        <w:footnoteRef/>
      </w:r>
      <w:r>
        <w:t xml:space="preserve"> </w:t>
      </w:r>
      <w:r w:rsidR="005F5895">
        <w:t>Art. </w:t>
      </w:r>
      <w:r>
        <w:t xml:space="preserve">3 </w:t>
      </w:r>
      <w:r w:rsidR="005F5895">
        <w:t>lit. </w:t>
      </w:r>
      <w:r>
        <w:t xml:space="preserve">f Richtlinie 2011/24/EU. Online, zitiert am 2024-01-15; verfügbar unter </w:t>
      </w:r>
      <w:hyperlink r:id="rId12" w:anchor="tocId6" w:history="1">
        <w:r w:rsidRPr="005F5895">
          <w:rPr>
            <w:rStyle w:val="Hyperlink"/>
          </w:rPr>
          <w:t>https://eur-lex.europa.eu/legal-content/DE/TXT/HTML/?uri=CELEX:02011L0024-20140101#tocId6</w:t>
        </w:r>
      </w:hyperlink>
    </w:p>
  </w:footnote>
  <w:footnote w:id="24">
    <w:p w14:paraId="28F833BC" w14:textId="1BD8ADE4" w:rsidR="00687085" w:rsidRDefault="00687085" w:rsidP="00687085">
      <w:pPr>
        <w:pStyle w:val="Funotentext"/>
      </w:pPr>
      <w:r>
        <w:rPr>
          <w:rStyle w:val="Funotenzeichen"/>
        </w:rPr>
        <w:footnoteRef/>
      </w:r>
      <w:r>
        <w:t xml:space="preserve"> </w:t>
      </w:r>
      <w:r w:rsidR="005F5895">
        <w:t>Art. </w:t>
      </w:r>
      <w:r w:rsidRPr="00175F60">
        <w:t xml:space="preserve">3 </w:t>
      </w:r>
      <w:r w:rsidR="005F5895">
        <w:t>Abs. </w:t>
      </w:r>
      <w:r w:rsidRPr="00175F60">
        <w:t xml:space="preserve">1 </w:t>
      </w:r>
      <w:r w:rsidR="005F5895">
        <w:t>lit. </w:t>
      </w:r>
      <w:r w:rsidRPr="00175F60">
        <w:t>a der Richtlinie 2005/36/EG</w:t>
      </w:r>
      <w:r>
        <w:t xml:space="preserve"> verweist auf „</w:t>
      </w:r>
      <w:r w:rsidRPr="00175F60">
        <w:t>reglementierte Beruf</w:t>
      </w:r>
      <w:r>
        <w:t xml:space="preserve">e“, </w:t>
      </w:r>
      <w:r w:rsidRPr="00175F60">
        <w:t xml:space="preserve">bei </w:t>
      </w:r>
      <w:r>
        <w:t>welchen</w:t>
      </w:r>
      <w:r w:rsidRPr="00175F60">
        <w:t xml:space="preserve"> die Aufnahme oder Ausübung oder eine der Arten der Ausübung direkt oder indirekt durch Rechts- und Verwaltungsvorschriften an den Besitz bestimmter Berufsqualifikationen gebunden ist</w:t>
      </w:r>
      <w:r>
        <w:t xml:space="preserve">. Online, zitiert am 2024-01-15; verfügbar unter </w:t>
      </w:r>
      <w:hyperlink r:id="rId13" w:anchor="tocId25" w:history="1">
        <w:r w:rsidRPr="005F5895">
          <w:rPr>
            <w:rStyle w:val="Hyperlink"/>
          </w:rPr>
          <w:t>https://eur-lex.europa.eu/legal-content/DE/TXT/HTML/?uri=CELEX:02005L0036-20231009#tocId25</w:t>
        </w:r>
      </w:hyperlink>
    </w:p>
  </w:footnote>
  <w:footnote w:id="25">
    <w:p w14:paraId="54E57FA6" w14:textId="77777777" w:rsidR="00687085" w:rsidRDefault="00687085" w:rsidP="00687085">
      <w:pPr>
        <w:pStyle w:val="Funotentext"/>
      </w:pPr>
      <w:r>
        <w:rPr>
          <w:rStyle w:val="Funotenzeichen"/>
        </w:rPr>
        <w:footnoteRef/>
      </w:r>
      <w:r>
        <w:t xml:space="preserve"> Ein Hinweis hierzu findet sich z. B. in Schütze B, Spyra G. (2018) </w:t>
      </w:r>
      <w:r w:rsidRPr="00CD1BC8">
        <w:t>Schweigepflicht und die Einbindung externer Kräfte: endlich geregelt</w:t>
      </w:r>
      <w:r>
        <w:t xml:space="preserve">. Online, zitiert am 2024-01-15; verfügbar unter </w:t>
      </w:r>
      <w:hyperlink r:id="rId14" w:history="1">
        <w:r w:rsidRPr="0073766F">
          <w:rPr>
            <w:rStyle w:val="Hyperlink"/>
          </w:rPr>
          <w:t>https://gesundheitsdatenschutz.org/html/schweigepflicht</w:t>
        </w:r>
        <w:r w:rsidRPr="005F5895">
          <w:rPr>
            <w:rStyle w:val="Hyperlink"/>
          </w:rPr>
          <w:t>_05.php</w:t>
        </w:r>
      </w:hyperlink>
    </w:p>
  </w:footnote>
  <w:footnote w:id="26">
    <w:p w14:paraId="035EE0AB" w14:textId="77777777" w:rsidR="00687085" w:rsidRDefault="00687085" w:rsidP="00687085">
      <w:pPr>
        <w:pStyle w:val="Funotentext"/>
      </w:pPr>
      <w:r>
        <w:rPr>
          <w:rStyle w:val="Funotenzeichen"/>
        </w:rPr>
        <w:footnoteRef/>
      </w:r>
      <w:r>
        <w:t xml:space="preserve"> Hierbei sollten die Ausführungen des EuGH bzgl. des Meta-Falles beachtet werden: </w:t>
      </w:r>
      <w:r w:rsidRPr="00CE74CF">
        <w:t xml:space="preserve">EuGH, </w:t>
      </w:r>
      <w:r>
        <w:t>Urt. v. 2023-07-</w:t>
      </w:r>
      <w:r w:rsidRPr="00CE74CF">
        <w:t>04</w:t>
      </w:r>
      <w:r>
        <w:t>, Rechtssache </w:t>
      </w:r>
      <w:r w:rsidRPr="00CE74CF">
        <w:t>C-252/21</w:t>
      </w:r>
      <w:r>
        <w:t xml:space="preserve">. Rn. 140ff, insbesondere Rn. 154. Online, zitiert am 2024-01-15; verfügbar unter </w:t>
      </w:r>
      <w:hyperlink r:id="rId15" w:history="1">
        <w:r w:rsidRPr="005F5895">
          <w:rPr>
            <w:rStyle w:val="Hyperlink"/>
          </w:rPr>
          <w:t>https://eur-lex.europa.eu/legal-content/de/TXT/?uri=CELEX:62021CJ0252</w:t>
        </w:r>
      </w:hyperlink>
    </w:p>
  </w:footnote>
  <w:footnote w:id="27">
    <w:p w14:paraId="69DDC008" w14:textId="77777777" w:rsidR="00687085" w:rsidRDefault="00687085" w:rsidP="00687085">
      <w:pPr>
        <w:pStyle w:val="Funotentext"/>
      </w:pPr>
      <w:r>
        <w:rPr>
          <w:rStyle w:val="Funotenzeichen"/>
        </w:rPr>
        <w:footnoteRef/>
      </w:r>
      <w:r>
        <w:t xml:space="preserve"> Siehe</w:t>
      </w:r>
    </w:p>
    <w:p w14:paraId="7B1CF0C8" w14:textId="0EC3F511" w:rsidR="00687085" w:rsidRDefault="005F5895" w:rsidP="00687085">
      <w:pPr>
        <w:pStyle w:val="Funotentext"/>
        <w:numPr>
          <w:ilvl w:val="0"/>
          <w:numId w:val="20"/>
        </w:numPr>
      </w:pPr>
      <w:r>
        <w:t>§ </w:t>
      </w:r>
      <w:r w:rsidR="00687085">
        <w:t xml:space="preserve">5 </w:t>
      </w:r>
      <w:r>
        <w:t>Abs. </w:t>
      </w:r>
      <w:r w:rsidR="00687085">
        <w:t xml:space="preserve">3 </w:t>
      </w:r>
      <w:r w:rsidR="00687085" w:rsidRPr="005F5895">
        <w:t>DiPAV</w:t>
      </w:r>
      <w:r w:rsidR="00687085">
        <w:t xml:space="preserve">: „[…] </w:t>
      </w:r>
      <w:r w:rsidR="00687085" w:rsidRPr="00E138EE">
        <w:t>dürfen nur aufgrund einer Einwilligung nach Artikel 9 Absatz 2 Buchstabe a der Verordnung (EU) 2016/679</w:t>
      </w:r>
      <w:r w:rsidR="00687085">
        <w:t xml:space="preserve"> […} </w:t>
      </w:r>
      <w:r w:rsidR="00687085" w:rsidRPr="00E138EE">
        <w:t>und ausschließlich zu den folgenden Zwecken verarbeitet werde</w:t>
      </w:r>
      <w:r w:rsidR="00687085">
        <w:t>n</w:t>
      </w:r>
      <w:r w:rsidR="00687085" w:rsidRPr="005F5895">
        <w:t xml:space="preserve"> […]“.</w:t>
      </w:r>
      <w:r w:rsidR="00687085">
        <w:t xml:space="preserve"> Online, zitiert am 2024-01-15; verfügbar unter </w:t>
      </w:r>
      <w:hyperlink r:id="rId16" w:history="1">
        <w:r w:rsidR="00687085" w:rsidRPr="005F5895">
          <w:rPr>
            <w:rStyle w:val="Hyperlink"/>
          </w:rPr>
          <w:t>https://www.gesetze-im-internet.de/dipav/__5.html</w:t>
        </w:r>
      </w:hyperlink>
    </w:p>
    <w:p w14:paraId="204E2EDB" w14:textId="4369C575" w:rsidR="00687085" w:rsidRDefault="005F5895" w:rsidP="00687085">
      <w:pPr>
        <w:pStyle w:val="Funotentext"/>
        <w:numPr>
          <w:ilvl w:val="0"/>
          <w:numId w:val="20"/>
        </w:numPr>
      </w:pPr>
      <w:r>
        <w:t>§ </w:t>
      </w:r>
      <w:r w:rsidR="00687085">
        <w:t xml:space="preserve">4 </w:t>
      </w:r>
      <w:r>
        <w:t>Abs. </w:t>
      </w:r>
      <w:r w:rsidR="00687085">
        <w:t xml:space="preserve">2 DiGAV: „[…] </w:t>
      </w:r>
      <w:r w:rsidR="00687085" w:rsidRPr="00E138EE">
        <w:t>dürfen personenbezogene Daten nur aufgrund einer Einwilligung der Versicherten nach Artikel 9 Absatz 2 Buchstabe a der Verordnung (EU) 2016/679</w:t>
      </w:r>
      <w:r w:rsidR="00687085">
        <w:t xml:space="preserve"> […] </w:t>
      </w:r>
      <w:r w:rsidR="00687085" w:rsidRPr="00E138EE">
        <w:t>und ausschließlich zu den folgenden Zwecken verarbeitet werden</w:t>
      </w:r>
      <w:r w:rsidR="00687085" w:rsidRPr="005F5895">
        <w:t xml:space="preserve"> […]“.</w:t>
      </w:r>
      <w:r w:rsidR="00687085">
        <w:t xml:space="preserve"> Online, zitiert am 2024-01-15; verfügbar unter </w:t>
      </w:r>
      <w:hyperlink r:id="rId17" w:history="1">
        <w:r w:rsidR="00687085" w:rsidRPr="005F5895">
          <w:rPr>
            <w:rStyle w:val="Hyperlink"/>
          </w:rPr>
          <w:t>https://www.gesetze-im-internet.de/digav/__4.html</w:t>
        </w:r>
      </w:hyperlink>
    </w:p>
  </w:footnote>
  <w:footnote w:id="28">
    <w:p w14:paraId="703BC210" w14:textId="77777777" w:rsidR="00687085" w:rsidRDefault="00687085" w:rsidP="00687085">
      <w:pPr>
        <w:pStyle w:val="Funotentext"/>
      </w:pPr>
      <w:r>
        <w:rPr>
          <w:rStyle w:val="Funotenzeichen"/>
        </w:rPr>
        <w:footnoteRef/>
      </w:r>
      <w:r>
        <w:t xml:space="preserve"> So </w:t>
      </w:r>
      <w:r w:rsidRPr="00CD1BC8">
        <w:t>z. B.</w:t>
      </w:r>
      <w:r>
        <w:t xml:space="preserve"> zu finden in:</w:t>
      </w:r>
    </w:p>
    <w:p w14:paraId="3F90CBB6" w14:textId="77777777" w:rsidR="00687085" w:rsidRDefault="00687085" w:rsidP="00687085">
      <w:pPr>
        <w:pStyle w:val="Funotentext"/>
        <w:numPr>
          <w:ilvl w:val="0"/>
          <w:numId w:val="22"/>
        </w:numPr>
      </w:pPr>
      <w:r>
        <w:t>EuGH, Urt. v. 2020-07-0</w:t>
      </w:r>
      <w:r w:rsidRPr="00B03E10">
        <w:t xml:space="preserve">6, </w:t>
      </w:r>
      <w:r>
        <w:t>Rechtssache </w:t>
      </w:r>
      <w:r w:rsidRPr="00B03E10">
        <w:t>C</w:t>
      </w:r>
      <w:r w:rsidRPr="00B03E10">
        <w:rPr>
          <w:rFonts w:ascii="Cambria Math" w:hAnsi="Cambria Math" w:cs="Cambria Math"/>
        </w:rPr>
        <w:t>‑</w:t>
      </w:r>
      <w:r w:rsidRPr="00B03E10">
        <w:t>311/18</w:t>
      </w:r>
      <w:r>
        <w:t xml:space="preserve">. Rn. 172 bis 175. Online, zitiert am 2024-01-15; verfügbar unter </w:t>
      </w:r>
      <w:hyperlink r:id="rId18" w:history="1">
        <w:r w:rsidRPr="005F5895">
          <w:rPr>
            <w:rStyle w:val="Hyperlink"/>
          </w:rPr>
          <w:t>https://eur-lex.europa.eu/legal-content/de/TXT/?uri=CELEX:62018CJ0311</w:t>
        </w:r>
      </w:hyperlink>
    </w:p>
    <w:p w14:paraId="30E3CE2C" w14:textId="77777777" w:rsidR="00687085" w:rsidRDefault="00687085" w:rsidP="00687085">
      <w:pPr>
        <w:pStyle w:val="Funotentext"/>
        <w:numPr>
          <w:ilvl w:val="0"/>
          <w:numId w:val="22"/>
        </w:numPr>
      </w:pPr>
      <w:r w:rsidRPr="00B03E10">
        <w:t xml:space="preserve">EuGH, </w:t>
      </w:r>
      <w:r>
        <w:t>Urt. v. 2022-08-01, Rechtssache</w:t>
      </w:r>
      <w:r w:rsidRPr="00B03E10">
        <w:t xml:space="preserve"> C-184/20</w:t>
      </w:r>
      <w:r>
        <w:t xml:space="preserve">. Rn. 70. Online, zitiert am 2024-01-15; verfügbar unter </w:t>
      </w:r>
      <w:hyperlink r:id="rId19" w:history="1">
        <w:r w:rsidRPr="005F5895">
          <w:rPr>
            <w:rStyle w:val="Hyperlink"/>
          </w:rPr>
          <w:t>https://eur-lex.europa.eu/legal-content/de/TXT/?uri=CELEX:62020CJ0184</w:t>
        </w:r>
      </w:hyperlink>
    </w:p>
  </w:footnote>
  <w:footnote w:id="29">
    <w:p w14:paraId="2E694BA5" w14:textId="77777777" w:rsidR="00687085" w:rsidRDefault="00687085" w:rsidP="00687085">
      <w:pPr>
        <w:pStyle w:val="Funotentext"/>
      </w:pPr>
      <w:r>
        <w:rPr>
          <w:rStyle w:val="Funotenzeichen"/>
        </w:rPr>
        <w:footnoteRef/>
      </w:r>
      <w:r>
        <w:t xml:space="preserve"> So </w:t>
      </w:r>
      <w:r w:rsidRPr="00CD1BC8">
        <w:t>z. B.</w:t>
      </w:r>
      <w:r>
        <w:t xml:space="preserve"> zu finden in:</w:t>
      </w:r>
    </w:p>
    <w:p w14:paraId="1887D4BB" w14:textId="77777777" w:rsidR="00687085" w:rsidRDefault="00687085" w:rsidP="00687085">
      <w:pPr>
        <w:pStyle w:val="Funotentext"/>
        <w:numPr>
          <w:ilvl w:val="0"/>
          <w:numId w:val="22"/>
        </w:numPr>
      </w:pPr>
      <w:r>
        <w:t>EuGH, Urt. v. 2020-07-0</w:t>
      </w:r>
      <w:r w:rsidRPr="00B03E10">
        <w:t xml:space="preserve">6, </w:t>
      </w:r>
      <w:r>
        <w:t>Rechtssache </w:t>
      </w:r>
      <w:r w:rsidRPr="00B03E10">
        <w:t>C</w:t>
      </w:r>
      <w:r w:rsidRPr="00B03E10">
        <w:rPr>
          <w:rFonts w:ascii="Cambria Math" w:hAnsi="Cambria Math" w:cs="Cambria Math"/>
        </w:rPr>
        <w:t>‑</w:t>
      </w:r>
      <w:r w:rsidRPr="00B03E10">
        <w:t>311/18</w:t>
      </w:r>
      <w:r>
        <w:t xml:space="preserve">. Rn. 176. Online, zitiert am 2024-01-15; verfügbar unter </w:t>
      </w:r>
      <w:hyperlink r:id="rId20" w:history="1">
        <w:r w:rsidRPr="005F5895">
          <w:rPr>
            <w:rStyle w:val="Hyperlink"/>
          </w:rPr>
          <w:t>https://eur-lex.europa.eu/legal-content/de/TXT/?uri=CELEX:62018CJ0311</w:t>
        </w:r>
      </w:hyperlink>
    </w:p>
    <w:p w14:paraId="2DF8D0F8" w14:textId="77777777" w:rsidR="00687085" w:rsidRDefault="00687085" w:rsidP="00687085">
      <w:pPr>
        <w:pStyle w:val="Funotentext"/>
        <w:numPr>
          <w:ilvl w:val="0"/>
          <w:numId w:val="22"/>
        </w:numPr>
      </w:pPr>
      <w:r w:rsidRPr="00B03E10">
        <w:t xml:space="preserve">EuGH, </w:t>
      </w:r>
      <w:r>
        <w:t xml:space="preserve">Urt. v. 2021-06-22, Rechtssache </w:t>
      </w:r>
      <w:r w:rsidRPr="00B03E10">
        <w:t>C-439/19</w:t>
      </w:r>
      <w:r>
        <w:t xml:space="preserve">. Rn. 105. Online, zitiert am 2024-01-15; verfügbar unter </w:t>
      </w:r>
      <w:hyperlink r:id="rId21" w:history="1">
        <w:r w:rsidRPr="005F5895">
          <w:rPr>
            <w:rStyle w:val="Hyperlink"/>
          </w:rPr>
          <w:t>https://eur-lex.europa.eu/legal-content/DE/TXT/?uri=ecli%3AECLI%3AEU%3AC%3A2021%3A504</w:t>
        </w:r>
      </w:hyperlink>
    </w:p>
  </w:footnote>
  <w:footnote w:id="30">
    <w:p w14:paraId="47647F61" w14:textId="77777777" w:rsidR="000835B4" w:rsidRDefault="000835B4" w:rsidP="000835B4">
      <w:pPr>
        <w:pStyle w:val="Funotentext"/>
      </w:pPr>
      <w:r>
        <w:rPr>
          <w:rStyle w:val="Funotenzeichen"/>
        </w:rPr>
        <w:footnoteRef/>
      </w:r>
      <w:r>
        <w:t xml:space="preserve"> </w:t>
      </w:r>
      <w:r w:rsidRPr="00D62E40">
        <w:t xml:space="preserve">EuGH, </w:t>
      </w:r>
      <w:r>
        <w:t>Urt. v. 2023-03-</w:t>
      </w:r>
      <w:r w:rsidRPr="00D62E40">
        <w:t>30</w:t>
      </w:r>
      <w:r>
        <w:t>, Rechtssache </w:t>
      </w:r>
      <w:r w:rsidRPr="00D62E40">
        <w:t>C-34/21</w:t>
      </w:r>
      <w:r>
        <w:t>. Rn. 65, 71.</w:t>
      </w:r>
      <w:r w:rsidRPr="00D62E40">
        <w:t xml:space="preserve"> </w:t>
      </w:r>
      <w:r>
        <w:t xml:space="preserve">Online, zitiert am 2024-01-15; verfügbar unter </w:t>
      </w:r>
      <w:hyperlink r:id="rId22" w:history="1">
        <w:r w:rsidRPr="005F5895">
          <w:rPr>
            <w:rStyle w:val="Hyperlink"/>
          </w:rPr>
          <w:t>https://eur-lex.europa.eu/legal-content/de/TXT/?uri=CELEX:62021CJ0034</w:t>
        </w:r>
      </w:hyperlink>
    </w:p>
  </w:footnote>
  <w:footnote w:id="31">
    <w:p w14:paraId="7EBB4BF0" w14:textId="2E8BCB11" w:rsidR="00ED6DE3" w:rsidRDefault="00ED6DE3">
      <w:pPr>
        <w:pStyle w:val="Funotentext"/>
      </w:pPr>
      <w:r>
        <w:rPr>
          <w:rStyle w:val="Funotenzeichen"/>
        </w:rPr>
        <w:footnoteRef/>
      </w:r>
      <w:r>
        <w:t xml:space="preserve"> </w:t>
      </w:r>
      <w:r w:rsidRPr="00ED6DE3">
        <w:t>EuGH, Urt. v. 202</w:t>
      </w:r>
      <w:r>
        <w:t>2</w:t>
      </w:r>
      <w:r w:rsidRPr="00ED6DE3">
        <w:t>-0</w:t>
      </w:r>
      <w:r>
        <w:t>2</w:t>
      </w:r>
      <w:r w:rsidRPr="00ED6DE3">
        <w:t>-</w:t>
      </w:r>
      <w:r>
        <w:t>24</w:t>
      </w:r>
      <w:r w:rsidRPr="00ED6DE3">
        <w:t>, Rechtssache C-175/20. Rn.</w:t>
      </w:r>
      <w:r>
        <w:t xml:space="preserve"> 83. Online, zitiert am 2024-01-15; verfügbar unter </w:t>
      </w:r>
      <w:hyperlink r:id="rId23" w:history="1">
        <w:r w:rsidRPr="005F5895">
          <w:rPr>
            <w:rStyle w:val="Hyperlink"/>
          </w:rPr>
          <w:t>https://eur-lex.europa.eu/legal-content/DE/TXT/?uri=CELEX%3A62020CJ0175</w:t>
        </w:r>
      </w:hyperlink>
    </w:p>
  </w:footnote>
  <w:footnote w:id="32">
    <w:p w14:paraId="21D79CD9" w14:textId="77777777" w:rsidR="000835B4" w:rsidRDefault="000835B4" w:rsidP="000835B4">
      <w:pPr>
        <w:pStyle w:val="Funotentext"/>
      </w:pPr>
      <w:r>
        <w:rPr>
          <w:rStyle w:val="Funotenzeichen"/>
        </w:rPr>
        <w:footnoteRef/>
      </w:r>
      <w:r>
        <w:t xml:space="preserve"> Ablehnend:</w:t>
      </w:r>
    </w:p>
    <w:p w14:paraId="67A8F697" w14:textId="3B3E78D5" w:rsidR="000835B4" w:rsidRDefault="000835B4" w:rsidP="000835B4">
      <w:pPr>
        <w:pStyle w:val="Funotentext"/>
        <w:numPr>
          <w:ilvl w:val="0"/>
          <w:numId w:val="20"/>
        </w:numPr>
      </w:pPr>
      <w:r>
        <w:t>A</w:t>
      </w:r>
      <w:r w:rsidRPr="002F7765">
        <w:t>lbers</w:t>
      </w:r>
      <w:r>
        <w:t xml:space="preserve"> M, </w:t>
      </w:r>
      <w:r w:rsidRPr="002F7765">
        <w:t>Veit</w:t>
      </w:r>
      <w:r>
        <w:t xml:space="preserve"> RD.: </w:t>
      </w:r>
      <w:r w:rsidR="005F5895">
        <w:t>Art. </w:t>
      </w:r>
      <w:r>
        <w:t xml:space="preserve">9, Rn. 110. In: </w:t>
      </w:r>
      <w:r w:rsidRPr="002F7765">
        <w:t>Wolff/Brink/v. Ungern-Sternberg (Hrsg.)</w:t>
      </w:r>
      <w:r>
        <w:t xml:space="preserve">. </w:t>
      </w:r>
      <w:r w:rsidRPr="005F5895">
        <w:t>BeckOK</w:t>
      </w:r>
      <w:r w:rsidRPr="002F7765">
        <w:t xml:space="preserve"> Datenschutzrecht</w:t>
      </w:r>
      <w:r>
        <w:t>. 46. Edition, Stand: 01.08.2023</w:t>
      </w:r>
    </w:p>
    <w:p w14:paraId="5808DCD0" w14:textId="4846D585" w:rsidR="000835B4" w:rsidRDefault="000835B4" w:rsidP="000835B4">
      <w:pPr>
        <w:pStyle w:val="Funotentext"/>
        <w:numPr>
          <w:ilvl w:val="0"/>
          <w:numId w:val="20"/>
        </w:numPr>
      </w:pPr>
      <w:r w:rsidRPr="005F5895">
        <w:t>Greve</w:t>
      </w:r>
      <w:r>
        <w:t xml:space="preserve"> H.: </w:t>
      </w:r>
      <w:r w:rsidR="005F5895">
        <w:t>Art. </w:t>
      </w:r>
      <w:r>
        <w:t xml:space="preserve">Rn. 38. In: </w:t>
      </w:r>
      <w:r w:rsidRPr="005F5895">
        <w:t>Eßer</w:t>
      </w:r>
      <w:r w:rsidRPr="002F7765">
        <w:t xml:space="preserve"> / Kramer / von Lewinski (Hrsg.)</w:t>
      </w:r>
      <w:r>
        <w:t xml:space="preserve">. </w:t>
      </w:r>
      <w:r w:rsidRPr="002F7765">
        <w:t>DSGVO / BDSG: Datenschutz-Grundverordnung, Bundesdatenschutzgesetz und Nebengesetze</w:t>
      </w:r>
      <w:r>
        <w:t xml:space="preserve">. Verlag </w:t>
      </w:r>
      <w:r w:rsidRPr="002F7765">
        <w:t xml:space="preserve">Carl </w:t>
      </w:r>
      <w:r w:rsidRPr="005F5895">
        <w:t>Heymanns</w:t>
      </w:r>
      <w:r>
        <w:t>. 7</w:t>
      </w:r>
      <w:r w:rsidRPr="002F7765">
        <w:t>. Auflage. 202</w:t>
      </w:r>
      <w:r>
        <w:t>0</w:t>
      </w:r>
      <w:r w:rsidRPr="002F7765">
        <w:t>. ISBN 978-3-452-</w:t>
      </w:r>
      <w:r>
        <w:t>29526-2</w:t>
      </w:r>
    </w:p>
    <w:p w14:paraId="670C0F39" w14:textId="47B24A6A" w:rsidR="000835B4" w:rsidRDefault="000835B4" w:rsidP="000835B4">
      <w:pPr>
        <w:pStyle w:val="Funotentext"/>
        <w:numPr>
          <w:ilvl w:val="0"/>
          <w:numId w:val="20"/>
        </w:numPr>
      </w:pPr>
      <w:r>
        <w:t xml:space="preserve">Petri: </w:t>
      </w:r>
      <w:r w:rsidR="005F5895">
        <w:t>Art. </w:t>
      </w:r>
      <w:r>
        <w:t xml:space="preserve">9 Rn. 101. In: </w:t>
      </w:r>
      <w:r w:rsidRPr="002F7765">
        <w:t xml:space="preserve">Simitis / Hornung / Spiecker gen. </w:t>
      </w:r>
      <w:r w:rsidRPr="005F5895">
        <w:t>Döhmann</w:t>
      </w:r>
      <w:r>
        <w:t xml:space="preserve"> (Hrsg.). </w:t>
      </w:r>
      <w:r w:rsidRPr="002F7765">
        <w:t>Datenschutzrecht</w:t>
      </w:r>
      <w:r>
        <w:t>. Nomos Verlag, 1. Auflage 2019. ISBN 978-3-8487-3590-7</w:t>
      </w:r>
    </w:p>
    <w:p w14:paraId="54B0DA9E" w14:textId="57CBE820" w:rsidR="000835B4" w:rsidRDefault="000835B4" w:rsidP="000835B4">
      <w:pPr>
        <w:pStyle w:val="Funotentext"/>
        <w:numPr>
          <w:ilvl w:val="0"/>
          <w:numId w:val="20"/>
        </w:numPr>
      </w:pPr>
      <w:r>
        <w:t xml:space="preserve">Schiff A.: </w:t>
      </w:r>
      <w:r w:rsidR="005F5895">
        <w:t>Art. </w:t>
      </w:r>
      <w:r>
        <w:t xml:space="preserve">9, Rn. 64. </w:t>
      </w:r>
      <w:r w:rsidRPr="005F5895">
        <w:t xml:space="preserve">In: Ehmann/Selmayr. </w:t>
      </w:r>
      <w:r w:rsidRPr="002F7765">
        <w:t>Datenschutz-Grundverordnung</w:t>
      </w:r>
      <w:r>
        <w:t xml:space="preserve">. C. H. Beck Verlag, </w:t>
      </w:r>
      <w:r w:rsidRPr="002F7765">
        <w:t>2. Auflage</w:t>
      </w:r>
      <w:r>
        <w:t xml:space="preserve"> </w:t>
      </w:r>
      <w:r w:rsidRPr="002F7765">
        <w:t>2018</w:t>
      </w:r>
      <w:r>
        <w:t xml:space="preserve">. </w:t>
      </w:r>
      <w:r w:rsidRPr="002F7765">
        <w:t>ISBN 978-3-406-70215-0</w:t>
      </w:r>
    </w:p>
    <w:p w14:paraId="1FBFC23B" w14:textId="245A9262" w:rsidR="000835B4" w:rsidRDefault="000835B4" w:rsidP="000835B4">
      <w:pPr>
        <w:pStyle w:val="Funotentext"/>
        <w:numPr>
          <w:ilvl w:val="0"/>
          <w:numId w:val="20"/>
        </w:numPr>
      </w:pPr>
      <w:r>
        <w:t xml:space="preserve">Schulz S.: </w:t>
      </w:r>
      <w:r w:rsidR="005F5895">
        <w:t>Art. </w:t>
      </w:r>
      <w:r>
        <w:t xml:space="preserve">9, Rn. 49. In; </w:t>
      </w:r>
      <w:r w:rsidRPr="005F5895">
        <w:t>Gola</w:t>
      </w:r>
      <w:r>
        <w:t>/Heckmann</w:t>
      </w:r>
      <w:r w:rsidRPr="002F7765">
        <w:t xml:space="preserve"> (Hrsg.)</w:t>
      </w:r>
      <w:r>
        <w:t xml:space="preserve">. Datenschutz-Grundverordnung – Bundesdatenschutzgesetz, C. h. Beck Verlag, 3. Auflage 2022. </w:t>
      </w:r>
      <w:r w:rsidRPr="002F7765">
        <w:t>ISBN 978-3-406-78266-4</w:t>
      </w:r>
    </w:p>
    <w:p w14:paraId="1A8B1B51" w14:textId="77777777" w:rsidR="000835B4" w:rsidRDefault="000835B4" w:rsidP="000835B4">
      <w:pPr>
        <w:pStyle w:val="Funotentext"/>
        <w:ind w:left="360"/>
      </w:pPr>
      <w:r>
        <w:t>Zustimmend:</w:t>
      </w:r>
    </w:p>
    <w:p w14:paraId="65A3A9A5" w14:textId="5C9E1E4C" w:rsidR="000835B4" w:rsidRDefault="000835B4" w:rsidP="000835B4">
      <w:pPr>
        <w:pStyle w:val="Funotentext"/>
        <w:numPr>
          <w:ilvl w:val="0"/>
          <w:numId w:val="20"/>
        </w:numPr>
      </w:pPr>
      <w:r>
        <w:t xml:space="preserve">Weichert: </w:t>
      </w:r>
      <w:r w:rsidR="005F5895">
        <w:t>Art. </w:t>
      </w:r>
      <w:r>
        <w:t xml:space="preserve">9, Rn. 159. In: </w:t>
      </w:r>
      <w:r w:rsidRPr="005F5895">
        <w:t>Kühling</w:t>
      </w:r>
      <w:r>
        <w:t xml:space="preserve"> / Buchner (Hrsg.). Datenschutz-Grundverordnung, Bundesdatenschutzgesetz: DS-GVO / BDSG. C. H. Beck Verlag, 3. Auflage 2020. ISBN 978/3-406-74994-0</w:t>
      </w:r>
    </w:p>
  </w:footnote>
  <w:footnote w:id="33">
    <w:p w14:paraId="52B01A1F" w14:textId="7A3313C3" w:rsidR="000835B4" w:rsidRDefault="000835B4" w:rsidP="000835B4">
      <w:pPr>
        <w:pStyle w:val="Funotentext"/>
      </w:pPr>
      <w:r>
        <w:rPr>
          <w:rStyle w:val="Funotenzeichen"/>
        </w:rPr>
        <w:footnoteRef/>
      </w:r>
      <w:r>
        <w:t xml:space="preserve"> So </w:t>
      </w:r>
      <w:r w:rsidRPr="008B0D52">
        <w:t>z.</w:t>
      </w:r>
      <w:r w:rsidR="008B0D52" w:rsidRPr="008B0D52">
        <w:t> </w:t>
      </w:r>
      <w:r w:rsidRPr="008B0D52">
        <w:t>B.</w:t>
      </w:r>
      <w:r>
        <w:t xml:space="preserve"> in </w:t>
      </w:r>
    </w:p>
    <w:p w14:paraId="67D309B3" w14:textId="4FD9A000" w:rsidR="00CB6137" w:rsidRDefault="00CB6137" w:rsidP="00523F19">
      <w:pPr>
        <w:pStyle w:val="Funotentext"/>
        <w:numPr>
          <w:ilvl w:val="0"/>
          <w:numId w:val="20"/>
        </w:numPr>
      </w:pPr>
      <w:r>
        <w:t xml:space="preserve">EuGH, </w:t>
      </w:r>
      <w:r w:rsidR="000835B4">
        <w:t>Urt</w:t>
      </w:r>
      <w:r>
        <w:t>. </w:t>
      </w:r>
      <w:r w:rsidR="000835B4">
        <w:t>v</w:t>
      </w:r>
      <w:r>
        <w:t>. </w:t>
      </w:r>
      <w:r w:rsidR="000835B4" w:rsidRPr="002F7765">
        <w:t>2023-07-04</w:t>
      </w:r>
      <w:r w:rsidR="000835B4">
        <w:t xml:space="preserve">, Rechtssache </w:t>
      </w:r>
      <w:r w:rsidR="000835B4" w:rsidRPr="002F7765">
        <w:t>C-252/21</w:t>
      </w:r>
      <w:r>
        <w:t xml:space="preserve">. </w:t>
      </w:r>
      <w:r w:rsidRPr="00CB6137">
        <w:t>Online, zitiert am 2024-01-15; verfügbar unter</w:t>
      </w:r>
      <w:r>
        <w:t xml:space="preserve"> </w:t>
      </w:r>
      <w:hyperlink r:id="rId24" w:history="1">
        <w:r w:rsidRPr="005F5895">
          <w:rPr>
            <w:rStyle w:val="Hyperlink"/>
          </w:rPr>
          <w:t>https://eur-lex.europa.eu/legal-content/de/TXT/?uri=CELEX:62021CJ0252</w:t>
        </w:r>
      </w:hyperlink>
    </w:p>
    <w:p w14:paraId="50B36269" w14:textId="03AE9AF5" w:rsidR="00CB6137" w:rsidRDefault="00CB6137" w:rsidP="00CB6137">
      <w:pPr>
        <w:pStyle w:val="Funotentext"/>
        <w:numPr>
          <w:ilvl w:val="0"/>
          <w:numId w:val="20"/>
        </w:numPr>
        <w:suppressAutoHyphens w:val="0"/>
      </w:pPr>
      <w:r>
        <w:t>EuGH, Urt. </w:t>
      </w:r>
      <w:r w:rsidR="000835B4">
        <w:t>v</w:t>
      </w:r>
      <w:r>
        <w:t>. </w:t>
      </w:r>
      <w:r w:rsidR="000835B4" w:rsidRPr="00594B31">
        <w:t>2022-04-05</w:t>
      </w:r>
      <w:r w:rsidR="000835B4">
        <w:t xml:space="preserve">, Rechtssache </w:t>
      </w:r>
      <w:r w:rsidR="000835B4" w:rsidRPr="00594B31">
        <w:t>C-140/20</w:t>
      </w:r>
      <w:r>
        <w:t xml:space="preserve">. </w:t>
      </w:r>
      <w:r w:rsidRPr="00CB6137">
        <w:t>Online, zitiert am 2024-01-15; verfügbar unter</w:t>
      </w:r>
      <w:r>
        <w:t xml:space="preserve"> </w:t>
      </w:r>
      <w:hyperlink r:id="rId25" w:history="1">
        <w:r w:rsidRPr="005F5895">
          <w:rPr>
            <w:rFonts w:ascii="Calibri" w:eastAsia="Times New Roman" w:hAnsi="Calibri" w:cs="Calibri"/>
            <w:color w:val="0563C1"/>
            <w:u w:val="single"/>
            <w:lang w:eastAsia="de-DE"/>
          </w:rPr>
          <w:t>https://eur-lex.europa.eu/legal-content/de/TXT/?uri=CELEX:62020CJ0140</w:t>
        </w:r>
      </w:hyperlink>
    </w:p>
  </w:footnote>
  <w:footnote w:id="34">
    <w:p w14:paraId="3D757510" w14:textId="77777777" w:rsidR="00687085" w:rsidRDefault="00687085" w:rsidP="00687085">
      <w:pPr>
        <w:pStyle w:val="Funotentext"/>
      </w:pPr>
      <w:r>
        <w:rPr>
          <w:rStyle w:val="Funotenzeichen"/>
        </w:rPr>
        <w:footnoteRef/>
      </w:r>
      <w:r>
        <w:t xml:space="preserve"> Siehe stellvertretend: Weichert T. (2023-11-14) Stellungnahme </w:t>
      </w:r>
      <w:r w:rsidRPr="008B0D52">
        <w:t>GDNG</w:t>
      </w:r>
      <w:r>
        <w:t xml:space="preserve">. Online, zitiert am 2024-01-15; verfügbar unter </w:t>
      </w:r>
      <w:hyperlink r:id="rId26" w:history="1">
        <w:r w:rsidRPr="003C259B">
          <w:rPr>
            <w:rStyle w:val="Hyperlink"/>
          </w:rPr>
          <w:t>https://www.netzwerk-datenschutzexpertise.de/dokument/medizinische-forschung-und-datenschutz</w:t>
        </w:r>
      </w:hyperlink>
      <w:r>
        <w:t xml:space="preserve"> bzw. </w:t>
      </w:r>
      <w:r w:rsidRPr="005F5895">
        <w:t>pdf-Datei</w:t>
      </w:r>
      <w:r>
        <w:t xml:space="preserve"> unter </w:t>
      </w:r>
      <w:hyperlink r:id="rId27" w:history="1">
        <w:r w:rsidRPr="005F5895">
          <w:rPr>
            <w:rStyle w:val="Hyperlink"/>
          </w:rPr>
          <w:t>https://www.netzwerk-datenschutzexpertise.de/sites/default/files/2023_stn_gdng.pdf</w:t>
        </w:r>
      </w:hyperlink>
    </w:p>
  </w:footnote>
  <w:footnote w:id="35">
    <w:p w14:paraId="2E91E4BE" w14:textId="77777777" w:rsidR="000835B4" w:rsidRDefault="000835B4" w:rsidP="000835B4">
      <w:pPr>
        <w:pStyle w:val="Funotentext"/>
      </w:pPr>
      <w:r>
        <w:rPr>
          <w:rStyle w:val="Funotenzeichen"/>
        </w:rPr>
        <w:footnoteRef/>
      </w:r>
      <w:r>
        <w:t xml:space="preserve"> </w:t>
      </w:r>
      <w:r w:rsidRPr="000835B4">
        <w:t>Wissenschaftliche Dienste Deutscher Bundestag</w:t>
      </w:r>
      <w:r>
        <w:t xml:space="preserve">. (2019) </w:t>
      </w:r>
      <w:r w:rsidRPr="000835B4">
        <w:t>Gesetzgebungskompetenzen im Bereich des Krankenhausrechts</w:t>
      </w:r>
      <w:r>
        <w:t xml:space="preserve">. </w:t>
      </w:r>
      <w:r w:rsidRPr="000835B4">
        <w:t>Online, zitiert am 202</w:t>
      </w:r>
      <w:r>
        <w:t>4</w:t>
      </w:r>
      <w:r w:rsidRPr="000835B4">
        <w:t>-0</w:t>
      </w:r>
      <w:r>
        <w:t>3</w:t>
      </w:r>
      <w:r w:rsidRPr="000835B4">
        <w:t>-2</w:t>
      </w:r>
      <w:r>
        <w:t>1</w:t>
      </w:r>
      <w:r w:rsidRPr="000835B4">
        <w:t>; verfügbar unter</w:t>
      </w:r>
      <w:r>
        <w:t xml:space="preserve"> </w:t>
      </w:r>
      <w:hyperlink r:id="rId28" w:history="1">
        <w:r w:rsidRPr="005F5895">
          <w:rPr>
            <w:rStyle w:val="Hyperlink"/>
          </w:rPr>
          <w:t>https://www.bundestag.de/resource/blob/648488/7920b181e85756ccdedff0334a18145b/WD-3-094-19-pdf-data.pdf</w:t>
        </w:r>
      </w:hyperlink>
    </w:p>
  </w:footnote>
  <w:footnote w:id="36">
    <w:p w14:paraId="2E01291D" w14:textId="77777777" w:rsidR="000835B4" w:rsidRDefault="000835B4" w:rsidP="000835B4">
      <w:pPr>
        <w:pStyle w:val="Funotentext"/>
      </w:pPr>
      <w:r>
        <w:rPr>
          <w:rStyle w:val="Funotenzeichen"/>
        </w:rPr>
        <w:footnoteRef/>
      </w:r>
      <w:r>
        <w:t xml:space="preserve"> </w:t>
      </w:r>
      <w:r w:rsidRPr="000835B4">
        <w:t>Wissenschaftliche Dienste Deutscher Bundestag</w:t>
      </w:r>
      <w:r>
        <w:t xml:space="preserve">. (2022) </w:t>
      </w:r>
      <w:r w:rsidRPr="000835B4">
        <w:t>Verfassungsrechtlicher Rahmen für die Regelung der stationären medizinischen Versorgung</w:t>
      </w:r>
      <w:r>
        <w:t xml:space="preserve">. </w:t>
      </w:r>
      <w:r w:rsidRPr="000835B4">
        <w:t>Online, zitiert am 202</w:t>
      </w:r>
      <w:r>
        <w:t>4</w:t>
      </w:r>
      <w:r w:rsidRPr="000835B4">
        <w:t>-0</w:t>
      </w:r>
      <w:r>
        <w:t>3</w:t>
      </w:r>
      <w:r w:rsidRPr="000835B4">
        <w:t>-2</w:t>
      </w:r>
      <w:r>
        <w:t>1</w:t>
      </w:r>
      <w:r w:rsidRPr="000835B4">
        <w:t>; verfügbar unter</w:t>
      </w:r>
      <w:r>
        <w:t xml:space="preserve"> </w:t>
      </w:r>
      <w:hyperlink r:id="rId29" w:history="1">
        <w:r w:rsidRPr="005F5895">
          <w:rPr>
            <w:rStyle w:val="Hyperlink"/>
          </w:rPr>
          <w:t>https://www.bundestag.de/resource/blob/899852/e48e78cfe536ee972862bab82b8618e9/WD-3-054-22-pdf-data.pdf</w:t>
        </w:r>
      </w:hyperlink>
    </w:p>
  </w:footnote>
  <w:footnote w:id="37">
    <w:p w14:paraId="7D92FA13" w14:textId="77777777" w:rsidR="000835B4" w:rsidRDefault="000835B4" w:rsidP="000835B4">
      <w:pPr>
        <w:pStyle w:val="Funotentext"/>
      </w:pPr>
      <w:r>
        <w:rPr>
          <w:rStyle w:val="Funotenzeichen"/>
        </w:rPr>
        <w:footnoteRef/>
      </w:r>
      <w:r>
        <w:t xml:space="preserve"> </w:t>
      </w:r>
      <w:r w:rsidRPr="000835B4">
        <w:t>Wissenschaftliche Dienste Deutscher Bundestag</w:t>
      </w:r>
      <w:r>
        <w:t xml:space="preserve">. (2019) </w:t>
      </w:r>
      <w:r w:rsidRPr="000835B4">
        <w:t xml:space="preserve">Zur Frage der Gesetzgebungskompetenz des Bundes für den </w:t>
      </w:r>
      <w:r w:rsidRPr="005F5895">
        <w:t>Öffentlichen</w:t>
      </w:r>
      <w:r w:rsidRPr="000835B4">
        <w:t xml:space="preserve"> Gesundheitsdienst</w:t>
      </w:r>
      <w:r>
        <w:t xml:space="preserve">. </w:t>
      </w:r>
      <w:r w:rsidRPr="000835B4">
        <w:t>Online, zitiert am 202</w:t>
      </w:r>
      <w:r>
        <w:t>4</w:t>
      </w:r>
      <w:r w:rsidRPr="000835B4">
        <w:t>-0</w:t>
      </w:r>
      <w:r>
        <w:t>3</w:t>
      </w:r>
      <w:r w:rsidRPr="000835B4">
        <w:t>-2</w:t>
      </w:r>
      <w:r>
        <w:t>1</w:t>
      </w:r>
      <w:r w:rsidRPr="000835B4">
        <w:t>; verfügbar unter</w:t>
      </w:r>
      <w:r>
        <w:t xml:space="preserve"> </w:t>
      </w:r>
      <w:hyperlink r:id="rId30" w:history="1">
        <w:r w:rsidRPr="005F5895">
          <w:rPr>
            <w:rStyle w:val="Hyperlink"/>
          </w:rPr>
          <w:t>https://www.bundestag.de/resource/blob/657236/c82ba2db1cd763e2f46439828d73c4e0/WD-9-043-19-pdf-data.pdf</w:t>
        </w:r>
      </w:hyperlink>
    </w:p>
  </w:footnote>
  <w:footnote w:id="38">
    <w:p w14:paraId="318FC85C" w14:textId="222FEF95" w:rsidR="000835B4" w:rsidRDefault="000835B4">
      <w:pPr>
        <w:pStyle w:val="Funotentext"/>
      </w:pPr>
      <w:r>
        <w:rPr>
          <w:rStyle w:val="Funotenzeichen"/>
        </w:rPr>
        <w:footnoteRef/>
      </w:r>
      <w:r>
        <w:t xml:space="preserve"> </w:t>
      </w:r>
      <w:r w:rsidRPr="000835B4">
        <w:t>Wollenschläger</w:t>
      </w:r>
      <w:r>
        <w:t xml:space="preserve"> F. (2023) </w:t>
      </w:r>
      <w:r w:rsidRPr="000835B4">
        <w:t>Verfassungskonformität der Reform der Krankenhausplanung auf der Basis der dritten Stellungnahme und Empfehlung der Regierungskommission für eine moderne und bedarfsgerechte Krankenhausversorgung „Grundlegende Reform der Krankenhausvergütung“</w:t>
      </w:r>
      <w:r>
        <w:t xml:space="preserve">. </w:t>
      </w:r>
      <w:r w:rsidRPr="000835B4">
        <w:t>Online, zitiert am 202</w:t>
      </w:r>
      <w:r>
        <w:t>4</w:t>
      </w:r>
      <w:r w:rsidRPr="000835B4">
        <w:t>-0</w:t>
      </w:r>
      <w:r>
        <w:t>3</w:t>
      </w:r>
      <w:r w:rsidRPr="000835B4">
        <w:t>-2</w:t>
      </w:r>
      <w:r>
        <w:t>1</w:t>
      </w:r>
      <w:r w:rsidRPr="000835B4">
        <w:t>; verfügbar unter</w:t>
      </w:r>
      <w:r>
        <w:t xml:space="preserve"> </w:t>
      </w:r>
      <w:hyperlink r:id="rId31" w:history="1">
        <w:r w:rsidRPr="005F5895">
          <w:rPr>
            <w:rStyle w:val="Hyperlink"/>
          </w:rPr>
          <w:t>https://www.stmgp.bayern.de/wp-content/uploads/2023/04/gutachten_verfassungskonformitaet_krankenhausplanung.pdf</w:t>
        </w:r>
      </w:hyperlink>
    </w:p>
  </w:footnote>
  <w:footnote w:id="39">
    <w:p w14:paraId="78D82A3F" w14:textId="641D2F3D" w:rsidR="008402ED" w:rsidRDefault="008402ED">
      <w:pPr>
        <w:pStyle w:val="Funotentext"/>
      </w:pPr>
      <w:r>
        <w:rPr>
          <w:rStyle w:val="Funotenzeichen"/>
        </w:rPr>
        <w:footnoteRef/>
      </w:r>
      <w:r>
        <w:t xml:space="preserve"> </w:t>
      </w:r>
      <w:r w:rsidRPr="008402ED">
        <w:t xml:space="preserve"> </w:t>
      </w:r>
      <w:r w:rsidRPr="005F5895">
        <w:t>Oeter</w:t>
      </w:r>
      <w:r>
        <w:t xml:space="preserve"> S, </w:t>
      </w:r>
      <w:r w:rsidRPr="005F5895">
        <w:t>Münkler</w:t>
      </w:r>
      <w:r>
        <w:t xml:space="preserve"> l.: </w:t>
      </w:r>
      <w:r w:rsidR="005F5895">
        <w:t>Art. </w:t>
      </w:r>
      <w:r>
        <w:t xml:space="preserve">74, Rn. 140. In: </w:t>
      </w:r>
      <w:r w:rsidRPr="008402ED">
        <w:t>Huber/</w:t>
      </w:r>
      <w:r w:rsidRPr="005F5895">
        <w:t>Voßkuhle</w:t>
      </w:r>
      <w:r>
        <w:t xml:space="preserve"> (Hrsg.)</w:t>
      </w:r>
      <w:r w:rsidRPr="008402ED">
        <w:t xml:space="preserve"> Grundgesetz</w:t>
      </w:r>
      <w:r>
        <w:t xml:space="preserve">, Band 2. C. H. Beck Verlag, </w:t>
      </w:r>
      <w:r w:rsidRPr="008402ED">
        <w:t>8. Auflage 2024</w:t>
      </w:r>
      <w:r>
        <w:t xml:space="preserve">. </w:t>
      </w:r>
      <w:r w:rsidRPr="008402ED">
        <w:t>ISBN 978-3-406-79230-4</w:t>
      </w:r>
    </w:p>
  </w:footnote>
  <w:footnote w:id="40">
    <w:p w14:paraId="0D2A6AD4" w14:textId="77777777" w:rsidR="00823FB3" w:rsidRDefault="00823FB3" w:rsidP="00823FB3">
      <w:pPr>
        <w:pStyle w:val="Funotentext"/>
      </w:pPr>
      <w:r>
        <w:rPr>
          <w:rStyle w:val="Funotenzeichen"/>
        </w:rPr>
        <w:footnoteRef/>
      </w:r>
      <w:r>
        <w:t xml:space="preserve"> Siehe</w:t>
      </w:r>
    </w:p>
    <w:p w14:paraId="13E7946D" w14:textId="49FE5CBA" w:rsidR="00823FB3" w:rsidRDefault="00823FB3" w:rsidP="00823FB3">
      <w:pPr>
        <w:pStyle w:val="Funotentext"/>
        <w:numPr>
          <w:ilvl w:val="0"/>
          <w:numId w:val="20"/>
        </w:numPr>
      </w:pPr>
      <w:r w:rsidRPr="000835B4">
        <w:t>Wissenschaftliche Dienste Deutscher Bundestag</w:t>
      </w:r>
      <w:r>
        <w:t xml:space="preserve">. (2022) </w:t>
      </w:r>
      <w:r w:rsidRPr="000835B4">
        <w:t>Verfassungsrechtlicher Rahmen für die Regelung der stationären medizinischen Versorgung</w:t>
      </w:r>
      <w:r>
        <w:t xml:space="preserve">, Seite 3. </w:t>
      </w:r>
      <w:r w:rsidRPr="000835B4">
        <w:t>Online, zitiert am 202</w:t>
      </w:r>
      <w:r>
        <w:t>4</w:t>
      </w:r>
      <w:r w:rsidRPr="000835B4">
        <w:t>-0</w:t>
      </w:r>
      <w:r>
        <w:t>3</w:t>
      </w:r>
      <w:r w:rsidRPr="000835B4">
        <w:t>-2</w:t>
      </w:r>
      <w:r>
        <w:t>1</w:t>
      </w:r>
      <w:r w:rsidRPr="000835B4">
        <w:t>; verfügbar unter</w:t>
      </w:r>
      <w:r>
        <w:t xml:space="preserve"> </w:t>
      </w:r>
      <w:hyperlink r:id="rId32" w:history="1">
        <w:r w:rsidRPr="005F5895">
          <w:rPr>
            <w:rStyle w:val="Hyperlink"/>
          </w:rPr>
          <w:t>https://www.bundestag.de/resource/blob/899852/e48e78cfe536ee972862bab82b8618e9/WD-3-054-22-pdf-data.pdf</w:t>
        </w:r>
      </w:hyperlink>
    </w:p>
    <w:p w14:paraId="56C2CECA" w14:textId="39ADB3B1" w:rsidR="00823FB3" w:rsidRDefault="00823FB3" w:rsidP="00823FB3">
      <w:pPr>
        <w:pStyle w:val="Funotentext"/>
        <w:numPr>
          <w:ilvl w:val="0"/>
          <w:numId w:val="20"/>
        </w:numPr>
      </w:pPr>
      <w:r w:rsidRPr="00823FB3">
        <w:t>Wissenschaftliche Dienste Deutscher Bundestag. (2019) Gesetzgebungskompetenzen im Bereich des Krankenhausrechts</w:t>
      </w:r>
      <w:r>
        <w:t>; Seite 3</w:t>
      </w:r>
      <w:r w:rsidRPr="00823FB3">
        <w:t xml:space="preserve">. Online, zitiert am 2024-03-21; verfügbar unter </w:t>
      </w:r>
      <w:hyperlink r:id="rId33" w:history="1">
        <w:r w:rsidR="000E339C" w:rsidRPr="005F5895">
          <w:rPr>
            <w:rStyle w:val="Hyperlink"/>
          </w:rPr>
          <w:t>https://www.bundestag.de/resource/blob/648488/7920b181e85756ccdedff0334a18145b/WD-3-094-19-pdf-data.pdf</w:t>
        </w:r>
      </w:hyperlink>
    </w:p>
    <w:p w14:paraId="4F5BF451" w14:textId="37730143" w:rsidR="00823FB3" w:rsidRDefault="00823FB3" w:rsidP="00823FB3">
      <w:pPr>
        <w:pStyle w:val="Funotentext"/>
        <w:numPr>
          <w:ilvl w:val="0"/>
          <w:numId w:val="20"/>
        </w:numPr>
      </w:pPr>
      <w:r w:rsidRPr="000835B4">
        <w:t>Wollenschläger</w:t>
      </w:r>
      <w:r>
        <w:t xml:space="preserve">, Seite 16/17. </w:t>
      </w:r>
      <w:r w:rsidRPr="000835B4">
        <w:t>Online, zitiert am 202</w:t>
      </w:r>
      <w:r>
        <w:t>4</w:t>
      </w:r>
      <w:r w:rsidRPr="000835B4">
        <w:t>-0</w:t>
      </w:r>
      <w:r>
        <w:t>3</w:t>
      </w:r>
      <w:r w:rsidRPr="000835B4">
        <w:t>-</w:t>
      </w:r>
      <w:r>
        <w:t>31</w:t>
      </w:r>
      <w:r w:rsidRPr="000835B4">
        <w:t>; verfügbar unter</w:t>
      </w:r>
      <w:r>
        <w:t xml:space="preserve"> </w:t>
      </w:r>
      <w:hyperlink r:id="rId34" w:history="1">
        <w:r w:rsidRPr="005F5895">
          <w:rPr>
            <w:rStyle w:val="Hyperlink"/>
          </w:rPr>
          <w:t>https://www.stmgp.bayern.de/wp-content/uploads/2023/04/gutachten_verfassungskonformitaet_krankenhausplanung.pdf</w:t>
        </w:r>
      </w:hyperlink>
    </w:p>
  </w:footnote>
  <w:footnote w:id="41">
    <w:p w14:paraId="77AB87BF" w14:textId="3C2CCF69" w:rsidR="009B0491" w:rsidRDefault="009B0491">
      <w:pPr>
        <w:pStyle w:val="Funotentext"/>
      </w:pPr>
      <w:r>
        <w:rPr>
          <w:rStyle w:val="Funotenzeichen"/>
        </w:rPr>
        <w:footnoteRef/>
      </w:r>
      <w:r>
        <w:t xml:space="preserve"> </w:t>
      </w:r>
      <w:r w:rsidRPr="009B0491">
        <w:t>Wollenschläger</w:t>
      </w:r>
      <w:r>
        <w:t xml:space="preserve"> F, </w:t>
      </w:r>
      <w:r w:rsidRPr="005F5895">
        <w:t>Schmidl</w:t>
      </w:r>
      <w:r>
        <w:t xml:space="preserve"> A. (2016) </w:t>
      </w:r>
      <w:r w:rsidRPr="005F5895">
        <w:t>Kompetentielle</w:t>
      </w:r>
      <w:r w:rsidRPr="009B0491">
        <w:t xml:space="preserve"> Grundfragen des Krankenhausstrukturgesetzes: das neue Qualitätsziel in der Krankenhausplanung</w:t>
      </w:r>
      <w:r>
        <w:t xml:space="preserve">. </w:t>
      </w:r>
      <w:r w:rsidRPr="005F5895">
        <w:t>GesR</w:t>
      </w:r>
      <w:r>
        <w:t xml:space="preserve">: </w:t>
      </w:r>
      <w:r w:rsidRPr="009B0491">
        <w:t>542-550</w:t>
      </w:r>
      <w:r>
        <w:t xml:space="preserve"> (545)</w:t>
      </w:r>
    </w:p>
  </w:footnote>
  <w:footnote w:id="42">
    <w:p w14:paraId="0B4CBB88" w14:textId="78ECB476" w:rsidR="009B0491" w:rsidRDefault="009B0491">
      <w:pPr>
        <w:pStyle w:val="Funotentext"/>
      </w:pPr>
      <w:r>
        <w:rPr>
          <w:rStyle w:val="Funotenzeichen"/>
        </w:rPr>
        <w:footnoteRef/>
      </w:r>
      <w:r>
        <w:t xml:space="preserve"> </w:t>
      </w:r>
      <w:r w:rsidRPr="009B0491">
        <w:t>Halbe</w:t>
      </w:r>
      <w:r>
        <w:t xml:space="preserve"> B, </w:t>
      </w:r>
      <w:r w:rsidRPr="005F5895">
        <w:t>Orlowski</w:t>
      </w:r>
      <w:r>
        <w:t xml:space="preserve"> U.: </w:t>
      </w:r>
      <w:r w:rsidR="005F5895">
        <w:t>§ </w:t>
      </w:r>
      <w:r w:rsidRPr="005F5895">
        <w:t>13Krankenhausrecht</w:t>
      </w:r>
      <w:r>
        <w:t xml:space="preserve">, Rn. 19. In: </w:t>
      </w:r>
      <w:r w:rsidRPr="005F5895">
        <w:t>Clausen</w:t>
      </w:r>
      <w:r w:rsidRPr="009B0491">
        <w:t>/</w:t>
      </w:r>
      <w:r w:rsidRPr="005F5895">
        <w:t>Schroeder-Printzen</w:t>
      </w:r>
      <w:r>
        <w:t xml:space="preserve"> (Hrsg.) </w:t>
      </w:r>
      <w:r w:rsidRPr="009B0491">
        <w:t>Münchener Anwaltshandbuch Medizinrecht</w:t>
      </w:r>
      <w:r>
        <w:t xml:space="preserve">. C. h. Beck Verlag, </w:t>
      </w:r>
      <w:r w:rsidRPr="009B0491">
        <w:t>3. Auflage 2020</w:t>
      </w:r>
      <w:r>
        <w:t xml:space="preserve">. ISBN: </w:t>
      </w:r>
      <w:r w:rsidRPr="009B0491">
        <w:t>978-3-406-72937-9</w:t>
      </w:r>
    </w:p>
  </w:footnote>
  <w:footnote w:id="43">
    <w:p w14:paraId="5BB272B3" w14:textId="507D80ED" w:rsidR="00823FB3" w:rsidRDefault="00823FB3">
      <w:pPr>
        <w:pStyle w:val="Funotentext"/>
      </w:pPr>
      <w:r>
        <w:rPr>
          <w:rStyle w:val="Funotenzeichen"/>
        </w:rPr>
        <w:footnoteRef/>
      </w:r>
      <w:r>
        <w:t xml:space="preserve"> </w:t>
      </w:r>
      <w:r w:rsidRPr="005F5895">
        <w:t>B</w:t>
      </w:r>
      <w:r w:rsidR="008362B2">
        <w:t>V</w:t>
      </w:r>
      <w:r w:rsidRPr="005F5895">
        <w:t>erfG</w:t>
      </w:r>
      <w:r>
        <w:t>, Urt. v. 1991-02-07, Az. </w:t>
      </w:r>
      <w:r w:rsidRPr="00823FB3">
        <w:t xml:space="preserve">2 </w:t>
      </w:r>
      <w:r w:rsidRPr="005F5895">
        <w:t>BvL</w:t>
      </w:r>
      <w:r w:rsidRPr="00823FB3">
        <w:t xml:space="preserve"> 24/84</w:t>
      </w:r>
      <w:r>
        <w:t xml:space="preserve">, Rn. 72. </w:t>
      </w:r>
      <w:r w:rsidRPr="000835B4">
        <w:t>Online, zitiert am 202</w:t>
      </w:r>
      <w:r>
        <w:t>4</w:t>
      </w:r>
      <w:r w:rsidRPr="000835B4">
        <w:t>-0</w:t>
      </w:r>
      <w:r>
        <w:t>3</w:t>
      </w:r>
      <w:r w:rsidRPr="000835B4">
        <w:t>-</w:t>
      </w:r>
      <w:r>
        <w:t>31</w:t>
      </w:r>
      <w:r w:rsidRPr="000835B4">
        <w:t>; verfügbar unter</w:t>
      </w:r>
      <w:r>
        <w:t xml:space="preserve"> </w:t>
      </w:r>
      <w:hyperlink r:id="rId35" w:history="1">
        <w:r w:rsidRPr="00BA785C">
          <w:rPr>
            <w:rStyle w:val="Hyperlink"/>
          </w:rPr>
          <w:t>https://dejure.org/1991</w:t>
        </w:r>
        <w:r w:rsidRPr="005F5895">
          <w:rPr>
            <w:rStyle w:val="Hyperlink"/>
          </w:rPr>
          <w:t>,41</w:t>
        </w:r>
      </w:hyperlink>
      <w:r>
        <w:rPr>
          <w:rStyle w:val="copytoclipboard"/>
        </w:rPr>
        <w:t xml:space="preserve">, Volltext unter </w:t>
      </w:r>
      <w:hyperlink r:id="rId36" w:history="1">
        <w:r w:rsidRPr="00BA785C">
          <w:rPr>
            <w:rStyle w:val="Hyperlink"/>
          </w:rPr>
          <w:t>https://openjur.de/u/176784</w:t>
        </w:r>
        <w:r w:rsidRPr="005F5895">
          <w:rPr>
            <w:rStyle w:val="Hyperlink"/>
          </w:rPr>
          <w:t>.html</w:t>
        </w:r>
      </w:hyperlink>
    </w:p>
  </w:footnote>
  <w:footnote w:id="44">
    <w:p w14:paraId="0493C4D9" w14:textId="18B1A9E1" w:rsidR="009B0491" w:rsidRDefault="009B0491">
      <w:pPr>
        <w:pStyle w:val="Funotentext"/>
      </w:pPr>
      <w:r>
        <w:rPr>
          <w:rStyle w:val="Funotenzeichen"/>
        </w:rPr>
        <w:footnoteRef/>
      </w:r>
      <w:r>
        <w:t xml:space="preserve"> </w:t>
      </w:r>
      <w:r w:rsidRPr="000835B4">
        <w:t>Wissenschaftliche Dienste Deutscher Bundestag</w:t>
      </w:r>
      <w:r>
        <w:t xml:space="preserve">. (2022) </w:t>
      </w:r>
      <w:r w:rsidRPr="000835B4">
        <w:t>Verfassungsrechtlicher Rahmen für die Regelung der stationären medizinischen Versorgung</w:t>
      </w:r>
      <w:r>
        <w:t xml:space="preserve">, Seite 4. </w:t>
      </w:r>
      <w:r w:rsidRPr="000835B4">
        <w:t>Online, zitiert am 202</w:t>
      </w:r>
      <w:r>
        <w:t>4</w:t>
      </w:r>
      <w:r w:rsidRPr="000835B4">
        <w:t>-0</w:t>
      </w:r>
      <w:r>
        <w:t>3</w:t>
      </w:r>
      <w:r w:rsidRPr="000835B4">
        <w:t>-2</w:t>
      </w:r>
      <w:r>
        <w:t>1</w:t>
      </w:r>
      <w:r w:rsidRPr="000835B4">
        <w:t>; verfügbar unter</w:t>
      </w:r>
      <w:r>
        <w:t xml:space="preserve"> </w:t>
      </w:r>
      <w:hyperlink r:id="rId37" w:history="1">
        <w:r w:rsidRPr="005F5895">
          <w:rPr>
            <w:rStyle w:val="Hyperlink"/>
          </w:rPr>
          <w:t>https://www.bundestag.de/resource/blob/899852/e48e78cfe536ee972862bab82b8618e9/WD-3-054-22-pdf-data.pdf</w:t>
        </w:r>
      </w:hyperlink>
    </w:p>
  </w:footnote>
  <w:footnote w:id="45">
    <w:p w14:paraId="05512C5A" w14:textId="6F7D2619" w:rsidR="008402ED" w:rsidRDefault="008402ED">
      <w:pPr>
        <w:pStyle w:val="Funotentext"/>
      </w:pPr>
      <w:r>
        <w:rPr>
          <w:rStyle w:val="Funotenzeichen"/>
        </w:rPr>
        <w:footnoteRef/>
      </w:r>
      <w:r>
        <w:t xml:space="preserve"> </w:t>
      </w:r>
      <w:r w:rsidRPr="005F5895">
        <w:t>Oeter</w:t>
      </w:r>
      <w:r>
        <w:t xml:space="preserve"> S, </w:t>
      </w:r>
      <w:r w:rsidRPr="005F5895">
        <w:t>Münkler</w:t>
      </w:r>
      <w:r>
        <w:t xml:space="preserve"> l.: </w:t>
      </w:r>
      <w:r w:rsidR="005F5895">
        <w:t>Art. </w:t>
      </w:r>
      <w:r>
        <w:t xml:space="preserve">74, Rn. 142. In: </w:t>
      </w:r>
      <w:r w:rsidRPr="008402ED">
        <w:t>Huber/</w:t>
      </w:r>
      <w:r w:rsidRPr="005F5895">
        <w:t>Voßkuhle</w:t>
      </w:r>
      <w:r>
        <w:t xml:space="preserve"> (Hrsg.)</w:t>
      </w:r>
      <w:r w:rsidRPr="008402ED">
        <w:t xml:space="preserve"> Grundgesetz</w:t>
      </w:r>
      <w:r>
        <w:t xml:space="preserve">, Band 2. C. H. Beck Verlag, </w:t>
      </w:r>
      <w:r w:rsidRPr="008402ED">
        <w:t>8. Auflage 2024</w:t>
      </w:r>
      <w:r>
        <w:t xml:space="preserve">. </w:t>
      </w:r>
      <w:r w:rsidRPr="008402ED">
        <w:t>ISBN 978-3-406-79230-4</w:t>
      </w:r>
    </w:p>
  </w:footnote>
  <w:footnote w:id="46">
    <w:p w14:paraId="6A7CD32A" w14:textId="1CE2E0BD" w:rsidR="000E339C" w:rsidRDefault="000E339C">
      <w:pPr>
        <w:pStyle w:val="Funotentext"/>
      </w:pPr>
      <w:r>
        <w:rPr>
          <w:rStyle w:val="Funotenzeichen"/>
        </w:rPr>
        <w:footnoteRef/>
      </w:r>
      <w:r>
        <w:t xml:space="preserve"> </w:t>
      </w:r>
      <w:r w:rsidRPr="000E339C">
        <w:t xml:space="preserve">BVerfG, </w:t>
      </w:r>
      <w:r>
        <w:t>Urt. v. 1993-05-</w:t>
      </w:r>
      <w:r w:rsidRPr="000E339C">
        <w:t>28</w:t>
      </w:r>
      <w:r>
        <w:t xml:space="preserve">, Az. </w:t>
      </w:r>
      <w:r w:rsidRPr="000E339C">
        <w:t xml:space="preserve">2 </w:t>
      </w:r>
      <w:r w:rsidRPr="005F5895">
        <w:t>BvF</w:t>
      </w:r>
      <w:r w:rsidRPr="000E339C">
        <w:t xml:space="preserve"> 2/90, 2 </w:t>
      </w:r>
      <w:r w:rsidRPr="005F5895">
        <w:t>BvF</w:t>
      </w:r>
      <w:r w:rsidRPr="000E339C">
        <w:t xml:space="preserve"> 4/90, 2 </w:t>
      </w:r>
      <w:r w:rsidRPr="005F5895">
        <w:t>BvF</w:t>
      </w:r>
      <w:r w:rsidRPr="000E339C">
        <w:t xml:space="preserve"> 5/92</w:t>
      </w:r>
      <w:r>
        <w:t xml:space="preserve">. </w:t>
      </w:r>
      <w:r w:rsidRPr="000835B4">
        <w:t>Online, zitiert am 202</w:t>
      </w:r>
      <w:r>
        <w:t>4</w:t>
      </w:r>
      <w:r w:rsidRPr="000835B4">
        <w:t>-0</w:t>
      </w:r>
      <w:r>
        <w:t>3</w:t>
      </w:r>
      <w:r w:rsidRPr="000835B4">
        <w:t>-</w:t>
      </w:r>
      <w:r>
        <w:t>31</w:t>
      </w:r>
      <w:r w:rsidRPr="000835B4">
        <w:t>; verfügbar unter</w:t>
      </w:r>
      <w:r>
        <w:t xml:space="preserve"> </w:t>
      </w:r>
      <w:hyperlink r:id="rId38" w:history="1">
        <w:r w:rsidRPr="001446EF">
          <w:rPr>
            <w:rStyle w:val="Hyperlink"/>
          </w:rPr>
          <w:t>https://dejure</w:t>
        </w:r>
      </w:hyperlink>
      <w:r w:rsidRPr="000E339C">
        <w:t>.org/1993</w:t>
      </w:r>
      <w:r w:rsidRPr="005F5895">
        <w:t>,2</w:t>
      </w:r>
    </w:p>
  </w:footnote>
  <w:footnote w:id="47">
    <w:p w14:paraId="059B0A37" w14:textId="475F6DE7" w:rsidR="000E339C" w:rsidRDefault="000E339C">
      <w:pPr>
        <w:pStyle w:val="Funotentext"/>
      </w:pPr>
      <w:r>
        <w:rPr>
          <w:rStyle w:val="Funotenzeichen"/>
        </w:rPr>
        <w:footnoteRef/>
      </w:r>
      <w:r>
        <w:t xml:space="preserve"> </w:t>
      </w:r>
      <w:r w:rsidRPr="000E339C">
        <w:t xml:space="preserve">Wissenschaftliche Dienste Deutscher Bundestag. (2019) Zur Frage der Gesetzgebungskompetenz des Bundes für den </w:t>
      </w:r>
      <w:r w:rsidRPr="005F5895">
        <w:t>Öffentlichen</w:t>
      </w:r>
      <w:r w:rsidRPr="000E339C">
        <w:t xml:space="preserve"> Gesundheitsdienst</w:t>
      </w:r>
      <w:r>
        <w:t xml:space="preserve">, S. 8. </w:t>
      </w:r>
      <w:r w:rsidRPr="000E339C">
        <w:t xml:space="preserve">Online, zitiert am 2024-03-21; verfügbar unter </w:t>
      </w:r>
      <w:r w:rsidRPr="005F5895">
        <w:t>https://www.bundestag.de/resource/blob/657236/c82ba2db1cd763e2f46439828d73c4e0/WD-9-043-19-pdf-data.pdf</w:t>
      </w:r>
    </w:p>
  </w:footnote>
  <w:footnote w:id="48">
    <w:p w14:paraId="4B6F12BD" w14:textId="033F9C08" w:rsidR="002C71AF" w:rsidRDefault="002C71AF" w:rsidP="002C71AF">
      <w:pPr>
        <w:pStyle w:val="Funotentext"/>
      </w:pPr>
      <w:r>
        <w:rPr>
          <w:rStyle w:val="Funotenzeichen"/>
        </w:rPr>
        <w:footnoteRef/>
      </w:r>
      <w:r>
        <w:t xml:space="preserve"> </w:t>
      </w:r>
      <w:r w:rsidRPr="005F5895">
        <w:t>Ratzel</w:t>
      </w:r>
      <w:r>
        <w:t xml:space="preserve"> R, Lippert </w:t>
      </w:r>
      <w:r w:rsidRPr="005F5895">
        <w:t>H._D</w:t>
      </w:r>
      <w:r>
        <w:t xml:space="preserve">., </w:t>
      </w:r>
      <w:r w:rsidRPr="005F5895">
        <w:t>Prütting</w:t>
      </w:r>
      <w:r>
        <w:t xml:space="preserve"> J.: </w:t>
      </w:r>
      <w:r w:rsidR="005F5895">
        <w:t>§ </w:t>
      </w:r>
      <w:r>
        <w:t xml:space="preserve">9, Rn. 6. Kommentar zur (Muster-)Berufsordnung für die in Deutschland tätigen Ärztinnen und Ärzte – MBO-Ä 1997. Springer Verlag, 8. Auflage, 2022. </w:t>
      </w:r>
      <w:r w:rsidRPr="002C71AF">
        <w:t xml:space="preserve">ISBN </w:t>
      </w:r>
      <w:r w:rsidRPr="005F5895">
        <w:t>978-3-662-64723-</w:t>
      </w:r>
      <w:r w:rsidR="00936A4E" w:rsidRPr="005F5895">
        <w:t>3</w:t>
      </w:r>
    </w:p>
  </w:footnote>
  <w:footnote w:id="49">
    <w:p w14:paraId="26EC484E" w14:textId="63810CC5" w:rsidR="00936A4E" w:rsidRDefault="00936A4E">
      <w:pPr>
        <w:pStyle w:val="Funotentext"/>
      </w:pPr>
      <w:r>
        <w:rPr>
          <w:rStyle w:val="Funotenzeichen"/>
        </w:rPr>
        <w:footnoteRef/>
      </w:r>
      <w:r>
        <w:t xml:space="preserve"> </w:t>
      </w:r>
      <w:r w:rsidRPr="005F5895">
        <w:t>Ratzel</w:t>
      </w:r>
      <w:r>
        <w:t xml:space="preserve"> R, Lippert </w:t>
      </w:r>
      <w:r w:rsidRPr="005F5895">
        <w:t>H._D</w:t>
      </w:r>
      <w:r>
        <w:t xml:space="preserve">., </w:t>
      </w:r>
      <w:r w:rsidRPr="005F5895">
        <w:t>Prütting</w:t>
      </w:r>
      <w:r>
        <w:t xml:space="preserve"> J.: </w:t>
      </w:r>
      <w:r w:rsidR="005F5895">
        <w:t>§ </w:t>
      </w:r>
      <w:r>
        <w:t xml:space="preserve">9, Rn. 52. Kommentar zur (Muster-)Berufsordnung für die in Deutschland tätigen Ärztinnen und Ärzte – MBO-Ä 1997. Springer Verlag, 8. Auflage, 2022. </w:t>
      </w:r>
      <w:r w:rsidRPr="002C71AF">
        <w:t xml:space="preserve">ISBN </w:t>
      </w:r>
      <w:r w:rsidRPr="005F5895">
        <w:t>978-3-662-64723-3</w:t>
      </w:r>
    </w:p>
  </w:footnote>
  <w:footnote w:id="50">
    <w:p w14:paraId="7984360A" w14:textId="33A6BF81" w:rsidR="00410D8B" w:rsidRDefault="00410D8B" w:rsidP="00410D8B">
      <w:pPr>
        <w:pStyle w:val="Funotentext"/>
      </w:pPr>
      <w:r>
        <w:rPr>
          <w:rStyle w:val="Funotenzeichen"/>
        </w:rPr>
        <w:footnoteRef/>
      </w:r>
      <w:r>
        <w:t xml:space="preserve"> </w:t>
      </w:r>
      <w:r w:rsidRPr="00410D8B">
        <w:t xml:space="preserve">BVerfG, </w:t>
      </w:r>
      <w:r>
        <w:t>Urt. v. 19*83-12-</w:t>
      </w:r>
      <w:r w:rsidRPr="00410D8B">
        <w:t>1983</w:t>
      </w:r>
      <w:r>
        <w:t xml:space="preserve">, Az.  1 </w:t>
      </w:r>
      <w:r w:rsidRPr="005F5895">
        <w:t>BvR</w:t>
      </w:r>
      <w:r>
        <w:t xml:space="preserve"> 209/83, 1 </w:t>
      </w:r>
      <w:r w:rsidRPr="005F5895">
        <w:t>BvR</w:t>
      </w:r>
      <w:r>
        <w:t xml:space="preserve"> 269/83, 1 </w:t>
      </w:r>
      <w:r w:rsidRPr="005F5895">
        <w:t>BvR</w:t>
      </w:r>
      <w:r>
        <w:t xml:space="preserve"> 362/83, 1 </w:t>
      </w:r>
      <w:r w:rsidRPr="005F5895">
        <w:t>BvR</w:t>
      </w:r>
      <w:r>
        <w:t xml:space="preserve"> 420/83, 1 </w:t>
      </w:r>
      <w:r w:rsidRPr="005F5895">
        <w:t>BvR</w:t>
      </w:r>
      <w:r>
        <w:t xml:space="preserve"> 440/83, 1 </w:t>
      </w:r>
      <w:r w:rsidRPr="005F5895">
        <w:t>BvR</w:t>
      </w:r>
      <w:r>
        <w:t xml:space="preserve"> 484/83.</w:t>
      </w:r>
      <w:r w:rsidRPr="00410D8B">
        <w:t xml:space="preserve"> </w:t>
      </w:r>
      <w:r w:rsidRPr="000835B4">
        <w:t>Online, zitiert am 202</w:t>
      </w:r>
      <w:r>
        <w:t>4</w:t>
      </w:r>
      <w:r w:rsidRPr="000835B4">
        <w:t>-0</w:t>
      </w:r>
      <w:r>
        <w:t>4</w:t>
      </w:r>
      <w:r w:rsidRPr="000835B4">
        <w:t>-</w:t>
      </w:r>
      <w:r>
        <w:t>07</w:t>
      </w:r>
      <w:r w:rsidRPr="000835B4">
        <w:t>; verfügbar unter</w:t>
      </w:r>
      <w:r>
        <w:t xml:space="preserve"> </w:t>
      </w:r>
      <w:hyperlink r:id="rId39" w:history="1">
        <w:r>
          <w:rPr>
            <w:rStyle w:val="Hyperlink"/>
          </w:rPr>
          <w:t xml:space="preserve">https://www.bundesverfassungsgericht.de/ </w:t>
        </w:r>
        <w:r w:rsidRPr="005F5895">
          <w:rPr>
            <w:rStyle w:val="Hyperlink"/>
          </w:rPr>
          <w:t>SharedDocs</w:t>
        </w:r>
        <w:r>
          <w:rPr>
            <w:rStyle w:val="Hyperlink"/>
          </w:rPr>
          <w:t>/Entscheidungen/DE/1983/12/</w:t>
        </w:r>
        <w:r w:rsidRPr="005F5895">
          <w:rPr>
            <w:rStyle w:val="Hyperlink"/>
          </w:rPr>
          <w:t>rs19831215_1bvr020983.html</w:t>
        </w:r>
      </w:hyperlink>
    </w:p>
  </w:footnote>
  <w:footnote w:id="51">
    <w:p w14:paraId="66B9236D" w14:textId="4A136DF9" w:rsidR="00F446CC" w:rsidRDefault="00F446CC">
      <w:pPr>
        <w:pStyle w:val="Funotentext"/>
      </w:pPr>
      <w:r>
        <w:rPr>
          <w:rStyle w:val="Funotenzeichen"/>
        </w:rPr>
        <w:footnoteRef/>
      </w:r>
      <w:r>
        <w:t xml:space="preserve"> </w:t>
      </w:r>
      <w:r w:rsidRPr="00F446CC">
        <w:t xml:space="preserve">BVerfG, </w:t>
      </w:r>
      <w:r>
        <w:t>Urt. v. 1973-05-</w:t>
      </w:r>
      <w:r w:rsidRPr="00F446CC">
        <w:t>29</w:t>
      </w:r>
      <w:r>
        <w:t xml:space="preserve">, Az. </w:t>
      </w:r>
      <w:r w:rsidRPr="00F446CC">
        <w:t xml:space="preserve">1 </w:t>
      </w:r>
      <w:r w:rsidRPr="005F5895">
        <w:t>BvR</w:t>
      </w:r>
      <w:r w:rsidRPr="00F446CC">
        <w:t xml:space="preserve"> 424/71, 1 </w:t>
      </w:r>
      <w:r w:rsidRPr="005F5895">
        <w:t>BvR</w:t>
      </w:r>
      <w:r w:rsidRPr="00F446CC">
        <w:t xml:space="preserve"> 325/72</w:t>
      </w:r>
      <w:r>
        <w:t xml:space="preserve">, Rn. 113. </w:t>
      </w:r>
      <w:r w:rsidRPr="000835B4">
        <w:t>Online, zitiert am 202</w:t>
      </w:r>
      <w:r>
        <w:t>4</w:t>
      </w:r>
      <w:r w:rsidRPr="000835B4">
        <w:t>-0</w:t>
      </w:r>
      <w:r>
        <w:t>3</w:t>
      </w:r>
      <w:r w:rsidRPr="000835B4">
        <w:t>-</w:t>
      </w:r>
      <w:r>
        <w:t>31</w:t>
      </w:r>
      <w:r w:rsidRPr="000835B4">
        <w:t>; verfügbar unter</w:t>
      </w:r>
      <w:r>
        <w:t xml:space="preserve"> </w:t>
      </w:r>
      <w:hyperlink r:id="rId40" w:history="1">
        <w:r w:rsidRPr="00873E85">
          <w:rPr>
            <w:rStyle w:val="Hyperlink"/>
          </w:rPr>
          <w:t>https://dejure.org/1973</w:t>
        </w:r>
        <w:r w:rsidRPr="005F5895">
          <w:rPr>
            <w:rStyle w:val="Hyperlink"/>
          </w:rPr>
          <w:t>,10</w:t>
        </w:r>
      </w:hyperlink>
    </w:p>
  </w:footnote>
  <w:footnote w:id="52">
    <w:p w14:paraId="00D66CCA" w14:textId="326B1734" w:rsidR="004139AA" w:rsidRDefault="004139AA">
      <w:pPr>
        <w:pStyle w:val="Funotentext"/>
      </w:pPr>
      <w:r>
        <w:rPr>
          <w:rStyle w:val="Funotenzeichen"/>
        </w:rPr>
        <w:footnoteRef/>
      </w:r>
      <w:r>
        <w:t xml:space="preserve"> </w:t>
      </w:r>
      <w:r w:rsidRPr="005F5895">
        <w:t>Oeter</w:t>
      </w:r>
      <w:r>
        <w:t xml:space="preserve"> S, </w:t>
      </w:r>
      <w:r w:rsidRPr="005F5895">
        <w:t>Münkler</w:t>
      </w:r>
      <w:r>
        <w:t xml:space="preserve"> l.: </w:t>
      </w:r>
      <w:r w:rsidR="005F5895">
        <w:t>Art. </w:t>
      </w:r>
      <w:r>
        <w:t xml:space="preserve">74, Rn. 109. In: </w:t>
      </w:r>
      <w:r w:rsidRPr="008402ED">
        <w:t>Huber/</w:t>
      </w:r>
      <w:r w:rsidRPr="005F5895">
        <w:t>Voßkuhle</w:t>
      </w:r>
      <w:r>
        <w:t xml:space="preserve"> (Hrsg.)</w:t>
      </w:r>
      <w:r w:rsidRPr="008402ED">
        <w:t xml:space="preserve"> Grundgesetz</w:t>
      </w:r>
      <w:r>
        <w:t xml:space="preserve">, Band 2. C. H. Beck Verlag, </w:t>
      </w:r>
      <w:r w:rsidRPr="008402ED">
        <w:t>8. Auflage 2024</w:t>
      </w:r>
      <w:r>
        <w:t xml:space="preserve">. </w:t>
      </w:r>
      <w:r w:rsidRPr="008402ED">
        <w:t>ISBN 978-3-406-79230-4</w:t>
      </w:r>
    </w:p>
  </w:footnote>
  <w:footnote w:id="53">
    <w:p w14:paraId="6AA7CCAC" w14:textId="0565C12B" w:rsidR="00A34CDF" w:rsidRDefault="00A34CDF" w:rsidP="00A34CDF">
      <w:pPr>
        <w:pStyle w:val="Funotentext"/>
      </w:pPr>
      <w:r>
        <w:rPr>
          <w:rStyle w:val="Funotenzeichen"/>
        </w:rPr>
        <w:footnoteRef/>
      </w:r>
      <w:r>
        <w:t xml:space="preserve"> </w:t>
      </w:r>
      <w:r w:rsidRPr="005F5895">
        <w:t>Jarass</w:t>
      </w:r>
      <w:r>
        <w:t xml:space="preserve"> HD: </w:t>
      </w:r>
      <w:r w:rsidR="005F5895">
        <w:t>Art. </w:t>
      </w:r>
      <w:r w:rsidRPr="00A34CDF">
        <w:t>140/</w:t>
      </w:r>
      <w:r w:rsidR="005F5895">
        <w:t>Art. </w:t>
      </w:r>
      <w:r w:rsidRPr="00A34CDF">
        <w:t xml:space="preserve">137 </w:t>
      </w:r>
      <w:r w:rsidRPr="005F5895">
        <w:t>WRV</w:t>
      </w:r>
      <w:r>
        <w:t xml:space="preserve">, Rn. 8. In: </w:t>
      </w:r>
      <w:r w:rsidRPr="005F5895">
        <w:t>Jarass</w:t>
      </w:r>
      <w:r>
        <w:t xml:space="preserve">/Pieroth, Grundgesetz für die Bundesrepublik Deutschland. C. H. Beck Verlag, 18. Auflage 2024. </w:t>
      </w:r>
      <w:r w:rsidRPr="00A34CDF">
        <w:t>ISBN 978-3-406-81527-0</w:t>
      </w:r>
    </w:p>
  </w:footnote>
  <w:footnote w:id="54">
    <w:p w14:paraId="700A6C60" w14:textId="4D2B2D87" w:rsidR="00A34CDF" w:rsidRDefault="00A34CDF">
      <w:pPr>
        <w:pStyle w:val="Funotentext"/>
      </w:pPr>
      <w:r>
        <w:rPr>
          <w:rStyle w:val="Funotenzeichen"/>
        </w:rPr>
        <w:footnoteRef/>
      </w:r>
      <w:r>
        <w:t xml:space="preserve"> </w:t>
      </w:r>
      <w:r w:rsidRPr="00A34CDF">
        <w:t xml:space="preserve">BVerfG, </w:t>
      </w:r>
      <w:r>
        <w:t>Urt. v. 1985-06-04, Az.</w:t>
      </w:r>
      <w:r w:rsidRPr="00A34CDF">
        <w:t xml:space="preserve"> 2 </w:t>
      </w:r>
      <w:r w:rsidRPr="005F5895">
        <w:t>BvR</w:t>
      </w:r>
      <w:r w:rsidRPr="00A34CDF">
        <w:t xml:space="preserve"> 1703/83, 2 </w:t>
      </w:r>
      <w:r w:rsidRPr="005F5895">
        <w:t>BvR</w:t>
      </w:r>
      <w:r w:rsidRPr="00A34CDF">
        <w:t xml:space="preserve"> 1718/83, 2 </w:t>
      </w:r>
      <w:r w:rsidRPr="005F5895">
        <w:t>BvR</w:t>
      </w:r>
      <w:r w:rsidRPr="00A34CDF">
        <w:t xml:space="preserve"> 856/84</w:t>
      </w:r>
      <w:r>
        <w:t xml:space="preserve">. </w:t>
      </w:r>
      <w:r w:rsidRPr="000835B4">
        <w:t>Online, zitiert am 202</w:t>
      </w:r>
      <w:r>
        <w:t>4</w:t>
      </w:r>
      <w:r w:rsidRPr="000835B4">
        <w:t>-0</w:t>
      </w:r>
      <w:r>
        <w:t>4</w:t>
      </w:r>
      <w:r w:rsidRPr="000835B4">
        <w:t>-</w:t>
      </w:r>
      <w:r>
        <w:t>13</w:t>
      </w:r>
      <w:r w:rsidRPr="000835B4">
        <w:t>; verfügbar unter</w:t>
      </w:r>
      <w:r>
        <w:t xml:space="preserve"> </w:t>
      </w:r>
      <w:r w:rsidRPr="00A34CDF">
        <w:t>https://dejure.org/1985</w:t>
      </w:r>
      <w:r w:rsidRPr="005F5895">
        <w:t>,13</w:t>
      </w:r>
    </w:p>
  </w:footnote>
  <w:footnote w:id="55">
    <w:p w14:paraId="68D963A4" w14:textId="2B553C43" w:rsidR="00A34CDF" w:rsidRDefault="00A34CDF">
      <w:pPr>
        <w:pStyle w:val="Funotentext"/>
      </w:pPr>
      <w:r>
        <w:rPr>
          <w:rStyle w:val="Funotenzeichen"/>
        </w:rPr>
        <w:footnoteRef/>
      </w:r>
      <w:r>
        <w:t xml:space="preserve"> </w:t>
      </w:r>
      <w:r w:rsidRPr="00A34CDF">
        <w:t xml:space="preserve">BVerfG, </w:t>
      </w:r>
      <w:r>
        <w:t>Urt. v. 1986-05-</w:t>
      </w:r>
      <w:r w:rsidRPr="00A34CDF">
        <w:t>14</w:t>
      </w:r>
      <w:r>
        <w:t>, Az. </w:t>
      </w:r>
      <w:r w:rsidRPr="00A34CDF">
        <w:t xml:space="preserve">2 </w:t>
      </w:r>
      <w:r w:rsidRPr="005F5895">
        <w:t>BvL</w:t>
      </w:r>
      <w:r w:rsidRPr="00A34CDF">
        <w:t xml:space="preserve"> 19/84</w:t>
      </w:r>
      <w:r>
        <w:t xml:space="preserve">. </w:t>
      </w:r>
      <w:r w:rsidRPr="000835B4">
        <w:t>Online, zitiert am 202</w:t>
      </w:r>
      <w:r>
        <w:t>4</w:t>
      </w:r>
      <w:r w:rsidRPr="000835B4">
        <w:t>-0</w:t>
      </w:r>
      <w:r>
        <w:t>4</w:t>
      </w:r>
      <w:r w:rsidRPr="000835B4">
        <w:t>-</w:t>
      </w:r>
      <w:r>
        <w:t>13</w:t>
      </w:r>
      <w:r w:rsidRPr="000835B4">
        <w:t>; verfügbar unter</w:t>
      </w:r>
      <w:r>
        <w:t xml:space="preserve"> </w:t>
      </w:r>
      <w:hyperlink r:id="rId41" w:history="1">
        <w:r w:rsidRPr="003F2866">
          <w:rPr>
            <w:rStyle w:val="Hyperlink"/>
          </w:rPr>
          <w:t>https://dejure.org/1986</w:t>
        </w:r>
        <w:r w:rsidRPr="005F5895">
          <w:rPr>
            <w:rStyle w:val="Hyperlink"/>
          </w:rPr>
          <w:t>,346</w:t>
        </w:r>
      </w:hyperlink>
    </w:p>
  </w:footnote>
  <w:footnote w:id="56">
    <w:p w14:paraId="047F4A38" w14:textId="3E34CA2F" w:rsidR="00A34CDF" w:rsidRDefault="00A34CDF">
      <w:pPr>
        <w:pStyle w:val="Funotentext"/>
      </w:pPr>
      <w:r>
        <w:rPr>
          <w:rStyle w:val="Funotenzeichen"/>
        </w:rPr>
        <w:footnoteRef/>
      </w:r>
      <w:r>
        <w:t xml:space="preserve"> </w:t>
      </w:r>
      <w:r w:rsidRPr="00A34CDF">
        <w:t xml:space="preserve">BVerfG, </w:t>
      </w:r>
      <w:r>
        <w:t>Urt. v. 1977-10-</w:t>
      </w:r>
      <w:r w:rsidRPr="00A34CDF">
        <w:t>11</w:t>
      </w:r>
      <w:r>
        <w:t>, Az.</w:t>
      </w:r>
      <w:r w:rsidRPr="00A34CDF">
        <w:t xml:space="preserve"> 1 </w:t>
      </w:r>
      <w:r w:rsidRPr="005F5895">
        <w:t>BvR</w:t>
      </w:r>
      <w:r w:rsidRPr="00A34CDF">
        <w:t xml:space="preserve"> 96/77</w:t>
      </w:r>
      <w:r>
        <w:t>.</w:t>
      </w:r>
      <w:r w:rsidRPr="00A34CDF">
        <w:t xml:space="preserve"> </w:t>
      </w:r>
      <w:r w:rsidRPr="000835B4">
        <w:t>Online, zitiert am 202</w:t>
      </w:r>
      <w:r>
        <w:t>4</w:t>
      </w:r>
      <w:r w:rsidRPr="000835B4">
        <w:t>-0</w:t>
      </w:r>
      <w:r>
        <w:t>4</w:t>
      </w:r>
      <w:r w:rsidRPr="000835B4">
        <w:t>-</w:t>
      </w:r>
      <w:r>
        <w:t>13</w:t>
      </w:r>
      <w:r w:rsidRPr="000835B4">
        <w:t>; verfügbar unter</w:t>
      </w:r>
      <w:r>
        <w:t xml:space="preserve"> </w:t>
      </w:r>
      <w:hyperlink r:id="rId42" w:history="1">
        <w:r w:rsidRPr="003F2866">
          <w:rPr>
            <w:rStyle w:val="Hyperlink"/>
          </w:rPr>
          <w:t>https://dejure.org/1977</w:t>
        </w:r>
        <w:r w:rsidRPr="005F5895">
          <w:rPr>
            <w:rStyle w:val="Hyperlink"/>
          </w:rPr>
          <w:t>,797</w:t>
        </w:r>
      </w:hyperlink>
    </w:p>
  </w:footnote>
  <w:footnote w:id="57">
    <w:p w14:paraId="7BF79ADB" w14:textId="2E7285F4" w:rsidR="00A34CDF" w:rsidRDefault="00A34CDF">
      <w:pPr>
        <w:pStyle w:val="Funotentext"/>
      </w:pPr>
      <w:r>
        <w:rPr>
          <w:rStyle w:val="Funotenzeichen"/>
        </w:rPr>
        <w:footnoteRef/>
      </w:r>
      <w:r>
        <w:t xml:space="preserve"> </w:t>
      </w:r>
      <w:r w:rsidRPr="00A34CDF">
        <w:t xml:space="preserve">BVerfG, </w:t>
      </w:r>
      <w:r>
        <w:t>Urt. v. 1971-01-</w:t>
      </w:r>
      <w:r w:rsidRPr="00A34CDF">
        <w:t>23</w:t>
      </w:r>
      <w:r>
        <w:t>, Az. </w:t>
      </w:r>
      <w:r w:rsidRPr="00A34CDF">
        <w:t xml:space="preserve">2 </w:t>
      </w:r>
      <w:r w:rsidRPr="005F5895">
        <w:t>BvR</w:t>
      </w:r>
      <w:r w:rsidRPr="00A34CDF">
        <w:t xml:space="preserve"> 59/71</w:t>
      </w:r>
      <w:r>
        <w:t>.</w:t>
      </w:r>
      <w:r w:rsidRPr="00A34CDF">
        <w:t xml:space="preserve"> </w:t>
      </w:r>
      <w:r w:rsidRPr="000835B4">
        <w:t>Online, zitiert am 202</w:t>
      </w:r>
      <w:r>
        <w:t>4</w:t>
      </w:r>
      <w:r w:rsidRPr="000835B4">
        <w:t>-0</w:t>
      </w:r>
      <w:r>
        <w:t>4</w:t>
      </w:r>
      <w:r w:rsidRPr="000835B4">
        <w:t>-</w:t>
      </w:r>
      <w:r>
        <w:t>13</w:t>
      </w:r>
      <w:r w:rsidRPr="000835B4">
        <w:t>; verfügbar unter</w:t>
      </w:r>
      <w:r>
        <w:t xml:space="preserve"> </w:t>
      </w:r>
      <w:hyperlink r:id="rId43" w:history="1">
        <w:r w:rsidRPr="003F2866">
          <w:rPr>
            <w:rStyle w:val="Hyperlink"/>
          </w:rPr>
          <w:t>https://dejure.org/1971</w:t>
        </w:r>
        <w:r w:rsidRPr="005F5895">
          <w:rPr>
            <w:rStyle w:val="Hyperlink"/>
          </w:rPr>
          <w:t>,73</w:t>
        </w:r>
      </w:hyperlink>
    </w:p>
  </w:footnote>
  <w:footnote w:id="58">
    <w:p w14:paraId="5267CEA9" w14:textId="3311086E" w:rsidR="00A34CDF" w:rsidRDefault="00A34CDF" w:rsidP="00A34CDF">
      <w:pPr>
        <w:pStyle w:val="Funotentext"/>
      </w:pPr>
      <w:r>
        <w:rPr>
          <w:rStyle w:val="Funotenzeichen"/>
        </w:rPr>
        <w:footnoteRef/>
      </w:r>
      <w:r>
        <w:t xml:space="preserve"> </w:t>
      </w:r>
      <w:r w:rsidRPr="005F5895">
        <w:t>Jarass</w:t>
      </w:r>
      <w:r>
        <w:t xml:space="preserve"> HD: </w:t>
      </w:r>
      <w:r w:rsidR="005F5895">
        <w:t>Art. </w:t>
      </w:r>
      <w:r w:rsidRPr="00A34CDF">
        <w:t>140/</w:t>
      </w:r>
      <w:r w:rsidR="005F5895">
        <w:t>Art. </w:t>
      </w:r>
      <w:r w:rsidRPr="00A34CDF">
        <w:t xml:space="preserve">137 </w:t>
      </w:r>
      <w:r w:rsidRPr="005F5895">
        <w:t>WRV</w:t>
      </w:r>
      <w:r>
        <w:t xml:space="preserve">, Rn. 6. In: </w:t>
      </w:r>
      <w:r w:rsidRPr="005F5895">
        <w:t>Jarass</w:t>
      </w:r>
      <w:r>
        <w:t xml:space="preserve">/Pieroth, Grundgesetz für die Bundesrepublik Deutschland. C. H. Beck Verlag, 18. Auflage 2024. </w:t>
      </w:r>
      <w:r w:rsidRPr="00A34CDF">
        <w:t>ISBN 978-3-406-81527-0</w:t>
      </w:r>
    </w:p>
  </w:footnote>
  <w:footnote w:id="59">
    <w:p w14:paraId="7EC4BB4A" w14:textId="64B908BF" w:rsidR="00A34CDF" w:rsidRDefault="00A34CDF">
      <w:pPr>
        <w:pStyle w:val="Funotentext"/>
      </w:pPr>
      <w:r>
        <w:rPr>
          <w:rStyle w:val="Funotenzeichen"/>
        </w:rPr>
        <w:footnoteRef/>
      </w:r>
      <w:r>
        <w:t xml:space="preserve"> </w:t>
      </w:r>
      <w:r w:rsidRPr="00A34CDF">
        <w:t xml:space="preserve">BVerfG, </w:t>
      </w:r>
      <w:r>
        <w:t>Urt. v. 1983-12-</w:t>
      </w:r>
      <w:r w:rsidRPr="00A34CDF">
        <w:t>13</w:t>
      </w:r>
      <w:r>
        <w:t>, Az. </w:t>
      </w:r>
      <w:r w:rsidRPr="00A34CDF">
        <w:t xml:space="preserve">2 </w:t>
      </w:r>
      <w:r w:rsidRPr="005F5895">
        <w:t>BvL</w:t>
      </w:r>
      <w:r w:rsidRPr="00A34CDF">
        <w:t xml:space="preserve"> 13/82, 2 </w:t>
      </w:r>
      <w:r w:rsidRPr="005F5895">
        <w:t>BvL</w:t>
      </w:r>
      <w:r w:rsidRPr="00A34CDF">
        <w:t xml:space="preserve"> 14/82, 2 </w:t>
      </w:r>
      <w:r w:rsidRPr="005F5895">
        <w:t>BvL</w:t>
      </w:r>
      <w:r w:rsidRPr="00A34CDF">
        <w:t xml:space="preserve"> 15/82</w:t>
      </w:r>
      <w:r>
        <w:t>, Rn. 63: „</w:t>
      </w:r>
      <w:r w:rsidRPr="00A34CDF">
        <w:t>Zu den ' für alle geltenden Gesetzen ' können nur solche rechnen, die für die Kirche dieselbe Bedeutung haben wie für jedermann</w:t>
      </w:r>
      <w:r>
        <w:t>“.</w:t>
      </w:r>
      <w:r w:rsidRPr="00A34CDF">
        <w:t xml:space="preserve"> </w:t>
      </w:r>
      <w:r w:rsidRPr="000835B4">
        <w:t>Online, zitiert am 202</w:t>
      </w:r>
      <w:r>
        <w:t>4</w:t>
      </w:r>
      <w:r w:rsidRPr="000835B4">
        <w:t>-0</w:t>
      </w:r>
      <w:r>
        <w:t>4</w:t>
      </w:r>
      <w:r w:rsidRPr="000835B4">
        <w:t>-</w:t>
      </w:r>
      <w:r>
        <w:t>13</w:t>
      </w:r>
      <w:r w:rsidRPr="000835B4">
        <w:t>; verfügbar unter</w:t>
      </w:r>
      <w:r>
        <w:t xml:space="preserve"> </w:t>
      </w:r>
      <w:hyperlink r:id="rId44" w:history="1">
        <w:r w:rsidRPr="003F2866">
          <w:rPr>
            <w:rStyle w:val="Hyperlink"/>
          </w:rPr>
          <w:t>https://openjur.de/u/193654</w:t>
        </w:r>
        <w:r w:rsidRPr="005F5895">
          <w:rPr>
            <w:rStyle w:val="Hyperlink"/>
          </w:rPr>
          <w:t>.html</w:t>
        </w:r>
      </w:hyperlink>
    </w:p>
  </w:footnote>
  <w:footnote w:id="60">
    <w:p w14:paraId="3EFABBAC" w14:textId="15302001" w:rsidR="00A34CDF" w:rsidRDefault="00A34CDF">
      <w:pPr>
        <w:pStyle w:val="Funotentext"/>
      </w:pPr>
      <w:r>
        <w:rPr>
          <w:rStyle w:val="Funotenzeichen"/>
        </w:rPr>
        <w:footnoteRef/>
      </w:r>
      <w:r>
        <w:t xml:space="preserve"> </w:t>
      </w:r>
      <w:r w:rsidRPr="00A34CDF">
        <w:t xml:space="preserve">BVerfG, </w:t>
      </w:r>
      <w:r>
        <w:t>Urt. v. 1980-03-</w:t>
      </w:r>
      <w:r w:rsidRPr="00A34CDF">
        <w:t>25</w:t>
      </w:r>
      <w:r>
        <w:t>, Az. </w:t>
      </w:r>
      <w:r w:rsidRPr="00A34CDF">
        <w:t xml:space="preserve">2 </w:t>
      </w:r>
      <w:r w:rsidRPr="005F5895">
        <w:t>BvR</w:t>
      </w:r>
      <w:r w:rsidRPr="00A34CDF">
        <w:t xml:space="preserve"> 208/76</w:t>
      </w:r>
      <w:r>
        <w:t xml:space="preserve">. </w:t>
      </w:r>
      <w:r w:rsidRPr="000835B4">
        <w:t>Online, zitiert am 202</w:t>
      </w:r>
      <w:r>
        <w:t>4</w:t>
      </w:r>
      <w:r w:rsidRPr="000835B4">
        <w:t>-0</w:t>
      </w:r>
      <w:r>
        <w:t>4</w:t>
      </w:r>
      <w:r w:rsidRPr="000835B4">
        <w:t>-</w:t>
      </w:r>
      <w:r>
        <w:t>13</w:t>
      </w:r>
      <w:r w:rsidRPr="000835B4">
        <w:t>; verfügbar unter</w:t>
      </w:r>
      <w:r>
        <w:t xml:space="preserve"> </w:t>
      </w:r>
      <w:hyperlink r:id="rId45" w:history="1">
        <w:r w:rsidRPr="003F2866">
          <w:rPr>
            <w:rStyle w:val="Hyperlink"/>
          </w:rPr>
          <w:t>https://dejure.org/1980</w:t>
        </w:r>
        <w:r w:rsidRPr="005F5895">
          <w:rPr>
            <w:rStyle w:val="Hyperlink"/>
          </w:rPr>
          <w:t>,16</w:t>
        </w:r>
      </w:hyperlink>
    </w:p>
  </w:footnote>
  <w:footnote w:id="61">
    <w:p w14:paraId="6781C002" w14:textId="44FE638C" w:rsidR="006E7E53" w:rsidRDefault="006E7E53">
      <w:pPr>
        <w:pStyle w:val="Funotentext"/>
      </w:pPr>
      <w:r>
        <w:rPr>
          <w:rStyle w:val="Funotenzeichen"/>
        </w:rPr>
        <w:footnoteRef/>
      </w:r>
      <w:r>
        <w:t xml:space="preserve"> </w:t>
      </w:r>
      <w:r w:rsidRPr="006E7E53">
        <w:t>Konsolidierte Fassung des Vertrags über die Arbeitsweise der Europäischen Union</w:t>
      </w:r>
      <w:r>
        <w:t xml:space="preserve">. </w:t>
      </w:r>
      <w:r w:rsidRPr="000835B4">
        <w:t>Online, zitiert am 202</w:t>
      </w:r>
      <w:r>
        <w:t>4</w:t>
      </w:r>
      <w:r w:rsidRPr="000835B4">
        <w:t>-0</w:t>
      </w:r>
      <w:r>
        <w:t>4</w:t>
      </w:r>
      <w:r w:rsidRPr="000835B4">
        <w:t>-</w:t>
      </w:r>
      <w:r>
        <w:t>13</w:t>
      </w:r>
      <w:r w:rsidRPr="000835B4">
        <w:t>; verfügbar unter</w:t>
      </w:r>
      <w:r>
        <w:t xml:space="preserve"> </w:t>
      </w:r>
      <w:hyperlink r:id="rId46" w:history="1">
        <w:r w:rsidRPr="005F5895">
          <w:rPr>
            <w:rStyle w:val="Hyperlink"/>
          </w:rPr>
          <w:t>https://eur-lex.europa.eu/legal-content/DE/TXT/?uri=CELEX:12012E/TXT</w:t>
        </w:r>
      </w:hyperlink>
    </w:p>
  </w:footnote>
  <w:footnote w:id="62">
    <w:p w14:paraId="3B2ECF47" w14:textId="5357CCC0" w:rsidR="00BA35BC" w:rsidRDefault="00BA35BC">
      <w:pPr>
        <w:pStyle w:val="Funotentext"/>
      </w:pPr>
      <w:r>
        <w:rPr>
          <w:rStyle w:val="Funotenzeichen"/>
        </w:rPr>
        <w:footnoteRef/>
      </w:r>
      <w:r>
        <w:t xml:space="preserve"> </w:t>
      </w:r>
      <w:r w:rsidRPr="00BA35BC">
        <w:t xml:space="preserve">EuGH, </w:t>
      </w:r>
      <w:r w:rsidR="00897A5A">
        <w:t>U</w:t>
      </w:r>
      <w:r>
        <w:t>rt. V. 2018-04-</w:t>
      </w:r>
      <w:r w:rsidRPr="00BA35BC">
        <w:t>17</w:t>
      </w:r>
      <w:r>
        <w:t>, Az. </w:t>
      </w:r>
      <w:r w:rsidRPr="00BA35BC">
        <w:t>C-414/16</w:t>
      </w:r>
      <w:r>
        <w:t xml:space="preserve">. Insbesondere Rn. </w:t>
      </w:r>
      <w:r w:rsidRPr="00BA35BC">
        <w:t>47, 53, 55</w:t>
      </w:r>
      <w:r>
        <w:t>, 58</w:t>
      </w:r>
      <w:r w:rsidR="00897A5A">
        <w:t xml:space="preserve">, </w:t>
      </w:r>
      <w:r w:rsidR="00897A5A" w:rsidRPr="00897A5A">
        <w:t>62, 63</w:t>
      </w:r>
      <w:r>
        <w:t xml:space="preserve">. </w:t>
      </w:r>
      <w:r w:rsidRPr="000835B4">
        <w:t>Online, zitiert am 202</w:t>
      </w:r>
      <w:r>
        <w:t>4</w:t>
      </w:r>
      <w:r w:rsidRPr="000835B4">
        <w:t>-0</w:t>
      </w:r>
      <w:r>
        <w:t>4</w:t>
      </w:r>
      <w:r w:rsidRPr="000835B4">
        <w:t>-</w:t>
      </w:r>
      <w:r>
        <w:t>14</w:t>
      </w:r>
      <w:r w:rsidRPr="000835B4">
        <w:t xml:space="preserve">; verfügbar </w:t>
      </w:r>
      <w:r w:rsidRPr="005F5895">
        <w:t xml:space="preserve">unter </w:t>
      </w:r>
      <w:r>
        <w:t xml:space="preserve"> </w:t>
      </w:r>
      <w:hyperlink r:id="rId47" w:history="1">
        <w:r w:rsidRPr="00550DC3">
          <w:rPr>
            <w:rStyle w:val="Hyperlink"/>
          </w:rPr>
          <w:t>https://dejure.org/2018</w:t>
        </w:r>
        <w:r w:rsidRPr="005F5895">
          <w:rPr>
            <w:rStyle w:val="Hyperlink"/>
          </w:rPr>
          <w:t>,8713</w:t>
        </w:r>
      </w:hyperlink>
      <w:r>
        <w:rPr>
          <w:rStyle w:val="copytoclipboard"/>
        </w:rPr>
        <w:t xml:space="preserve"> bzw. Urteil unter </w:t>
      </w:r>
      <w:hyperlink r:id="rId48" w:history="1">
        <w:r w:rsidRPr="005F5895">
          <w:rPr>
            <w:rStyle w:val="Hyperlink"/>
          </w:rPr>
          <w:t>https://eur-lex.europa.eu/legal-content/de/TXT/?uri=CELEX:62016CJ0414</w:t>
        </w:r>
      </w:hyperlink>
    </w:p>
  </w:footnote>
  <w:footnote w:id="63">
    <w:p w14:paraId="3BB203DD" w14:textId="1BA3C3A3" w:rsidR="00CD23A1" w:rsidRDefault="00CD23A1">
      <w:pPr>
        <w:pStyle w:val="Funotentext"/>
      </w:pPr>
      <w:r>
        <w:rPr>
          <w:rStyle w:val="Funotenzeichen"/>
        </w:rPr>
        <w:footnoteRef/>
      </w:r>
      <w:r>
        <w:t xml:space="preserve"> Bzgl. Datenschutzrecht gibt es noch keine Entscheidungen des EuGH, jedoch sind die Anmerkungen hinsichtlich des zu beachtenden europäischen Rechts in der </w:t>
      </w:r>
      <w:r w:rsidRPr="00CD23A1">
        <w:t>Rechtssache C-68/17</w:t>
      </w:r>
      <w:r>
        <w:t xml:space="preserve"> (Urt. v. 2018-09-11) in dieser Hinsicht hilfreich. </w:t>
      </w:r>
      <w:r w:rsidRPr="000835B4">
        <w:t>Online, zitiert am 202</w:t>
      </w:r>
      <w:r>
        <w:t>4</w:t>
      </w:r>
      <w:r w:rsidRPr="000835B4">
        <w:t>-0</w:t>
      </w:r>
      <w:r>
        <w:t>4</w:t>
      </w:r>
      <w:r w:rsidRPr="000835B4">
        <w:t>-</w:t>
      </w:r>
      <w:r>
        <w:t>13</w:t>
      </w:r>
      <w:r w:rsidRPr="000835B4">
        <w:t>; verfügbar unter</w:t>
      </w:r>
      <w:r>
        <w:t xml:space="preserve"> </w:t>
      </w:r>
      <w:hyperlink r:id="rId49" w:history="1">
        <w:r w:rsidRPr="005F5895">
          <w:rPr>
            <w:rStyle w:val="Hyperlink"/>
          </w:rPr>
          <w:t>https://eur-lex.europa.eu/legal-content/de/TXT/?uri=CELEX:62017CJ0068</w:t>
        </w:r>
      </w:hyperlink>
    </w:p>
  </w:footnote>
  <w:footnote w:id="64">
    <w:p w14:paraId="13FCF9F2" w14:textId="77777777" w:rsidR="004D4B26" w:rsidRDefault="00897A5A" w:rsidP="004D4B26">
      <w:pPr>
        <w:pStyle w:val="Funotentext"/>
      </w:pPr>
      <w:r>
        <w:rPr>
          <w:rStyle w:val="Funotenzeichen"/>
        </w:rPr>
        <w:footnoteRef/>
      </w:r>
      <w:r>
        <w:t xml:space="preserve"> </w:t>
      </w:r>
      <w:r w:rsidR="004D4B26">
        <w:t>So z. B. zu finden in:</w:t>
      </w:r>
    </w:p>
    <w:p w14:paraId="255F528F" w14:textId="6E5D330A" w:rsidR="00897A5A" w:rsidRDefault="00897A5A" w:rsidP="004D4B26">
      <w:pPr>
        <w:pStyle w:val="Funotentext"/>
        <w:numPr>
          <w:ilvl w:val="0"/>
          <w:numId w:val="20"/>
        </w:numPr>
        <w:ind w:left="567"/>
        <w:rPr>
          <w:rStyle w:val="copytoclipboard"/>
        </w:rPr>
      </w:pPr>
      <w:r w:rsidRPr="00BA35BC">
        <w:t xml:space="preserve">EuGH, </w:t>
      </w:r>
      <w:r>
        <w:t>Urt. V. 2018-04-</w:t>
      </w:r>
      <w:r w:rsidRPr="00BA35BC">
        <w:t>17</w:t>
      </w:r>
      <w:r>
        <w:t xml:space="preserve">, </w:t>
      </w:r>
      <w:r w:rsidR="004D4B26" w:rsidRPr="004D4B26">
        <w:t>Rechtssache</w:t>
      </w:r>
      <w:r>
        <w:t> </w:t>
      </w:r>
      <w:r w:rsidRPr="00BA35BC">
        <w:t>C-414/16</w:t>
      </w:r>
      <w:r w:rsidR="004D4B26">
        <w:t>,</w:t>
      </w:r>
      <w:r>
        <w:t xml:space="preserve"> Leitsatz 3. </w:t>
      </w:r>
      <w:r w:rsidRPr="000835B4">
        <w:t>Online, zitiert am 202</w:t>
      </w:r>
      <w:r>
        <w:t>4</w:t>
      </w:r>
      <w:r w:rsidRPr="000835B4">
        <w:t>-0</w:t>
      </w:r>
      <w:r>
        <w:t>4</w:t>
      </w:r>
      <w:r w:rsidRPr="000835B4">
        <w:t>-</w:t>
      </w:r>
      <w:r>
        <w:t>14</w:t>
      </w:r>
      <w:r w:rsidRPr="000835B4">
        <w:t xml:space="preserve">; verfügbar </w:t>
      </w:r>
      <w:r w:rsidRPr="005F5895">
        <w:t xml:space="preserve">unter </w:t>
      </w:r>
      <w:hyperlink r:id="rId50" w:history="1">
        <w:r w:rsidRPr="00897A5A">
          <w:rPr>
            <w:rStyle w:val="Hyperlink"/>
          </w:rPr>
          <w:t>https://eur-lex.europa.eu/legal-content/de/TXT/?uri=CELEX:62016CJ0414</w:t>
        </w:r>
      </w:hyperlink>
    </w:p>
    <w:p w14:paraId="67641CFE" w14:textId="084E906F" w:rsidR="004D4B26" w:rsidRDefault="004D4B26" w:rsidP="004D4B26">
      <w:pPr>
        <w:pStyle w:val="Funotentext"/>
        <w:numPr>
          <w:ilvl w:val="0"/>
          <w:numId w:val="20"/>
        </w:numPr>
        <w:ind w:left="567"/>
      </w:pPr>
      <w:r w:rsidRPr="004D4B26">
        <w:t xml:space="preserve">EuGH, </w:t>
      </w:r>
      <w:r>
        <w:t>Urt. v. 2018-09-</w:t>
      </w:r>
      <w:r w:rsidRPr="004D4B26">
        <w:t>11</w:t>
      </w:r>
      <w:r>
        <w:t xml:space="preserve">, </w:t>
      </w:r>
      <w:bookmarkStart w:id="144" w:name="_Hlk163971706"/>
      <w:r>
        <w:t xml:space="preserve">Rechtssache </w:t>
      </w:r>
      <w:bookmarkEnd w:id="144"/>
      <w:r w:rsidRPr="004D4B26">
        <w:t>C-68/17</w:t>
      </w:r>
      <w:r>
        <w:t xml:space="preserve">, Leitsatz 2. </w:t>
      </w:r>
      <w:r w:rsidRPr="000835B4">
        <w:t>Online, zitiert am 202</w:t>
      </w:r>
      <w:r>
        <w:t>4</w:t>
      </w:r>
      <w:r w:rsidRPr="000835B4">
        <w:t>-0</w:t>
      </w:r>
      <w:r>
        <w:t>4</w:t>
      </w:r>
      <w:r w:rsidRPr="000835B4">
        <w:t>-</w:t>
      </w:r>
      <w:r>
        <w:t>14</w:t>
      </w:r>
      <w:r w:rsidRPr="000835B4">
        <w:t xml:space="preserve">; verfügbar </w:t>
      </w:r>
      <w:r w:rsidRPr="00897A5A">
        <w:t xml:space="preserve">unter </w:t>
      </w:r>
      <w:hyperlink r:id="rId51" w:history="1">
        <w:r w:rsidRPr="005F5895">
          <w:rPr>
            <w:rStyle w:val="Hyperlink"/>
          </w:rPr>
          <w:t>https://eur-lex.europa.eu/legal-content/de/TXT/?uri=CELEX:62017CJ0068</w:t>
        </w:r>
      </w:hyperlink>
    </w:p>
  </w:footnote>
  <w:footnote w:id="65">
    <w:p w14:paraId="145B9443" w14:textId="2024FB4C" w:rsidR="001F65CB" w:rsidRDefault="001F65CB">
      <w:pPr>
        <w:pStyle w:val="Funotentext"/>
      </w:pPr>
      <w:r>
        <w:rPr>
          <w:rStyle w:val="Funotenzeichen"/>
        </w:rPr>
        <w:footnoteRef/>
      </w:r>
      <w:r>
        <w:t xml:space="preserve"> Zu </w:t>
      </w:r>
      <w:r w:rsidR="005F5895">
        <w:t>§ </w:t>
      </w:r>
      <w:r>
        <w:t xml:space="preserve">26 </w:t>
      </w:r>
      <w:r w:rsidR="005F5895">
        <w:t>Abs. </w:t>
      </w:r>
      <w:r>
        <w:t>4 BDSG ist anzumerken, dass der BAG dem EuGH am 8. Februar 2023 Fragen vorlegte, die letztlich auch eine Bewertung der Zulässigkeit von Betriebsvereinbarungen als Erlaubnistatbestand zur Verarbeitung personenbezogener Daten beinhaltet.</w:t>
      </w:r>
    </w:p>
    <w:p w14:paraId="532479B2" w14:textId="53705F8E" w:rsidR="001F65CB" w:rsidRDefault="001F65CB" w:rsidP="001F65CB">
      <w:pPr>
        <w:pStyle w:val="Funotentext"/>
        <w:numPr>
          <w:ilvl w:val="0"/>
          <w:numId w:val="20"/>
        </w:numPr>
        <w:ind w:left="426"/>
      </w:pPr>
      <w:r>
        <w:t xml:space="preserve">Vorlagefragen: </w:t>
      </w:r>
      <w:hyperlink r:id="rId52" w:history="1">
        <w:r w:rsidRPr="00166E42">
          <w:rPr>
            <w:rStyle w:val="Hyperlink"/>
          </w:rPr>
          <w:t>https://curia.europa.eu/juris/document/document.jsf?text=&amp;docid=273715&amp;pageIndex=0&amp;doclang=DE&amp;mode=req&amp;dir=&amp;occ=first&amp;part=1</w:t>
        </w:r>
      </w:hyperlink>
    </w:p>
    <w:p w14:paraId="06096B75" w14:textId="5263446E" w:rsidR="001F65CB" w:rsidRDefault="001F65CB" w:rsidP="001F65CB">
      <w:pPr>
        <w:pStyle w:val="Funotentext"/>
        <w:numPr>
          <w:ilvl w:val="0"/>
          <w:numId w:val="20"/>
        </w:numPr>
        <w:ind w:left="426"/>
      </w:pPr>
      <w:r>
        <w:t xml:space="preserve">Verfahrensdokumentation: </w:t>
      </w:r>
      <w:hyperlink r:id="rId53" w:history="1">
        <w:r w:rsidRPr="00166E42">
          <w:rPr>
            <w:rStyle w:val="Hyperlink"/>
          </w:rPr>
          <w:t>https://curia.europa.eu/juris/liste.jsf?oqp=&amp;for=&amp;mat=or&amp;jge=&amp;td=%3BALL&amp;jur=C%2CT%2CF&amp;num=C%2D65%2F23</w:t>
        </w:r>
      </w:hyperlink>
    </w:p>
  </w:footnote>
  <w:footnote w:id="66">
    <w:p w14:paraId="05F2902C" w14:textId="450939BF" w:rsidR="00594B31" w:rsidRDefault="00594B31">
      <w:pPr>
        <w:pStyle w:val="Funotentext"/>
      </w:pPr>
      <w:r>
        <w:rPr>
          <w:rStyle w:val="Funotenzeichen"/>
        </w:rPr>
        <w:footnoteRef/>
      </w:r>
      <w:r>
        <w:t xml:space="preserve"> </w:t>
      </w:r>
      <w:r w:rsidRPr="005F5895">
        <w:t>Z.B.</w:t>
      </w:r>
      <w:r>
        <w:t xml:space="preserve"> EuGH, Urt. v. </w:t>
      </w:r>
      <w:r w:rsidRPr="00594B31">
        <w:t>2023-03-30</w:t>
      </w:r>
      <w:r>
        <w:t xml:space="preserve">, Rechtssache </w:t>
      </w:r>
      <w:r w:rsidRPr="00594B31">
        <w:t>C-34/21</w:t>
      </w:r>
      <w:r>
        <w:t xml:space="preserve">: Hier wird </w:t>
      </w:r>
      <w:r w:rsidRPr="005F5895">
        <w:t>u.a.</w:t>
      </w:r>
      <w:r>
        <w:t xml:space="preserve"> die europäisch auszulegenden Begriffe „</w:t>
      </w:r>
      <w:r w:rsidRPr="00594B31">
        <w:t>Beschäftigte</w:t>
      </w:r>
      <w:r>
        <w:t xml:space="preserve">“ </w:t>
      </w:r>
      <w:r w:rsidRPr="00594B31">
        <w:t xml:space="preserve">und </w:t>
      </w:r>
      <w:r>
        <w:t>„</w:t>
      </w:r>
      <w:r w:rsidRPr="00594B31">
        <w:t>Beschäftigungskontext</w:t>
      </w:r>
      <w:r>
        <w:t xml:space="preserve">“ </w:t>
      </w:r>
      <w:r w:rsidRPr="005F5895">
        <w:t>besprochen</w:t>
      </w:r>
    </w:p>
  </w:footnote>
  <w:footnote w:id="67">
    <w:p w14:paraId="58DD3315" w14:textId="40E21C27" w:rsidR="0095479E" w:rsidRDefault="0095479E">
      <w:pPr>
        <w:pStyle w:val="Funotentext"/>
      </w:pPr>
      <w:r>
        <w:rPr>
          <w:rStyle w:val="Funotenzeichen"/>
        </w:rPr>
        <w:footnoteRef/>
      </w:r>
      <w:r>
        <w:t xml:space="preserve"> So z.B.</w:t>
      </w:r>
    </w:p>
    <w:p w14:paraId="2B18945D" w14:textId="5FB9AC82" w:rsidR="0095479E" w:rsidRDefault="0095479E">
      <w:pPr>
        <w:pStyle w:val="Funotentext"/>
      </w:pPr>
      <w:r>
        <w:t>Kommentarliteratur</w:t>
      </w:r>
    </w:p>
    <w:p w14:paraId="7B552F18" w14:textId="37403B81" w:rsidR="0095479E" w:rsidRDefault="0095479E" w:rsidP="0095479E">
      <w:pPr>
        <w:pStyle w:val="Funotentext"/>
        <w:numPr>
          <w:ilvl w:val="0"/>
          <w:numId w:val="20"/>
        </w:numPr>
      </w:pPr>
      <w:r w:rsidRPr="0095479E">
        <w:t>Greiner</w:t>
      </w:r>
      <w:r>
        <w:t xml:space="preserve"> S.: § 16 SGB IX, Rn. 12b bis 12f- In: </w:t>
      </w:r>
      <w:r w:rsidRPr="0095479E">
        <w:t>Neumann/Pahlen/Greiner/Winkler/Westphal/Krohne</w:t>
      </w:r>
      <w:r>
        <w:t xml:space="preserve"> (Hrsg.) </w:t>
      </w:r>
      <w:r w:rsidRPr="0095479E">
        <w:t>Sozialgesetzbuch IX: SGB IX</w:t>
      </w:r>
      <w:r>
        <w:t xml:space="preserve">. C. H. Beck Verlag, </w:t>
      </w:r>
      <w:r w:rsidRPr="0095479E">
        <w:t>15. Auflage 2024</w:t>
      </w:r>
      <w:r>
        <w:t xml:space="preserve">. </w:t>
      </w:r>
      <w:r w:rsidRPr="0095479E">
        <w:t>ISBN 978-3-406-79269-4</w:t>
      </w:r>
    </w:p>
    <w:p w14:paraId="086F3B73" w14:textId="2FCE49E8" w:rsidR="0095479E" w:rsidRDefault="0095479E" w:rsidP="0095479E">
      <w:pPr>
        <w:pStyle w:val="Funotentext"/>
        <w:numPr>
          <w:ilvl w:val="0"/>
          <w:numId w:val="20"/>
        </w:numPr>
      </w:pPr>
      <w:r>
        <w:t xml:space="preserve">Gutzeit M.: § 167 SGB IX, Rn. 6, 12. In: </w:t>
      </w:r>
      <w:r w:rsidRPr="0095479E">
        <w:t>Rolfs/Giesen/Meßling/Udsching</w:t>
      </w:r>
      <w:r>
        <w:t xml:space="preserve"> (Hrsg.) </w:t>
      </w:r>
      <w:r w:rsidRPr="0095479E">
        <w:t>BeckOK Sozialrecht,</w:t>
      </w:r>
      <w:r>
        <w:t xml:space="preserve"> </w:t>
      </w:r>
      <w:r w:rsidRPr="0095479E">
        <w:t>72. Edition</w:t>
      </w:r>
      <w:r>
        <w:t xml:space="preserve">. </w:t>
      </w:r>
      <w:r w:rsidRPr="0095479E">
        <w:t>Stand: 01.03.2022</w:t>
      </w:r>
    </w:p>
    <w:p w14:paraId="05CBE6F7" w14:textId="3640C0F8" w:rsidR="0095479E" w:rsidRDefault="0095479E" w:rsidP="0095479E">
      <w:pPr>
        <w:pStyle w:val="Funotentext"/>
        <w:numPr>
          <w:ilvl w:val="0"/>
          <w:numId w:val="20"/>
        </w:numPr>
      </w:pPr>
      <w:r w:rsidRPr="0095479E">
        <w:t>Kossens</w:t>
      </w:r>
      <w:r>
        <w:t xml:space="preserve"> M.: § 167 SGB IX, Rn. 29. In: </w:t>
      </w:r>
      <w:r w:rsidRPr="0095479E">
        <w:t>Kossens/von der Heide/Maaß</w:t>
      </w:r>
      <w:r>
        <w:t xml:space="preserve"> (Hrsg.)</w:t>
      </w:r>
      <w:r w:rsidRPr="0095479E">
        <w:t xml:space="preserve"> SGB IX Rehabilitation und Teilhabe von Menschen mit Behinderungen mit Behindertengleichstellungsgesetz</w:t>
      </w:r>
      <w:r>
        <w:t xml:space="preserve">. C. H. Beck Verlag, </w:t>
      </w:r>
      <w:r w:rsidRPr="0095479E">
        <w:t>5. Auflage. 2023</w:t>
      </w:r>
      <w:r>
        <w:t xml:space="preserve">. </w:t>
      </w:r>
      <w:r w:rsidRPr="0095479E">
        <w:t>ISBN 978-3-406-71436-8</w:t>
      </w:r>
    </w:p>
    <w:p w14:paraId="2F67A828" w14:textId="05486464" w:rsidR="0095479E" w:rsidRDefault="0095479E" w:rsidP="0095479E">
      <w:pPr>
        <w:pStyle w:val="Funotentext"/>
        <w:numPr>
          <w:ilvl w:val="0"/>
          <w:numId w:val="20"/>
        </w:numPr>
      </w:pPr>
      <w:r w:rsidRPr="0095479E">
        <w:t>Rolfs</w:t>
      </w:r>
      <w:r>
        <w:t xml:space="preserve"> C.: § 167 SGB IX, Rn. 7. In: </w:t>
      </w:r>
      <w:r w:rsidRPr="0095479E">
        <w:t>Erfurter Kommentar zum Arbeitsrecht</w:t>
      </w:r>
      <w:r>
        <w:t xml:space="preserve">. C. H. Beck Verlag, 24. Auflage 2024 </w:t>
      </w:r>
      <w:r w:rsidRPr="0095479E">
        <w:t>ISBN 978-3-406-80415-1</w:t>
      </w:r>
    </w:p>
    <w:p w14:paraId="3FDD97C4" w14:textId="45942E9D" w:rsidR="0095479E" w:rsidRDefault="0095479E" w:rsidP="0095479E">
      <w:pPr>
        <w:pStyle w:val="Funotentext"/>
      </w:pPr>
      <w:r>
        <w:t>Fachzeitschriften</w:t>
      </w:r>
    </w:p>
    <w:p w14:paraId="7AD1BB28" w14:textId="2B3C7FC1" w:rsidR="0095479E" w:rsidRDefault="0095479E" w:rsidP="0095479E">
      <w:pPr>
        <w:pStyle w:val="Funotentext"/>
        <w:numPr>
          <w:ilvl w:val="0"/>
          <w:numId w:val="20"/>
        </w:numPr>
      </w:pPr>
      <w:r w:rsidRPr="0095479E">
        <w:t>Fuhlrott</w:t>
      </w:r>
      <w:r>
        <w:t xml:space="preserve"> M. (2024) </w:t>
      </w:r>
    </w:p>
    <w:p w14:paraId="24AACAA5" w14:textId="252440AC" w:rsidR="0095479E" w:rsidRDefault="0095479E" w:rsidP="0095479E">
      <w:pPr>
        <w:pStyle w:val="Funotentext"/>
        <w:numPr>
          <w:ilvl w:val="0"/>
          <w:numId w:val="20"/>
        </w:numPr>
      </w:pPr>
      <w:r w:rsidRPr="0095479E">
        <w:t>Glatzel</w:t>
      </w:r>
      <w:r>
        <w:t xml:space="preserve"> B. (2023) </w:t>
      </w:r>
      <w:r w:rsidRPr="0095479E">
        <w:t>Aktuelle Rechtsprechung zum betrieblichen Eingliederungsmanagement</w:t>
      </w:r>
      <w:r>
        <w:t xml:space="preserve">. </w:t>
      </w:r>
      <w:r w:rsidRPr="0095479E">
        <w:t>NZA-RR</w:t>
      </w:r>
      <w:r>
        <w:t>: 113 – 116 (113)</w:t>
      </w:r>
    </w:p>
    <w:p w14:paraId="16B51227" w14:textId="0FC5A6ED" w:rsidR="0095479E" w:rsidRDefault="0095479E" w:rsidP="0095479E">
      <w:pPr>
        <w:pStyle w:val="Funotentext"/>
        <w:numPr>
          <w:ilvl w:val="0"/>
          <w:numId w:val="20"/>
        </w:numPr>
      </w:pPr>
      <w:r w:rsidRPr="0095479E">
        <w:t>Löser</w:t>
      </w:r>
      <w:r>
        <w:t xml:space="preserve"> A. (2021)</w:t>
      </w:r>
      <w:r w:rsidRPr="0095479E">
        <w:t xml:space="preserve"> Rechte der Schwerbehindertenvertretung</w:t>
      </w:r>
      <w:r>
        <w:t>. öAT: 155 – 158 (156)</w:t>
      </w:r>
    </w:p>
    <w:p w14:paraId="535E4295" w14:textId="1AA1134C" w:rsidR="0095479E" w:rsidRDefault="0095479E" w:rsidP="0095479E">
      <w:pPr>
        <w:pStyle w:val="Funotentext"/>
        <w:numPr>
          <w:ilvl w:val="0"/>
          <w:numId w:val="20"/>
        </w:numPr>
      </w:pPr>
      <w:r w:rsidRPr="0095479E">
        <w:t>Stück</w:t>
      </w:r>
      <w:r>
        <w:t xml:space="preserve"> V. (2021) </w:t>
      </w:r>
      <w:r w:rsidRPr="0095479E">
        <w:t>BEM-Verfahren – Voraussetzungen, Beteiligte, Rollen und Aufgaben</w:t>
      </w:r>
      <w:r>
        <w:t xml:space="preserve">. </w:t>
      </w:r>
      <w:r w:rsidRPr="0095479E">
        <w:t>ArbRAktuell</w:t>
      </w:r>
      <w:r>
        <w:t>: 339 – 342 (341)</w:t>
      </w:r>
    </w:p>
  </w:footnote>
  <w:footnote w:id="68">
    <w:p w14:paraId="23194143" w14:textId="4704AABB" w:rsidR="00901E1F" w:rsidRDefault="00901E1F">
      <w:pPr>
        <w:pStyle w:val="Funotentext"/>
      </w:pPr>
      <w:r>
        <w:rPr>
          <w:rStyle w:val="Funotenzeichen"/>
        </w:rPr>
        <w:footnoteRef/>
      </w:r>
      <w:r>
        <w:t xml:space="preserve"> Kein Recht auf Einsichtnahme besteht hingegen auf die Teile der Bewerbungsunterlagen, </w:t>
      </w:r>
      <w:r w:rsidRPr="00901E1F">
        <w:t>auf die der AG seine Entsch</w:t>
      </w:r>
      <w:r>
        <w:t>eidung</w:t>
      </w:r>
      <w:r w:rsidRPr="00901E1F">
        <w:t xml:space="preserve"> nicht gestützt hat</w:t>
      </w:r>
      <w:r>
        <w:t xml:space="preserve">. (siehe z. B. </w:t>
      </w:r>
      <w:r w:rsidRPr="00901E1F">
        <w:t>Rolfs</w:t>
      </w:r>
      <w:r>
        <w:t xml:space="preserve">: § 178 SGB IX, Rn. 6. In: </w:t>
      </w:r>
      <w:r w:rsidRPr="00901E1F">
        <w:t>Erfurter Kommentar zum Arbeitsrecht</w:t>
      </w:r>
      <w:r>
        <w:t xml:space="preserve">, 24. Auflage 2024. </w:t>
      </w:r>
      <w:r w:rsidRPr="00901E1F">
        <w:t>ISBN 978-3-406-80415-1</w:t>
      </w:r>
      <w:r>
        <w:t>) D. H. Es dürfen keine Unterlagen weitergegeben werden, die vom Arbeitgeber nicht als entscheidungsrelevant angesehen werden. Somit ist eine Darstellung erforderlich, welche Unterlagen entscheidungsrelevant sind und warum diese entsprechend bewertet sind. Die Nachwollziehbarkeit muss auch hier gegeben sein, ein Bewerber hat im Rahmen seines Auskunftsrechts auch hierauf Anspruch.</w:t>
      </w:r>
    </w:p>
  </w:footnote>
  <w:footnote w:id="69">
    <w:p w14:paraId="16E95B12" w14:textId="34D4E2D9" w:rsidR="00901E1F" w:rsidRDefault="00901E1F" w:rsidP="00901E1F">
      <w:pPr>
        <w:pStyle w:val="Funotentext"/>
      </w:pPr>
      <w:r>
        <w:rPr>
          <w:rStyle w:val="Funotenzeichen"/>
        </w:rPr>
        <w:footnoteRef/>
      </w:r>
      <w:r>
        <w:t xml:space="preserve"> </w:t>
      </w:r>
      <w:r w:rsidRPr="00901E1F">
        <w:t xml:space="preserve">BAG, </w:t>
      </w:r>
      <w:r>
        <w:t>Urt. v. 2018-12-</w:t>
      </w:r>
      <w:r w:rsidRPr="00901E1F">
        <w:t>19</w:t>
      </w:r>
      <w:r>
        <w:t>, Az. </w:t>
      </w:r>
      <w:r w:rsidRPr="00901E1F">
        <w:t>7 ABR 80/16</w:t>
      </w:r>
      <w:r>
        <w:t xml:space="preserve">, Rn. 22. Online, zitiert am 2024-05-11; verfügbar unter </w:t>
      </w:r>
      <w:hyperlink r:id="rId54" w:history="1">
        <w:r w:rsidRPr="00012A6D">
          <w:rPr>
            <w:rStyle w:val="Hyperlink"/>
          </w:rPr>
          <w:t>https://dejure.org/2018,42738</w:t>
        </w:r>
      </w:hyperlink>
      <w:r>
        <w:t xml:space="preserve"> bzw. Urteil beim BAG </w:t>
      </w:r>
      <w:hyperlink r:id="rId55" w:history="1">
        <w:r w:rsidRPr="00012A6D">
          <w:rPr>
            <w:rStyle w:val="Hyperlink"/>
          </w:rPr>
          <w:t>https://www.bundesarbeitsgericht.de/entscheidung/7-abr-80-16/</w:t>
        </w:r>
      </w:hyperlink>
    </w:p>
  </w:footnote>
  <w:footnote w:id="70">
    <w:p w14:paraId="0A3A02B4" w14:textId="2332F1DF" w:rsidR="00C626A9" w:rsidRDefault="00C626A9">
      <w:pPr>
        <w:pStyle w:val="Funotentext"/>
      </w:pPr>
      <w:r>
        <w:rPr>
          <w:rStyle w:val="Funotenzeichen"/>
        </w:rPr>
        <w:footnoteRef/>
      </w:r>
      <w:r>
        <w:t xml:space="preserve"> </w:t>
      </w:r>
      <w:r w:rsidRPr="00E73C55">
        <w:t>Bremische evangelische</w:t>
      </w:r>
      <w:r w:rsidRPr="00C626A9">
        <w:t xml:space="preserve"> Kirche</w:t>
      </w:r>
      <w:r>
        <w:t xml:space="preserve">: </w:t>
      </w:r>
      <w:r w:rsidRPr="00C626A9">
        <w:t>Patientendatenverordnung</w:t>
      </w:r>
      <w:r>
        <w:t xml:space="preserve">. </w:t>
      </w:r>
      <w:r w:rsidRPr="00C626A9">
        <w:t>Online, zitiert am 2024-0</w:t>
      </w:r>
      <w:r w:rsidR="00CD4845">
        <w:t>5</w:t>
      </w:r>
      <w:r w:rsidRPr="00C626A9">
        <w:t>-</w:t>
      </w:r>
      <w:r w:rsidR="00CD4845">
        <w:t>09</w:t>
      </w:r>
      <w:r w:rsidRPr="00C626A9">
        <w:t>; verfügbar unter</w:t>
      </w:r>
      <w:r>
        <w:t xml:space="preserve"> </w:t>
      </w:r>
      <w:hyperlink r:id="rId56" w:history="1">
        <w:r w:rsidRPr="00E73C55">
          <w:rPr>
            <w:rStyle w:val="Hyperlink"/>
          </w:rPr>
          <w:t>https://www.kirchenrecht-bremen.de/document/13864</w:t>
        </w:r>
      </w:hyperlink>
      <w:r>
        <w:t xml:space="preserve"> </w:t>
      </w:r>
    </w:p>
  </w:footnote>
  <w:footnote w:id="71">
    <w:p w14:paraId="7B1CEF48" w14:textId="0EC1C043" w:rsidR="00CD4845" w:rsidRDefault="00CD4845" w:rsidP="00CD4845">
      <w:pPr>
        <w:pStyle w:val="Funotentext"/>
      </w:pPr>
      <w:r>
        <w:rPr>
          <w:rStyle w:val="Funotenzeichen"/>
        </w:rPr>
        <w:footnoteRef/>
      </w:r>
      <w:r>
        <w:t xml:space="preserve"> Gesetz zum Schutz von Patientendaten bei der Seelsorge in katholischen Einrichtungen des Gesundheitswesens in der (Erz-)Diözese (</w:t>
      </w:r>
      <w:r w:rsidRPr="00E73C55">
        <w:t>SeelsorgePatDSG</w:t>
      </w:r>
      <w:r>
        <w:t xml:space="preserve">). </w:t>
      </w:r>
      <w:r w:rsidRPr="00C626A9">
        <w:t>Online, zitiert am 2024-0</w:t>
      </w:r>
      <w:r>
        <w:t>5</w:t>
      </w:r>
      <w:r w:rsidRPr="00C626A9">
        <w:t>-</w:t>
      </w:r>
      <w:r>
        <w:t>09</w:t>
      </w:r>
      <w:r w:rsidRPr="00C626A9">
        <w:t>; verfügbar unter</w:t>
      </w:r>
      <w:r>
        <w:t xml:space="preserve"> </w:t>
      </w:r>
      <w:hyperlink r:id="rId57" w:history="1">
        <w:r w:rsidRPr="00E73C55">
          <w:rPr>
            <w:rStyle w:val="Hyperlink"/>
          </w:rPr>
          <w:t>https://kirchlicher-datenschutz.org/seelsorgepatdsg/</w:t>
        </w:r>
      </w:hyperlink>
    </w:p>
  </w:footnote>
  <w:footnote w:id="72">
    <w:p w14:paraId="66938EBD" w14:textId="0210EAFF" w:rsidR="00AB774C" w:rsidRDefault="00AB774C">
      <w:pPr>
        <w:pStyle w:val="Funotentext"/>
      </w:pPr>
      <w:r>
        <w:rPr>
          <w:rStyle w:val="Funotenzeichen"/>
        </w:rPr>
        <w:footnoteRef/>
      </w:r>
      <w:r>
        <w:t xml:space="preserve"> </w:t>
      </w:r>
      <w:r w:rsidRPr="00AB774C">
        <w:t>Wissenschaftlichen Dienste</w:t>
      </w:r>
      <w:r>
        <w:t xml:space="preserve"> dt. Bundestag: </w:t>
      </w:r>
      <w:r w:rsidRPr="00AB774C">
        <w:t>WD 9 - 020/22 Gesetzgebungskompetenzen im Bereich des Rettungswesens (2022-03-07)</w:t>
      </w:r>
      <w:r>
        <w:t xml:space="preserve">. Online, zitiert am 2024-06-18; verfügbar unter </w:t>
      </w:r>
      <w:hyperlink r:id="rId58" w:history="1">
        <w:r w:rsidRPr="002F4D06">
          <w:rPr>
            <w:rStyle w:val="Hyperlink"/>
          </w:rPr>
          <w:t>https://www.bundestag.de/resource/blob/897344/b02aad2f6e6f696144af1a86966f5d94/WD-9-020-22-pdf.pdf</w:t>
        </w:r>
      </w:hyperlink>
    </w:p>
  </w:footnote>
  <w:footnote w:id="73">
    <w:p w14:paraId="2BE3E400" w14:textId="77777777" w:rsidR="00F034D6" w:rsidRDefault="00F034D6" w:rsidP="00F034D6">
      <w:pPr>
        <w:pStyle w:val="Funotentext"/>
      </w:pPr>
      <w:r>
        <w:rPr>
          <w:rStyle w:val="Funotenzeichen"/>
        </w:rPr>
        <w:footnoteRef/>
      </w:r>
      <w:r>
        <w:t xml:space="preserve"> </w:t>
      </w:r>
      <w:r w:rsidRPr="00E90B28">
        <w:t xml:space="preserve">Gesetz über den Beruf der Notfallsanitäterin und </w:t>
      </w:r>
      <w:r w:rsidRPr="00AC3459">
        <w:t>des Notfallsanitäter</w:t>
      </w:r>
      <w:r w:rsidRPr="00AB774C">
        <w:t>s</w:t>
      </w:r>
      <w:r>
        <w:t xml:space="preserve">. Online, zitiert am 2024-06-18; verfügbar unter </w:t>
      </w:r>
      <w:hyperlink r:id="rId59" w:history="1">
        <w:r w:rsidRPr="00AC3459">
          <w:rPr>
            <w:rStyle w:val="Hyperlink"/>
          </w:rPr>
          <w:t>https://www.gesetze-im-internet.de/notsang/index.html</w:t>
        </w:r>
      </w:hyperlink>
    </w:p>
  </w:footnote>
  <w:footnote w:id="74">
    <w:p w14:paraId="388D6C97" w14:textId="74DC575F" w:rsidR="00AB774C" w:rsidRDefault="00AB774C">
      <w:pPr>
        <w:pStyle w:val="Funotentext"/>
      </w:pPr>
      <w:r>
        <w:rPr>
          <w:rStyle w:val="Funotenzeichen"/>
        </w:rPr>
        <w:footnoteRef/>
      </w:r>
      <w:r>
        <w:t xml:space="preserve"> </w:t>
      </w:r>
      <w:r w:rsidRPr="00AB774C">
        <w:t>Wissenschaftlichen Dienste</w:t>
      </w:r>
      <w:r>
        <w:t xml:space="preserve"> dt. Bundestag:</w:t>
      </w:r>
      <w:r w:rsidRPr="00AB774C">
        <w:t xml:space="preserve"> WD 9 - 049/22 Ausbildung und Berufsausübung von Rettungssanitätern (2022-09-20)</w:t>
      </w:r>
      <w:r>
        <w:t xml:space="preserve">. Online, zitiert am 2024-06-18; verfügbar unter </w:t>
      </w:r>
      <w:hyperlink r:id="rId60" w:history="1">
        <w:r w:rsidRPr="002F4D06">
          <w:rPr>
            <w:rStyle w:val="Hyperlink"/>
          </w:rPr>
          <w:t>https://www.bundestag.de/resource/blob/912896/e896cc1c5c4599645ff6b1cbb4fd3deb/WD-9-049-22-pdf.pdf</w:t>
        </w:r>
      </w:hyperlink>
    </w:p>
  </w:footnote>
  <w:footnote w:id="75">
    <w:p w14:paraId="60AEA179" w14:textId="77777777" w:rsidR="00F034D6" w:rsidRDefault="00F034D6" w:rsidP="00F034D6">
      <w:pPr>
        <w:pStyle w:val="Funotentext"/>
      </w:pPr>
      <w:r>
        <w:rPr>
          <w:rStyle w:val="Funotenzeichen"/>
        </w:rPr>
        <w:footnoteRef/>
      </w:r>
      <w:r>
        <w:t xml:space="preserve"> </w:t>
      </w:r>
      <w:r w:rsidRPr="006E52AF">
        <w:t>Im Koalitionsvertrag für die 20. Legislaturperiode des Bundestages ist vorgesehen</w:t>
      </w:r>
      <w:r>
        <w:t xml:space="preserve">, </w:t>
      </w:r>
      <w:r w:rsidRPr="006E52AF">
        <w:t>das Rettungswesen als integrierten Leistungsbereich in das SGB V auf</w:t>
      </w:r>
      <w:r>
        <w:t>zunehmen. Siehe „</w:t>
      </w:r>
      <w:r w:rsidRPr="006E52AF">
        <w:t>Koalitionsvertrag zwischen SPD, Bündnis 90/</w:t>
      </w:r>
      <w:r w:rsidRPr="00AC3459">
        <w:t>Die</w:t>
      </w:r>
      <w:r w:rsidRPr="006E52AF">
        <w:t xml:space="preserve"> Grünen und FDP</w:t>
      </w:r>
      <w:r>
        <w:t xml:space="preserve">“, S. 66, 3. Absatz. Online, zitiert am 2024-06-18; verfügbar unter </w:t>
      </w:r>
      <w:hyperlink r:id="rId61" w:history="1">
        <w:r w:rsidRPr="00896C4A">
          <w:rPr>
            <w:rStyle w:val="Hyperlink"/>
          </w:rPr>
          <w:t>https://www.bundesregierung.de/breg-de/aktuelles/koalitionsvertrag-2021-1990800</w:t>
        </w:r>
      </w:hyperlink>
      <w:r>
        <w:t xml:space="preserve">, </w:t>
      </w:r>
      <w:r w:rsidRPr="00AC3459">
        <w:t>pdf-Datei</w:t>
      </w:r>
      <w:r>
        <w:t xml:space="preserve"> Vertrag unter </w:t>
      </w:r>
      <w:hyperlink r:id="rId62" w:history="1">
        <w:r w:rsidRPr="00AC3459">
          <w:rPr>
            <w:rStyle w:val="Hyperlink"/>
          </w:rPr>
          <w:t>https://www.spd.de/fileadmin/Dokumente/Koalitionsvertrag/Koalitionsvertrag_2021-2025.pdf</w:t>
        </w:r>
      </w:hyperlink>
    </w:p>
  </w:footnote>
  <w:footnote w:id="76">
    <w:p w14:paraId="259F86EA" w14:textId="77777777" w:rsidR="003147ED" w:rsidRDefault="003147ED" w:rsidP="003147ED">
      <w:pPr>
        <w:pStyle w:val="Funotentext"/>
      </w:pPr>
      <w:r>
        <w:rPr>
          <w:rStyle w:val="Funotenzeichen"/>
        </w:rPr>
        <w:footnoteRef/>
      </w:r>
      <w:r>
        <w:t xml:space="preserve"> EuGH, Urt. v-2023-07-04, Rechtssache </w:t>
      </w:r>
      <w:r w:rsidRPr="00463704">
        <w:t>C</w:t>
      </w:r>
      <w:r w:rsidRPr="00463704">
        <w:rPr>
          <w:rFonts w:ascii="Cambria Math" w:hAnsi="Cambria Math" w:cs="Cambria Math"/>
        </w:rPr>
        <w:t>‑</w:t>
      </w:r>
      <w:r w:rsidRPr="00463704">
        <w:t>252/21</w:t>
      </w:r>
      <w:r>
        <w:t xml:space="preserve">, Rn. 93. </w:t>
      </w:r>
      <w:r w:rsidRPr="006F562E">
        <w:t xml:space="preserve">Online, zitiert am </w:t>
      </w:r>
      <w:r>
        <w:t>2024-01-15</w:t>
      </w:r>
      <w:r w:rsidRPr="006F562E">
        <w:t>; verfügbar unter</w:t>
      </w:r>
      <w:r>
        <w:t xml:space="preserve"> </w:t>
      </w:r>
      <w:hyperlink r:id="rId63" w:history="1">
        <w:r w:rsidRPr="005F5895">
          <w:rPr>
            <w:rStyle w:val="Hyperlink"/>
          </w:rPr>
          <w:t>https://eur-lex.europa.eu/legal-content/de/TXT/?uri=CELEX:62021CJ0252</w:t>
        </w:r>
      </w:hyperlink>
    </w:p>
  </w:footnote>
  <w:footnote w:id="77">
    <w:p w14:paraId="4012FF3A" w14:textId="7270D660" w:rsidR="00692E01" w:rsidRDefault="00692E01">
      <w:pPr>
        <w:pStyle w:val="Funotentext"/>
      </w:pPr>
      <w:r>
        <w:rPr>
          <w:rStyle w:val="Funotenzeichen"/>
        </w:rPr>
        <w:footnoteRef/>
      </w:r>
      <w:r>
        <w:t xml:space="preserve"> </w:t>
      </w:r>
      <w:r w:rsidRPr="00692E01">
        <w:t xml:space="preserve">Buchner B, Petri T.: </w:t>
      </w:r>
      <w:r w:rsidR="005F5895">
        <w:t>Art. </w:t>
      </w:r>
      <w:r w:rsidRPr="00692E01">
        <w:t>6, Rn. 15</w:t>
      </w:r>
      <w:r>
        <w:t>3</w:t>
      </w:r>
      <w:r w:rsidRPr="00692E01">
        <w:t xml:space="preserve">. In: </w:t>
      </w:r>
      <w:r w:rsidRPr="005F5895">
        <w:t>Kühling</w:t>
      </w:r>
      <w:r w:rsidRPr="00692E01">
        <w:t xml:space="preserve"> / Buchner (Hrsg.) Datenschutz-Grundverordnung, Bundesdatenschutzgesetz: DS-GVO / BDSG. C. H. Beck, 3. Auflage 2020. ISBN: 978-3-406-74994-0</w:t>
      </w:r>
    </w:p>
  </w:footnote>
  <w:footnote w:id="78">
    <w:p w14:paraId="6F3EB708" w14:textId="556AC389" w:rsidR="00993649" w:rsidRDefault="00993649" w:rsidP="00993649">
      <w:pPr>
        <w:pStyle w:val="Funotentext"/>
      </w:pPr>
      <w:r>
        <w:rPr>
          <w:rStyle w:val="Funotenzeichen"/>
        </w:rPr>
        <w:footnoteRef/>
      </w:r>
      <w:r>
        <w:t xml:space="preserve"> </w:t>
      </w:r>
      <w:r w:rsidRPr="005F5895">
        <w:t>Schantz</w:t>
      </w:r>
      <w:r>
        <w:t xml:space="preserve"> P.:</w:t>
      </w:r>
      <w:r w:rsidRPr="005024BB">
        <w:t xml:space="preserve"> </w:t>
      </w:r>
      <w:r w:rsidR="005F5895">
        <w:t>Art. </w:t>
      </w:r>
      <w:r>
        <w:t xml:space="preserve">6, Rn. 101. In: </w:t>
      </w:r>
      <w:r w:rsidRPr="000144B7">
        <w:t xml:space="preserve">Simitis / Hornung / Spiecker gen. </w:t>
      </w:r>
      <w:r w:rsidRPr="005F5895">
        <w:t>Döhmann</w:t>
      </w:r>
      <w:r>
        <w:t xml:space="preserve"> (Hrsg.) </w:t>
      </w:r>
      <w:r w:rsidRPr="000144B7">
        <w:t>Datenschutzrecht</w:t>
      </w:r>
      <w:r>
        <w:t>. Nomos, 1. Auflage 2019. ISBN 978-3-8487-3590-7</w:t>
      </w:r>
    </w:p>
  </w:footnote>
  <w:footnote w:id="79">
    <w:p w14:paraId="54008E1D" w14:textId="4A0D0F00" w:rsidR="00993649" w:rsidRDefault="00993649" w:rsidP="00993649">
      <w:pPr>
        <w:pStyle w:val="Funotentext"/>
      </w:pPr>
      <w:r>
        <w:rPr>
          <w:rStyle w:val="Funotenzeichen"/>
        </w:rPr>
        <w:footnoteRef/>
      </w:r>
      <w:r>
        <w:t xml:space="preserve"> </w:t>
      </w:r>
      <w:r w:rsidRPr="005F5895">
        <w:t>Schantz</w:t>
      </w:r>
      <w:r>
        <w:t xml:space="preserve"> P.:</w:t>
      </w:r>
      <w:r w:rsidRPr="005024BB">
        <w:t xml:space="preserve"> </w:t>
      </w:r>
      <w:r w:rsidR="005F5895">
        <w:t>Art. </w:t>
      </w:r>
      <w:r>
        <w:t xml:space="preserve">6, Rn. 107. In: </w:t>
      </w:r>
      <w:r w:rsidRPr="000144B7">
        <w:t xml:space="preserve">Simitis / Hornung / Spiecker gen. </w:t>
      </w:r>
      <w:r w:rsidRPr="005F5895">
        <w:t>Döhmann</w:t>
      </w:r>
      <w:r>
        <w:t xml:space="preserve"> (Hrsg.) </w:t>
      </w:r>
      <w:r w:rsidRPr="000144B7">
        <w:t>Datenschutzrecht</w:t>
      </w:r>
      <w:r>
        <w:t>. Nomos, 1. Auflage 2019. ISBN 978-3-8487-3590-7</w:t>
      </w:r>
    </w:p>
  </w:footnote>
  <w:footnote w:id="80">
    <w:p w14:paraId="47A3C763" w14:textId="435DC385" w:rsidR="00993649" w:rsidRDefault="00993649" w:rsidP="00993649">
      <w:pPr>
        <w:pStyle w:val="Funotentext"/>
      </w:pPr>
      <w:r>
        <w:rPr>
          <w:rStyle w:val="Funotenzeichen"/>
        </w:rPr>
        <w:footnoteRef/>
      </w:r>
      <w:r>
        <w:t xml:space="preserve"> BVerfG, Urt. v. 1973-01-31, AZ.: 2 </w:t>
      </w:r>
      <w:r w:rsidRPr="005F5895">
        <w:t>BvR</w:t>
      </w:r>
      <w:r>
        <w:t xml:space="preserve"> 454/71. Rn. 34, 35. </w:t>
      </w:r>
      <w:r w:rsidR="0061796E">
        <w:t>Online, zitiert am 2024-03-22; verfügbar unter</w:t>
      </w:r>
      <w:r>
        <w:t xml:space="preserve"> </w:t>
      </w:r>
      <w:hyperlink r:id="rId64" w:history="1">
        <w:r w:rsidRPr="00AE689E">
          <w:rPr>
            <w:rStyle w:val="Hyperlink"/>
          </w:rPr>
          <w:t>https://dejure.org/1973</w:t>
        </w:r>
        <w:r w:rsidRPr="005F5895">
          <w:rPr>
            <w:rStyle w:val="Hyperlink"/>
          </w:rPr>
          <w:t>,7</w:t>
        </w:r>
      </w:hyperlink>
      <w:r>
        <w:rPr>
          <w:rStyle w:val="copytoclipboard"/>
        </w:rPr>
        <w:t xml:space="preserve">, Volltext unter </w:t>
      </w:r>
      <w:hyperlink r:id="rId65" w:history="1">
        <w:r w:rsidRPr="00AE689E">
          <w:rPr>
            <w:rStyle w:val="Hyperlink"/>
          </w:rPr>
          <w:t>https://openjur.de/u/180606</w:t>
        </w:r>
        <w:r w:rsidRPr="005F5895">
          <w:rPr>
            <w:rStyle w:val="Hyperlink"/>
          </w:rPr>
          <w:t>.html</w:t>
        </w:r>
      </w:hyperlink>
    </w:p>
  </w:footnote>
  <w:footnote w:id="81">
    <w:p w14:paraId="4FD45ED3" w14:textId="77777777" w:rsidR="00993649" w:rsidRDefault="00993649" w:rsidP="00993649">
      <w:pPr>
        <w:pStyle w:val="Funotentext"/>
      </w:pPr>
      <w:r>
        <w:rPr>
          <w:rStyle w:val="Funotenzeichen"/>
        </w:rPr>
        <w:footnoteRef/>
      </w:r>
      <w:r>
        <w:t xml:space="preserve"> So zu finden </w:t>
      </w:r>
      <w:r w:rsidRPr="005F5895">
        <w:t>in</w:t>
      </w:r>
    </w:p>
    <w:p w14:paraId="21469B32" w14:textId="4F92AF17" w:rsidR="00993649" w:rsidRDefault="00993649" w:rsidP="00993649">
      <w:pPr>
        <w:pStyle w:val="Funotentext"/>
        <w:numPr>
          <w:ilvl w:val="0"/>
          <w:numId w:val="10"/>
        </w:numPr>
      </w:pPr>
      <w:r w:rsidRPr="004D1A18">
        <w:t>Albers</w:t>
      </w:r>
      <w:r>
        <w:t xml:space="preserve"> M, </w:t>
      </w:r>
      <w:r w:rsidRPr="004D1A18">
        <w:t>Veit</w:t>
      </w:r>
      <w:r>
        <w:t xml:space="preserve"> RD.: </w:t>
      </w:r>
      <w:r w:rsidR="005F5895">
        <w:t>Art. </w:t>
      </w:r>
      <w:r>
        <w:t xml:space="preserve">6 DS-GVO, Rn. 71. In: </w:t>
      </w:r>
      <w:r w:rsidRPr="004D1A18">
        <w:t>Wolff/Brink/v. Ungern-Sternberg</w:t>
      </w:r>
      <w:r>
        <w:t xml:space="preserve"> (Hrsg.) </w:t>
      </w:r>
      <w:r w:rsidRPr="005F5895">
        <w:t>BeckOK</w:t>
      </w:r>
      <w:r w:rsidRPr="004D1A18">
        <w:t xml:space="preserve"> Datenschutzrecht</w:t>
      </w:r>
      <w:r>
        <w:t>. 46. Edition, Stand: 01.08.2023</w:t>
      </w:r>
    </w:p>
    <w:p w14:paraId="2CBC9F23" w14:textId="3013E4F1" w:rsidR="00993649" w:rsidRDefault="00993649" w:rsidP="00993649">
      <w:pPr>
        <w:pStyle w:val="Funotentext"/>
        <w:numPr>
          <w:ilvl w:val="0"/>
          <w:numId w:val="10"/>
        </w:numPr>
      </w:pPr>
      <w:r w:rsidRPr="00AF706C">
        <w:t xml:space="preserve">Buchner B, Petri T.: </w:t>
      </w:r>
      <w:r w:rsidR="005F5895">
        <w:t>Art. </w:t>
      </w:r>
      <w:r w:rsidRPr="00AF706C">
        <w:t>6, Rn.</w:t>
      </w:r>
      <w:r>
        <w:t> 155</w:t>
      </w:r>
      <w:r w:rsidRPr="00AF706C">
        <w:t xml:space="preserve">. In: </w:t>
      </w:r>
      <w:r w:rsidRPr="005F5895">
        <w:t>Kühling</w:t>
      </w:r>
      <w:r w:rsidRPr="00AF706C">
        <w:t xml:space="preserve"> / Buchner (Hrsg.) Datenschutz-Grundverordnung, Bundesdatenschutzgesetz: DS-GVO / BDSG. C. H. Beck, 3. Auflage 2020. ISBN: 978-3-406-74994-0</w:t>
      </w:r>
    </w:p>
    <w:p w14:paraId="5B31D09D" w14:textId="4BA9CB30" w:rsidR="00993649" w:rsidRDefault="00993649" w:rsidP="00993649">
      <w:pPr>
        <w:pStyle w:val="Funotentext"/>
        <w:numPr>
          <w:ilvl w:val="0"/>
          <w:numId w:val="10"/>
        </w:numPr>
      </w:pPr>
      <w:r w:rsidRPr="005F5895">
        <w:t>Schantz</w:t>
      </w:r>
      <w:r>
        <w:t xml:space="preserve"> P.:</w:t>
      </w:r>
      <w:r w:rsidRPr="005024BB">
        <w:t xml:space="preserve"> </w:t>
      </w:r>
      <w:r w:rsidR="005F5895">
        <w:t>Art. </w:t>
      </w:r>
      <w:r>
        <w:t xml:space="preserve">6, Rn. 112. In: </w:t>
      </w:r>
      <w:r w:rsidRPr="000144B7">
        <w:t xml:space="preserve">Simitis / Hornung / Spiecker gen. </w:t>
      </w:r>
      <w:r w:rsidRPr="005F5895">
        <w:t>Döhmann</w:t>
      </w:r>
      <w:r>
        <w:t xml:space="preserve"> (Hrsg.) </w:t>
      </w:r>
      <w:r w:rsidRPr="000144B7">
        <w:t>Datenschutzrecht</w:t>
      </w:r>
      <w:r>
        <w:t>. Nomos, 1. Auflage 2019. ISBN 978-3-8487-3590-7</w:t>
      </w:r>
    </w:p>
  </w:footnote>
  <w:footnote w:id="82">
    <w:p w14:paraId="53CF3CD5" w14:textId="77777777" w:rsidR="00993649" w:rsidRDefault="00993649" w:rsidP="00993649">
      <w:pPr>
        <w:pStyle w:val="Funotentext"/>
      </w:pPr>
      <w:r>
        <w:rPr>
          <w:rStyle w:val="Funotenzeichen"/>
        </w:rPr>
        <w:footnoteRef/>
      </w:r>
      <w:r>
        <w:t xml:space="preserve"> </w:t>
      </w:r>
      <w:r w:rsidRPr="00B06D9D">
        <w:t xml:space="preserve">EuGH, </w:t>
      </w:r>
      <w:r>
        <w:t>Urt. v. 2023-12-</w:t>
      </w:r>
      <w:r w:rsidRPr="00B06D9D">
        <w:t>07</w:t>
      </w:r>
      <w:r>
        <w:t>, Rechtssache </w:t>
      </w:r>
      <w:r w:rsidRPr="00B06D9D">
        <w:t>C-26/22, C-64/22</w:t>
      </w:r>
      <w:r>
        <w:t xml:space="preserve">. Rn. 75 bis 80. Online, zitiert am 2024-01-15; verfügbar unter </w:t>
      </w:r>
      <w:hyperlink r:id="rId66" w:history="1">
        <w:r w:rsidRPr="005F5895">
          <w:rPr>
            <w:rStyle w:val="Hyperlink"/>
          </w:rPr>
          <w:t>https://eur-lex.europa.eu/legal-content/de/TXT/?uri=CELEX:62022CJ0026</w:t>
        </w:r>
      </w:hyperlink>
    </w:p>
  </w:footnote>
  <w:footnote w:id="83">
    <w:p w14:paraId="70DB1D9E" w14:textId="7581F271" w:rsidR="00993649" w:rsidRDefault="00993649" w:rsidP="00993649">
      <w:pPr>
        <w:pStyle w:val="Funotentext"/>
      </w:pPr>
      <w:r>
        <w:rPr>
          <w:rStyle w:val="Funotenzeichen"/>
        </w:rPr>
        <w:footnoteRef/>
      </w:r>
      <w:r>
        <w:t xml:space="preserve"> </w:t>
      </w:r>
      <w:r w:rsidRPr="007E53F6">
        <w:t xml:space="preserve">EuGH, </w:t>
      </w:r>
      <w:r>
        <w:t>Urt. v, 2016-10-</w:t>
      </w:r>
      <w:r w:rsidRPr="007E53F6">
        <w:t>19</w:t>
      </w:r>
      <w:r>
        <w:t xml:space="preserve">, </w:t>
      </w:r>
      <w:r w:rsidR="00C374BF">
        <w:t>Rechtssache</w:t>
      </w:r>
      <w:r>
        <w:t> </w:t>
      </w:r>
      <w:r w:rsidRPr="007E53F6">
        <w:t>C-582/14</w:t>
      </w:r>
      <w:r>
        <w:t xml:space="preserve">, Rn. 62: „[…] </w:t>
      </w:r>
      <w:r w:rsidRPr="007E53F6">
        <w:t>der im konkreten Einzelfall einander gegenüberstehenden Rechte und Interessen</w:t>
      </w:r>
      <w:r w:rsidRPr="005F5895">
        <w:t xml:space="preserve"> […]“.</w:t>
      </w:r>
      <w:r>
        <w:t xml:space="preserve"> Online, zitiert am 2024-01-15; verfügbar unter </w:t>
      </w:r>
      <w:hyperlink r:id="rId67" w:history="1">
        <w:r w:rsidRPr="00AE689E">
          <w:rPr>
            <w:rStyle w:val="Hyperlink"/>
          </w:rPr>
          <w:t>https://dejure.org/2016</w:t>
        </w:r>
        <w:r w:rsidRPr="005F5895">
          <w:rPr>
            <w:rStyle w:val="Hyperlink"/>
          </w:rPr>
          <w:t>,33959</w:t>
        </w:r>
      </w:hyperlink>
      <w:r>
        <w:rPr>
          <w:rStyle w:val="copytoclipboard"/>
        </w:rPr>
        <w:t xml:space="preserve"> bzw. Volltext unter </w:t>
      </w:r>
      <w:hyperlink r:id="rId68" w:history="1">
        <w:r w:rsidRPr="005F5895">
          <w:rPr>
            <w:rStyle w:val="Hyperlink"/>
          </w:rPr>
          <w:t>https://curia.europa.eu/juris/document/document.jsf?text=&amp;docid=184668&amp;pageIndex=0&amp;doclang=DE&amp;mode=req&amp;dir=&amp;occ=first&amp;part=1</w:t>
        </w:r>
      </w:hyperlink>
    </w:p>
  </w:footnote>
  <w:footnote w:id="84">
    <w:p w14:paraId="59A9B19F" w14:textId="6E29943C" w:rsidR="00993649" w:rsidRDefault="00993649" w:rsidP="00993649">
      <w:pPr>
        <w:pStyle w:val="Funotentext"/>
      </w:pPr>
      <w:r>
        <w:rPr>
          <w:rStyle w:val="Funotenzeichen"/>
        </w:rPr>
        <w:footnoteRef/>
      </w:r>
      <w:r>
        <w:t xml:space="preserve"> </w:t>
      </w:r>
      <w:r w:rsidRPr="00D234C9">
        <w:t>EuGH</w:t>
      </w:r>
      <w:r>
        <w:t xml:space="preserve"> Urt. v. 2023-12-</w:t>
      </w:r>
      <w:r w:rsidRPr="00D234C9">
        <w:t>07</w:t>
      </w:r>
      <w:r>
        <w:t>, Rechtssache </w:t>
      </w:r>
      <w:r w:rsidRPr="00D234C9">
        <w:t>C-26/22, C-64/22</w:t>
      </w:r>
      <w:r>
        <w:t xml:space="preserve">, Rn. 94. </w:t>
      </w:r>
      <w:r w:rsidR="0061796E">
        <w:t>Online, zitiert am 2024-03-22; verfügbar unter</w:t>
      </w:r>
      <w:r>
        <w:t xml:space="preserve"> </w:t>
      </w:r>
      <w:hyperlink r:id="rId69" w:history="1">
        <w:r w:rsidRPr="005F5895">
          <w:rPr>
            <w:rStyle w:val="Hyperlink"/>
          </w:rPr>
          <w:t>https://eur-lex.europa.eu/legal-content/de/TXT/?uri=CELEX:62022CJ0026</w:t>
        </w:r>
      </w:hyperlink>
    </w:p>
  </w:footnote>
  <w:footnote w:id="85">
    <w:p w14:paraId="560BDCF4" w14:textId="13026DE9" w:rsidR="0061796E" w:rsidRDefault="0061796E">
      <w:pPr>
        <w:pStyle w:val="Funotentext"/>
      </w:pPr>
      <w:r>
        <w:rPr>
          <w:rStyle w:val="Funotenzeichen"/>
        </w:rPr>
        <w:footnoteRef/>
      </w:r>
      <w:r>
        <w:t xml:space="preserve"> </w:t>
      </w:r>
      <w:r w:rsidRPr="0061796E">
        <w:t xml:space="preserve">EuGH, </w:t>
      </w:r>
      <w:r>
        <w:t>Urt. v. 2019-12-</w:t>
      </w:r>
      <w:r w:rsidRPr="0061796E">
        <w:t>11</w:t>
      </w:r>
      <w:r>
        <w:t>, Rechtssache</w:t>
      </w:r>
      <w:r w:rsidRPr="0061796E">
        <w:t xml:space="preserve"> C-708/18</w:t>
      </w:r>
      <w:r>
        <w:t>, Rn. 55.</w:t>
      </w:r>
      <w:r w:rsidRPr="0061796E">
        <w:t xml:space="preserve"> </w:t>
      </w:r>
      <w:r w:rsidRPr="00D234C9">
        <w:t>Online, zitiert am 202</w:t>
      </w:r>
      <w:r>
        <w:t>4</w:t>
      </w:r>
      <w:r w:rsidRPr="00D234C9">
        <w:t>-</w:t>
      </w:r>
      <w:r>
        <w:t>03</w:t>
      </w:r>
      <w:r w:rsidRPr="00D234C9">
        <w:t>-</w:t>
      </w:r>
      <w:r>
        <w:t>22</w:t>
      </w:r>
      <w:r w:rsidRPr="00D234C9">
        <w:t>; verfügbar unter</w:t>
      </w:r>
      <w:r>
        <w:t xml:space="preserve"> </w:t>
      </w:r>
      <w:hyperlink r:id="rId70" w:history="1">
        <w:r w:rsidRPr="005F5895">
          <w:rPr>
            <w:rStyle w:val="Hyperlink"/>
          </w:rPr>
          <w:t>https://eur-lex.europa.eu/legal-content/de/TXT/?uri=CELEX:62018CJ0708</w:t>
        </w:r>
      </w:hyperlink>
    </w:p>
  </w:footnote>
  <w:footnote w:id="86">
    <w:p w14:paraId="79ADB79A" w14:textId="2542F2C2" w:rsidR="003147ED" w:rsidRDefault="003147ED">
      <w:pPr>
        <w:pStyle w:val="Funotentext"/>
      </w:pPr>
      <w:r>
        <w:rPr>
          <w:rStyle w:val="Funotenzeichen"/>
        </w:rPr>
        <w:footnoteRef/>
      </w:r>
      <w:r>
        <w:t xml:space="preserve"> </w:t>
      </w:r>
      <w:r w:rsidRPr="00D234C9">
        <w:t>EuGH</w:t>
      </w:r>
      <w:r>
        <w:t xml:space="preserve"> Urt. v. 2023-12-</w:t>
      </w:r>
      <w:r w:rsidRPr="00D234C9">
        <w:t>07</w:t>
      </w:r>
      <w:r>
        <w:t>, Rechtssache </w:t>
      </w:r>
      <w:r w:rsidRPr="00D234C9">
        <w:t>C-26/22, C-64/22</w:t>
      </w:r>
      <w:r>
        <w:t xml:space="preserve">, Rn. 79. </w:t>
      </w:r>
      <w:r w:rsidR="0061796E">
        <w:t>Online, zitiert am 2024-03-22; verfügbar unter</w:t>
      </w:r>
      <w:r>
        <w:t xml:space="preserve"> </w:t>
      </w:r>
      <w:hyperlink r:id="rId71" w:history="1">
        <w:r w:rsidRPr="005F5895">
          <w:rPr>
            <w:rStyle w:val="Hyperlink"/>
          </w:rPr>
          <w:t>https://eur-lex.europa.eu/legal-content/de/TXT/?uri=CELEX:62022CJ0026</w:t>
        </w:r>
      </w:hyperlink>
    </w:p>
  </w:footnote>
  <w:footnote w:id="87">
    <w:p w14:paraId="14669089" w14:textId="37A44A10" w:rsidR="003147ED" w:rsidRDefault="003147ED">
      <w:pPr>
        <w:pStyle w:val="Funotentext"/>
      </w:pPr>
      <w:r>
        <w:rPr>
          <w:rStyle w:val="Funotenzeichen"/>
        </w:rPr>
        <w:footnoteRef/>
      </w:r>
      <w:r>
        <w:t xml:space="preserve"> </w:t>
      </w:r>
      <w:r w:rsidRPr="003147ED">
        <w:t xml:space="preserve">EuGH, </w:t>
      </w:r>
      <w:r w:rsidR="00C374BF">
        <w:t>U</w:t>
      </w:r>
      <w:r>
        <w:t xml:space="preserve">rt. V. 2019-12-11, </w:t>
      </w:r>
      <w:r w:rsidR="00C374BF">
        <w:t>Rechtssache</w:t>
      </w:r>
      <w:r>
        <w:t xml:space="preserve"> </w:t>
      </w:r>
      <w:r w:rsidRPr="003147ED">
        <w:t>C-708/18</w:t>
      </w:r>
      <w:r>
        <w:t xml:space="preserve">, Rn. 44. Online, zitiert am 2024-03-22; verfügbar unter </w:t>
      </w:r>
      <w:hyperlink r:id="rId72" w:history="1">
        <w:r w:rsidRPr="005F5895">
          <w:rPr>
            <w:rStyle w:val="Hyperlink"/>
          </w:rPr>
          <w:t>https://eur-lex.europa.eu/legal-content/de/TXT/?uri=CELEX:62018CJ0708</w:t>
        </w:r>
      </w:hyperlink>
    </w:p>
  </w:footnote>
  <w:footnote w:id="88">
    <w:p w14:paraId="0D00CE72" w14:textId="6CD54745" w:rsidR="00993649" w:rsidRDefault="00993649" w:rsidP="00993649">
      <w:pPr>
        <w:pStyle w:val="Funotentext"/>
      </w:pPr>
      <w:r>
        <w:rPr>
          <w:rStyle w:val="Funotenzeichen"/>
        </w:rPr>
        <w:footnoteRef/>
      </w:r>
      <w:r>
        <w:t xml:space="preserve"> </w:t>
      </w:r>
      <w:r w:rsidRPr="00AB6ECD">
        <w:t xml:space="preserve">EuGH, </w:t>
      </w:r>
      <w:r>
        <w:t>Urt. v. 2023-07-</w:t>
      </w:r>
      <w:r w:rsidRPr="00AB6ECD">
        <w:t>04</w:t>
      </w:r>
      <w:r>
        <w:t xml:space="preserve">, </w:t>
      </w:r>
      <w:r w:rsidR="00C374BF">
        <w:t>Rechtssache</w:t>
      </w:r>
      <w:r>
        <w:t> </w:t>
      </w:r>
      <w:r w:rsidRPr="00AB6ECD">
        <w:t>C-252/21</w:t>
      </w:r>
      <w:r>
        <w:t xml:space="preserve">. Rn. 126. </w:t>
      </w:r>
      <w:r w:rsidR="0061796E">
        <w:t>Online, zitiert am 2024-03-22; verfügbar unter</w:t>
      </w:r>
      <w:r>
        <w:t xml:space="preserve"> </w:t>
      </w:r>
      <w:hyperlink r:id="rId73" w:history="1">
        <w:r w:rsidRPr="005F5895">
          <w:rPr>
            <w:rStyle w:val="Hyperlink"/>
          </w:rPr>
          <w:t>https://eur-lex.europa.eu/legal-content/de/TXT/?uri=CELEX:62021CJ0252</w:t>
        </w:r>
      </w:hyperlink>
    </w:p>
  </w:footnote>
  <w:footnote w:id="89">
    <w:p w14:paraId="6C14326E" w14:textId="2DDF6F33" w:rsidR="00131035" w:rsidRDefault="00131035" w:rsidP="00131035">
      <w:pPr>
        <w:pStyle w:val="Funotentext"/>
      </w:pPr>
      <w:r>
        <w:rPr>
          <w:rStyle w:val="Funotenzeichen"/>
        </w:rPr>
        <w:footnoteRef/>
      </w:r>
      <w:r>
        <w:t xml:space="preserve"> </w:t>
      </w:r>
      <w:r w:rsidRPr="00131035">
        <w:t xml:space="preserve">Quelle: Bevölkerungsstand vom 31.12.2015, entnommen offizieller Statistik veröffentlicht vom Statistischen </w:t>
      </w:r>
      <w:r w:rsidRPr="005F5895">
        <w:t>Bundesamt</w:t>
      </w:r>
    </w:p>
  </w:footnote>
  <w:footnote w:id="90">
    <w:p w14:paraId="76F9E5E8" w14:textId="289F66A6" w:rsidR="00131035" w:rsidRDefault="00131035">
      <w:pPr>
        <w:pStyle w:val="Funotentext"/>
      </w:pPr>
      <w:r>
        <w:rPr>
          <w:rStyle w:val="Funotenzeichen"/>
        </w:rPr>
        <w:footnoteRef/>
      </w:r>
      <w:r>
        <w:t xml:space="preserve"> Quelle: </w:t>
      </w:r>
      <w:r w:rsidRPr="00131035">
        <w:t xml:space="preserve">Brustkrebsfrüherkennung durch </w:t>
      </w:r>
      <w:r w:rsidRPr="005F5895">
        <w:t>Mammographie</w:t>
      </w:r>
      <w:r w:rsidR="00B96AC2" w:rsidRPr="005F5895">
        <w:t>-Sc</w:t>
      </w:r>
      <w:r w:rsidRPr="005F5895">
        <w:t>reening</w:t>
      </w:r>
      <w:r w:rsidRPr="00131035">
        <w:t xml:space="preserve">, Onkologe 2017, 23:701–710, </w:t>
      </w:r>
      <w:r w:rsidRPr="005F5895">
        <w:t>DOI</w:t>
      </w:r>
      <w:r w:rsidRPr="00131035">
        <w:t xml:space="preserve"> 10.1007/</w:t>
      </w:r>
      <w:r w:rsidRPr="005F5895">
        <w:t>s00761-017-0261-3</w:t>
      </w:r>
    </w:p>
  </w:footnote>
  <w:footnote w:id="91">
    <w:p w14:paraId="2B7FBDFA" w14:textId="28FF0AEE" w:rsidR="00131035" w:rsidRDefault="00131035">
      <w:pPr>
        <w:pStyle w:val="Funotentext"/>
      </w:pPr>
      <w:r>
        <w:rPr>
          <w:rStyle w:val="Funotenzeichen"/>
        </w:rPr>
        <w:footnoteRef/>
      </w:r>
      <w:r>
        <w:t xml:space="preserve"> </w:t>
      </w:r>
      <w:r w:rsidRPr="00131035">
        <w:t xml:space="preserve">Quelle: </w:t>
      </w:r>
      <w:hyperlink r:id="rId74" w:history="1">
        <w:r w:rsidRPr="005F5895">
          <w:rPr>
            <w:rStyle w:val="Hyperlink"/>
          </w:rPr>
          <w:t>https://www.frauenaerzte-im-netz.de/de_brustkrebs-risikofaktoren-vorbeugung_367.html</w:t>
        </w:r>
      </w:hyperlink>
    </w:p>
  </w:footnote>
  <w:footnote w:id="92">
    <w:p w14:paraId="75E8E31D" w14:textId="77777777" w:rsidR="00E343E3" w:rsidRDefault="00E343E3" w:rsidP="00E343E3">
      <w:pPr>
        <w:pStyle w:val="Funotentext"/>
      </w:pPr>
      <w:r>
        <w:rPr>
          <w:rStyle w:val="Funotenzeichen"/>
        </w:rPr>
        <w:footnoteRef/>
      </w:r>
      <w:r>
        <w:t xml:space="preserve"> </w:t>
      </w:r>
      <w:r w:rsidRPr="000835B4">
        <w:t>Wissenschaftliche Dienste Deutscher Bundestag</w:t>
      </w:r>
      <w:r>
        <w:t xml:space="preserve">. (2022) </w:t>
      </w:r>
      <w:r w:rsidRPr="000835B4">
        <w:t>Verfassungsrechtlicher Rahmen für die Regelung der stationären medizinischen Versorgung</w:t>
      </w:r>
      <w:r>
        <w:t xml:space="preserve">. </w:t>
      </w:r>
      <w:r w:rsidRPr="000835B4">
        <w:t>Online, zitiert am 202</w:t>
      </w:r>
      <w:r>
        <w:t>4</w:t>
      </w:r>
      <w:r w:rsidRPr="000835B4">
        <w:t>-0</w:t>
      </w:r>
      <w:r>
        <w:t>3</w:t>
      </w:r>
      <w:r w:rsidRPr="000835B4">
        <w:t>-2</w:t>
      </w:r>
      <w:r>
        <w:t>1</w:t>
      </w:r>
      <w:r w:rsidRPr="000835B4">
        <w:t>; verfügbar unter</w:t>
      </w:r>
      <w:r>
        <w:t xml:space="preserve"> </w:t>
      </w:r>
      <w:hyperlink r:id="rId75" w:history="1">
        <w:r w:rsidRPr="005F5895">
          <w:rPr>
            <w:rStyle w:val="Hyperlink"/>
          </w:rPr>
          <w:t>https://www.bundestag.de/resource/blob/899852/e48e78cfe536ee972862bab82b8618e9/WD-3-054-22-pdf-data.pdf</w:t>
        </w:r>
      </w:hyperlink>
    </w:p>
  </w:footnote>
  <w:footnote w:id="93">
    <w:p w14:paraId="54A6478B" w14:textId="77777777" w:rsidR="00865786" w:rsidRDefault="00AF6483" w:rsidP="00AF6483">
      <w:pPr>
        <w:pStyle w:val="Funotentext"/>
      </w:pPr>
      <w:r>
        <w:rPr>
          <w:rStyle w:val="Funotenzeichen"/>
        </w:rPr>
        <w:footnoteRef/>
      </w:r>
      <w:r>
        <w:t xml:space="preserve"> Siehe z. B.</w:t>
      </w:r>
    </w:p>
    <w:p w14:paraId="24E47B18" w14:textId="44C9166C" w:rsidR="0091165F" w:rsidRDefault="0091165F" w:rsidP="00865786">
      <w:pPr>
        <w:pStyle w:val="Funotentext"/>
        <w:numPr>
          <w:ilvl w:val="0"/>
          <w:numId w:val="10"/>
        </w:numPr>
        <w:ind w:left="567"/>
      </w:pPr>
      <w:r w:rsidRPr="00C20724">
        <w:t>Jandt</w:t>
      </w:r>
      <w:r>
        <w:t xml:space="preserve"> S.: </w:t>
      </w:r>
      <w:r w:rsidRPr="0091165F">
        <w:t>Art.</w:t>
      </w:r>
      <w:r>
        <w:t> 32</w:t>
      </w:r>
      <w:r w:rsidRPr="0091165F">
        <w:t xml:space="preserve"> Rn. </w:t>
      </w:r>
      <w:r>
        <w:t>40</w:t>
      </w:r>
      <w:r w:rsidRPr="0091165F">
        <w:t xml:space="preserve">. In: </w:t>
      </w:r>
      <w:r w:rsidRPr="00C20724">
        <w:t>Kühling</w:t>
      </w:r>
      <w:r w:rsidRPr="0091165F">
        <w:t>/</w:t>
      </w:r>
      <w:r w:rsidRPr="00C20724">
        <w:t>Buchner</w:t>
      </w:r>
      <w:r w:rsidRPr="0091165F">
        <w:t xml:space="preserve"> (Hrsg.) DS-GVO Bundesdatenschutzgesetz Kommentar. C. H. Beck Verlag, 3. Auflage 2020. ISBN 978-3-406-74994-0</w:t>
      </w:r>
    </w:p>
    <w:p w14:paraId="39EE750A" w14:textId="3591A24B" w:rsidR="00D2273D" w:rsidRDefault="00D2273D" w:rsidP="00D2273D">
      <w:pPr>
        <w:pStyle w:val="Funotentext"/>
        <w:numPr>
          <w:ilvl w:val="0"/>
          <w:numId w:val="10"/>
        </w:numPr>
        <w:ind w:left="567"/>
      </w:pPr>
      <w:r w:rsidRPr="00D2273D">
        <w:t>John</w:t>
      </w:r>
      <w:r>
        <w:t xml:space="preserve"> N, </w:t>
      </w:r>
      <w:r w:rsidRPr="00D2273D">
        <w:t>Schaller</w:t>
      </w:r>
      <w:r>
        <w:t xml:space="preserve"> J. (2022) Keine Disponibilität der technischen und organisatorischen Maßnahmen nach Art. 32 DSGVO. CR:</w:t>
      </w:r>
      <w:r w:rsidRPr="00D2273D">
        <w:t xml:space="preserve"> 156-159</w:t>
      </w:r>
    </w:p>
    <w:p w14:paraId="4371A6DA" w14:textId="37A7368C" w:rsidR="00AF6483" w:rsidRDefault="00AF6483" w:rsidP="00865786">
      <w:pPr>
        <w:pStyle w:val="Funotentext"/>
        <w:numPr>
          <w:ilvl w:val="0"/>
          <w:numId w:val="10"/>
        </w:numPr>
        <w:ind w:left="567"/>
      </w:pPr>
      <w:r w:rsidRPr="00C20724">
        <w:t>Lotz</w:t>
      </w:r>
      <w:r>
        <w:t xml:space="preserve"> B</w:t>
      </w:r>
      <w:r w:rsidRPr="00AF6483">
        <w:t xml:space="preserve">, </w:t>
      </w:r>
      <w:r w:rsidRPr="00C20724">
        <w:t>Wendler</w:t>
      </w:r>
      <w:r>
        <w:t xml:space="preserve"> J. (2016) Datensicherheit als datenschutzrechtliche Anforderung: </w:t>
      </w:r>
      <w:r w:rsidRPr="00C20724">
        <w:t>Zur</w:t>
      </w:r>
      <w:r>
        <w:t xml:space="preserve"> Frage der Abdingbarkeit des § 9 BDSG. </w:t>
      </w:r>
      <w:r w:rsidRPr="00C20724">
        <w:t>CR</w:t>
      </w:r>
      <w:r>
        <w:t>:</w:t>
      </w:r>
      <w:r w:rsidRPr="00AF6483">
        <w:t xml:space="preserve"> 31-36</w:t>
      </w:r>
    </w:p>
    <w:p w14:paraId="29874187" w14:textId="7447BFFD" w:rsidR="00865786" w:rsidRDefault="00865786" w:rsidP="00865786">
      <w:pPr>
        <w:pStyle w:val="Funotentext"/>
        <w:numPr>
          <w:ilvl w:val="0"/>
          <w:numId w:val="10"/>
        </w:numPr>
        <w:ind w:left="567"/>
      </w:pPr>
      <w:r w:rsidRPr="00865786">
        <w:t>Schwartmann</w:t>
      </w:r>
      <w:r>
        <w:t xml:space="preserve"> R, </w:t>
      </w:r>
      <w:r w:rsidRPr="00865786">
        <w:t>Hermann</w:t>
      </w:r>
      <w:r>
        <w:t xml:space="preserve"> T.: </w:t>
      </w:r>
      <w:r w:rsidRPr="00865786">
        <w:t>Teil 10.5 Datenschutz und Datensicherheit im (I)IoT</w:t>
      </w:r>
      <w:r>
        <w:t xml:space="preserve">, Rn. 79. In: </w:t>
      </w:r>
      <w:r w:rsidRPr="00C20724">
        <w:t>Leupold</w:t>
      </w:r>
      <w:r w:rsidRPr="00865786">
        <w:t>/</w:t>
      </w:r>
      <w:r w:rsidRPr="00C20724">
        <w:t>Wiebe</w:t>
      </w:r>
      <w:r w:rsidRPr="00865786">
        <w:t>/</w:t>
      </w:r>
      <w:r w:rsidRPr="00C20724">
        <w:t>Glossner</w:t>
      </w:r>
      <w:r>
        <w:t xml:space="preserve"> (Hrsg.) </w:t>
      </w:r>
      <w:r w:rsidRPr="00865786">
        <w:t>IT-Recht</w:t>
      </w:r>
      <w:r>
        <w:t>. C. H. Beck Verlag</w:t>
      </w:r>
      <w:r w:rsidR="0091165F">
        <w:t>,</w:t>
      </w:r>
      <w:r>
        <w:t xml:space="preserve"> 4</w:t>
      </w:r>
      <w:r w:rsidRPr="00865786">
        <w:t>. Auflage 2021</w:t>
      </w:r>
      <w:r>
        <w:t xml:space="preserve">. </w:t>
      </w:r>
      <w:r w:rsidRPr="00865786">
        <w:t>ISBN 978-3-406-74458-7</w:t>
      </w:r>
    </w:p>
  </w:footnote>
  <w:footnote w:id="94">
    <w:p w14:paraId="0A05CA2A" w14:textId="22A5ACEF" w:rsidR="00865786" w:rsidRDefault="00865786">
      <w:pPr>
        <w:pStyle w:val="Funotentext"/>
      </w:pPr>
      <w:r>
        <w:rPr>
          <w:rStyle w:val="Funotenzeichen"/>
        </w:rPr>
        <w:footnoteRef/>
      </w:r>
      <w:r>
        <w:t xml:space="preserve"> Siehe z. B. </w:t>
      </w:r>
      <w:r w:rsidRPr="00C20724">
        <w:t>Bleckat</w:t>
      </w:r>
      <w:r>
        <w:t xml:space="preserve"> A. (2021) </w:t>
      </w:r>
      <w:r w:rsidRPr="00865786">
        <w:t>Abdingbarkeit des Art. 32 DS-GVO durch Einwilligung</w:t>
      </w:r>
      <w:r>
        <w:t xml:space="preserve">. </w:t>
      </w:r>
      <w:r w:rsidRPr="00C20724">
        <w:t>RDV</w:t>
      </w:r>
      <w:r>
        <w:t>: 206-208 (207)</w:t>
      </w:r>
    </w:p>
  </w:footnote>
  <w:footnote w:id="95">
    <w:p w14:paraId="1DA3696D" w14:textId="374D0D32" w:rsidR="004430A8" w:rsidRDefault="004430A8">
      <w:pPr>
        <w:pStyle w:val="Funotentext"/>
      </w:pPr>
      <w:r>
        <w:rPr>
          <w:rStyle w:val="Funotenzeichen"/>
        </w:rPr>
        <w:footnoteRef/>
      </w:r>
      <w:r>
        <w:t xml:space="preserve"> </w:t>
      </w:r>
      <w:r w:rsidRPr="004430A8">
        <w:t>Verordnung des Europäischen Parlaments und des Rates über horizontale Cybersicherheitsanforderungen für Produkte mit digitalen Elementen und zur Änderung der Verordnung (EU) 2019/1020</w:t>
      </w:r>
      <w:r>
        <w:t xml:space="preserve">: </w:t>
      </w:r>
      <w:r w:rsidRPr="004430A8">
        <w:t>Konsolidierter Text</w:t>
      </w:r>
      <w:r>
        <w:t xml:space="preserve">. </w:t>
      </w:r>
      <w:r w:rsidRPr="00AF6483">
        <w:t>Online, zitiert am 2024-0</w:t>
      </w:r>
      <w:r>
        <w:t>4</w:t>
      </w:r>
      <w:r w:rsidRPr="00AF6483">
        <w:t>-</w:t>
      </w:r>
      <w:r>
        <w:t>25</w:t>
      </w:r>
      <w:r w:rsidRPr="00AF6483">
        <w:t>; verfügbar unter</w:t>
      </w:r>
      <w:r>
        <w:t xml:space="preserve"> </w:t>
      </w:r>
      <w:hyperlink r:id="rId76" w:history="1">
        <w:r w:rsidRPr="00512040">
          <w:rPr>
            <w:rStyle w:val="Hyperlink"/>
          </w:rPr>
          <w:t>https://www.europarl.europa.eu/doceo/document/TA-9-2024-0130_DE.html</w:t>
        </w:r>
      </w:hyperlink>
    </w:p>
  </w:footnote>
  <w:footnote w:id="96">
    <w:p w14:paraId="3B383CDB" w14:textId="4063882E" w:rsidR="004430A8" w:rsidRDefault="004430A8">
      <w:pPr>
        <w:pStyle w:val="Funotentext"/>
      </w:pPr>
      <w:r>
        <w:rPr>
          <w:rStyle w:val="Funotenzeichen"/>
        </w:rPr>
        <w:footnoteRef/>
      </w:r>
      <w:r>
        <w:t xml:space="preserve"> </w:t>
      </w:r>
      <w:r w:rsidRPr="004430A8">
        <w:t>Richtlinie (EU) 2022/2555 des Europäischen Parlaments und des Rates vom 14. Dezember 2022 über Maßnahmen für ein hohes gemeinsames Cybersicherheitsniveau in der Union, zur Änderung der Verordnung (EU) Nr. 910/2014 und der Richtlinie (EU) 2018/1972 sowie zur Aufhebung der Richtlinie (EU) 2016/1148 (NIS-2-Richtlinie)</w:t>
      </w:r>
      <w:r>
        <w:t>.</w:t>
      </w:r>
      <w:r w:rsidRPr="004430A8">
        <w:t xml:space="preserve"> </w:t>
      </w:r>
      <w:r w:rsidRPr="00AF6483">
        <w:t>Online, zitiert am 2024-0</w:t>
      </w:r>
      <w:r>
        <w:t>4</w:t>
      </w:r>
      <w:r w:rsidRPr="00AF6483">
        <w:t>-</w:t>
      </w:r>
      <w:r>
        <w:t>25</w:t>
      </w:r>
      <w:r w:rsidRPr="00AF6483">
        <w:t>; verfügbar unter</w:t>
      </w:r>
      <w:r>
        <w:t xml:space="preserve"> </w:t>
      </w:r>
      <w:hyperlink r:id="rId77" w:history="1">
        <w:r w:rsidRPr="00512040">
          <w:rPr>
            <w:rStyle w:val="Hyperlink"/>
          </w:rPr>
          <w:t>https://eur-lex.europa.eu/legal-content/DE/TXT/?uri=CELEX%3A32022L2555</w:t>
        </w:r>
      </w:hyperlink>
    </w:p>
  </w:footnote>
  <w:footnote w:id="97">
    <w:p w14:paraId="51648219" w14:textId="4D59525F" w:rsidR="004430A8" w:rsidRDefault="004430A8">
      <w:pPr>
        <w:pStyle w:val="Funotentext"/>
      </w:pPr>
      <w:r>
        <w:rPr>
          <w:rStyle w:val="Funotenzeichen"/>
        </w:rPr>
        <w:footnoteRef/>
      </w:r>
      <w:r>
        <w:t xml:space="preserve"> Bisher existiert nur ein geleakter Referentenentwurf des BMI vom 2023-12-23; ob die Frist seitens des deutschen </w:t>
      </w:r>
      <w:r w:rsidR="001D7978">
        <w:t>G</w:t>
      </w:r>
      <w:r>
        <w:t xml:space="preserve">esetzgebers eingehalten oder wieder einmal überschritten wird, ist derzeit nicht sicher zu sagen. </w:t>
      </w:r>
      <w:r w:rsidRPr="00AF6483">
        <w:t>Online, zitiert am 2024-0</w:t>
      </w:r>
      <w:r>
        <w:t>4</w:t>
      </w:r>
      <w:r w:rsidRPr="00AF6483">
        <w:t>-</w:t>
      </w:r>
      <w:r>
        <w:t>25</w:t>
      </w:r>
      <w:r w:rsidRPr="00AF6483">
        <w:t>; verfügbar unter</w:t>
      </w:r>
    </w:p>
    <w:p w14:paraId="3FCA9300" w14:textId="5FBB5876" w:rsidR="004430A8" w:rsidRDefault="004430A8" w:rsidP="004430A8">
      <w:pPr>
        <w:pStyle w:val="Funotentext"/>
        <w:numPr>
          <w:ilvl w:val="0"/>
          <w:numId w:val="10"/>
        </w:numPr>
      </w:pPr>
      <w:r>
        <w:t xml:space="preserve">Geleakter Referentenentwurf: </w:t>
      </w:r>
      <w:hyperlink r:id="rId78" w:history="1">
        <w:r w:rsidRPr="00512040">
          <w:rPr>
            <w:rStyle w:val="Hyperlink"/>
          </w:rPr>
          <w:t>https://ag.kritis.info/2024/03/07/referentenentwurf-des-bmi-nis-2-umsetzungs-und-cybersicherheitsstaerkungsgesetz-nis2umsucg/</w:t>
        </w:r>
      </w:hyperlink>
    </w:p>
    <w:p w14:paraId="57D0927A" w14:textId="714043CE" w:rsidR="004430A8" w:rsidRDefault="004430A8" w:rsidP="004430A8">
      <w:pPr>
        <w:pStyle w:val="Funotentext"/>
        <w:numPr>
          <w:ilvl w:val="0"/>
          <w:numId w:val="10"/>
        </w:numPr>
      </w:pPr>
      <w:r>
        <w:t xml:space="preserve">Diskussion zum Umsetzungstand: </w:t>
      </w:r>
      <w:hyperlink r:id="rId79" w:history="1">
        <w:r w:rsidRPr="00512040">
          <w:rPr>
            <w:rStyle w:val="Hyperlink"/>
          </w:rPr>
          <w:t>https://intrapol.org/2024/03/04/update-zum-neuen-refe-fuer-ein-nis2umsucg/</w:t>
        </w:r>
      </w:hyperlink>
    </w:p>
  </w:footnote>
  <w:footnote w:id="98">
    <w:p w14:paraId="3CDE810C" w14:textId="09C216B8" w:rsidR="004430A8" w:rsidRDefault="004430A8">
      <w:pPr>
        <w:pStyle w:val="Funotentext"/>
      </w:pPr>
      <w:r>
        <w:rPr>
          <w:rStyle w:val="Funotenzeichen"/>
        </w:rPr>
        <w:footnoteRef/>
      </w:r>
      <w:r>
        <w:t xml:space="preserve"> </w:t>
      </w:r>
      <w:r w:rsidRPr="004430A8">
        <w:t>Richtlinie (EU) 2022/2557 des Europäischen Parlaments und des Rates vom 14. Dezember 2022 über die Resilienz kritischer Einrichtungen und zur Aufhebung der Richtlinie 2008/114/EG des Rates</w:t>
      </w:r>
      <w:r>
        <w:t xml:space="preserve">. </w:t>
      </w:r>
      <w:r w:rsidRPr="00AF6483">
        <w:t>Online, zitiert am 2024-0</w:t>
      </w:r>
      <w:r>
        <w:t>4</w:t>
      </w:r>
      <w:r w:rsidRPr="00AF6483">
        <w:t>-</w:t>
      </w:r>
      <w:r>
        <w:t>25</w:t>
      </w:r>
      <w:r w:rsidRPr="00AF6483">
        <w:t>; verfügbar unter</w:t>
      </w:r>
      <w:r>
        <w:t xml:space="preserve"> </w:t>
      </w:r>
      <w:hyperlink r:id="rId80" w:history="1">
        <w:r w:rsidRPr="00512040">
          <w:rPr>
            <w:rStyle w:val="Hyperlink"/>
          </w:rPr>
          <w:t>https://eur-lex.europa.eu/eli/dir/2022/2557/oj</w:t>
        </w:r>
      </w:hyperlink>
    </w:p>
  </w:footnote>
  <w:footnote w:id="99">
    <w:p w14:paraId="0B2E4E2F" w14:textId="7551BE9E" w:rsidR="004430A8" w:rsidRDefault="004430A8">
      <w:pPr>
        <w:pStyle w:val="Funotentext"/>
      </w:pPr>
      <w:r>
        <w:rPr>
          <w:rStyle w:val="Funotenzeichen"/>
        </w:rPr>
        <w:footnoteRef/>
      </w:r>
      <w:r>
        <w:t xml:space="preserve"> Referentenentwurf des BMI vom 2023-07-28 stand zur Verbändekommentierung zur Verfügung, sowohl der Referentenentwurf wie auch die Stellungnahmen sind im Internet abrufbar. </w:t>
      </w:r>
      <w:r w:rsidRPr="00AF6483">
        <w:t>Online, zitiert am 2024-0</w:t>
      </w:r>
      <w:r>
        <w:t>4</w:t>
      </w:r>
      <w:r w:rsidRPr="00AF6483">
        <w:t>-</w:t>
      </w:r>
      <w:r>
        <w:t>25</w:t>
      </w:r>
      <w:r w:rsidRPr="00AF6483">
        <w:t>; verfügbar unter</w:t>
      </w:r>
      <w:r>
        <w:t xml:space="preserve"> </w:t>
      </w:r>
      <w:hyperlink r:id="rId81" w:history="1">
        <w:r w:rsidRPr="00512040">
          <w:rPr>
            <w:rStyle w:val="Hyperlink"/>
          </w:rPr>
          <w:t>https://www.bmi.bund.de/SharedDocs/gesetzgebungsverfahren/DE/KRITIS-DachG.html</w:t>
        </w:r>
      </w:hyperlink>
    </w:p>
  </w:footnote>
  <w:footnote w:id="100">
    <w:p w14:paraId="781E5DC2" w14:textId="7AE7D8A5" w:rsidR="006F0265" w:rsidRDefault="006F0265">
      <w:pPr>
        <w:pStyle w:val="Funotentext"/>
      </w:pPr>
      <w:r>
        <w:rPr>
          <w:rStyle w:val="Funotenzeichen"/>
        </w:rPr>
        <w:footnoteRef/>
      </w:r>
      <w:r>
        <w:t xml:space="preserve"> </w:t>
      </w:r>
      <w:r w:rsidRPr="006F0265">
        <w:t>Bundestag - Drucksache 19/13438</w:t>
      </w:r>
      <w:r>
        <w:t xml:space="preserve"> vom 2019-09-</w:t>
      </w:r>
      <w:r w:rsidRPr="006F0265">
        <w:t>23</w:t>
      </w:r>
      <w:r>
        <w:t>, Seite 48 (</w:t>
      </w:r>
      <w:r w:rsidRPr="006F0265">
        <w:t>Zu Nummer 10</w:t>
      </w:r>
      <w:r>
        <w:t xml:space="preserve">). </w:t>
      </w:r>
      <w:r w:rsidRPr="00AF6483">
        <w:t>Online, zitiert am 2024-0</w:t>
      </w:r>
      <w:r w:rsidR="00865786">
        <w:t>4</w:t>
      </w:r>
      <w:r w:rsidRPr="00AF6483">
        <w:t>-</w:t>
      </w:r>
      <w:r>
        <w:t>23</w:t>
      </w:r>
      <w:r w:rsidRPr="00AF6483">
        <w:t>; verfügbar unter</w:t>
      </w:r>
      <w:r>
        <w:t xml:space="preserve"> </w:t>
      </w:r>
      <w:hyperlink r:id="rId82" w:history="1">
        <w:r w:rsidRPr="00C20724">
          <w:rPr>
            <w:rStyle w:val="Hyperlink"/>
          </w:rPr>
          <w:t>https://dserver.bundestag.de/btd/19/134/1913438.pdf</w:t>
        </w:r>
      </w:hyperlink>
    </w:p>
  </w:footnote>
  <w:footnote w:id="101">
    <w:p w14:paraId="037EFB5B" w14:textId="721CB94C" w:rsidR="0012289B" w:rsidRDefault="0012289B">
      <w:pPr>
        <w:pStyle w:val="Funotentext"/>
      </w:pPr>
      <w:r>
        <w:rPr>
          <w:rStyle w:val="Funotenzeichen"/>
        </w:rPr>
        <w:footnoteRef/>
      </w:r>
      <w:r>
        <w:t xml:space="preserve"> Z. B.: GMDS, GDD: „</w:t>
      </w:r>
      <w:r w:rsidRPr="0012289B">
        <w:t>Die datenschutzrechtliche Einwilligung: Freund (nicht nur) des Forschers</w:t>
      </w:r>
      <w:r>
        <w:t xml:space="preserve">. Stand: </w:t>
      </w:r>
      <w:r w:rsidRPr="0012289B">
        <w:t>30. April 2021</w:t>
      </w:r>
      <w:r>
        <w:t xml:space="preserve">. </w:t>
      </w:r>
      <w:r w:rsidRPr="00AF6483">
        <w:t>Online, zitiert am 2024-0</w:t>
      </w:r>
      <w:r w:rsidR="00C20724">
        <w:t>4</w:t>
      </w:r>
      <w:r w:rsidRPr="00AF6483">
        <w:t>-</w:t>
      </w:r>
      <w:r>
        <w:t>23</w:t>
      </w:r>
      <w:r w:rsidRPr="00AF6483">
        <w:t>; verfügbar unter</w:t>
      </w:r>
      <w:r>
        <w:t xml:space="preserve"> </w:t>
      </w:r>
      <w:hyperlink r:id="rId83" w:history="1">
        <w:r>
          <w:rPr>
            <w:rStyle w:val="Hyperlink"/>
          </w:rPr>
          <w:t xml:space="preserve">https://gesundheitsdatenschutz.org/html/ </w:t>
        </w:r>
        <w:r w:rsidRPr="00C20724">
          <w:rPr>
            <w:rStyle w:val="Hyperlink"/>
          </w:rPr>
          <w:t>einwilligung.php</w:t>
        </w:r>
      </w:hyperlink>
    </w:p>
  </w:footnote>
  <w:footnote w:id="102">
    <w:p w14:paraId="0BCCBC21" w14:textId="598F8407" w:rsidR="001C0082" w:rsidRDefault="001C0082">
      <w:pPr>
        <w:pStyle w:val="Funotentext"/>
      </w:pPr>
      <w:r>
        <w:rPr>
          <w:rStyle w:val="Funotenzeichen"/>
        </w:rPr>
        <w:footnoteRef/>
      </w:r>
      <w:r>
        <w:t xml:space="preserve"> </w:t>
      </w:r>
      <w:r w:rsidRPr="001C0082">
        <w:t xml:space="preserve">OLG Düsseldorf, </w:t>
      </w:r>
      <w:r>
        <w:t>Urt. v. 2021-10-</w:t>
      </w:r>
      <w:r w:rsidRPr="001C0082">
        <w:t>28</w:t>
      </w:r>
      <w:r>
        <w:t>, Az. </w:t>
      </w:r>
      <w:r w:rsidRPr="001C0082">
        <w:t>16 U 275/20</w:t>
      </w:r>
      <w:r>
        <w:t xml:space="preserve">, Rn. 73. </w:t>
      </w:r>
      <w:r w:rsidRPr="00AF6483">
        <w:t>Online, zitiert am 2024-0</w:t>
      </w:r>
      <w:r>
        <w:t>4</w:t>
      </w:r>
      <w:r w:rsidRPr="00AF6483">
        <w:t>-</w:t>
      </w:r>
      <w:r>
        <w:t>23</w:t>
      </w:r>
      <w:r w:rsidRPr="00AF6483">
        <w:t>; verfügbar unter</w:t>
      </w:r>
      <w:r>
        <w:t xml:space="preserve"> </w:t>
      </w:r>
      <w:hyperlink r:id="rId84" w:history="1">
        <w:r w:rsidRPr="00216881">
          <w:rPr>
            <w:rStyle w:val="Hyperlink"/>
          </w:rPr>
          <w:t>https://dejure.org/2021</w:t>
        </w:r>
        <w:r w:rsidRPr="00C20724">
          <w:rPr>
            <w:rStyle w:val="Hyperlink"/>
          </w:rPr>
          <w:t>,55418</w:t>
        </w:r>
      </w:hyperlink>
      <w:r>
        <w:rPr>
          <w:rStyle w:val="copytoclipboard"/>
        </w:rPr>
        <w:t xml:space="preserve"> bzw. Volltext unter </w:t>
      </w:r>
      <w:hyperlink r:id="rId85" w:history="1">
        <w:r w:rsidRPr="00216881">
          <w:rPr>
            <w:rStyle w:val="Hyperlink"/>
          </w:rPr>
          <w:t>https://openjur.de/u/2384847</w:t>
        </w:r>
        <w:r w:rsidRPr="00C20724">
          <w:rPr>
            <w:rStyle w:val="Hyperlink"/>
          </w:rPr>
          <w:t>.html</w:t>
        </w:r>
      </w:hyperlink>
    </w:p>
  </w:footnote>
  <w:footnote w:id="103">
    <w:p w14:paraId="0F5256A0" w14:textId="09DBC65F" w:rsidR="001C0082" w:rsidRDefault="001C0082">
      <w:pPr>
        <w:pStyle w:val="Funotentext"/>
      </w:pPr>
      <w:r>
        <w:rPr>
          <w:rStyle w:val="Funotenzeichen"/>
        </w:rPr>
        <w:footnoteRef/>
      </w:r>
      <w:r>
        <w:t xml:space="preserve"> </w:t>
      </w:r>
      <w:r w:rsidRPr="001C0082">
        <w:t>SG Hamburg,</w:t>
      </w:r>
      <w:r>
        <w:t xml:space="preserve"> Urt. v. 2023-06-30, Az. </w:t>
      </w:r>
      <w:r w:rsidRPr="001C0082">
        <w:t xml:space="preserve"> S 39 AS 517/23</w:t>
      </w:r>
      <w:r>
        <w:t xml:space="preserve">, Rn. 43. </w:t>
      </w:r>
      <w:r w:rsidRPr="00AF6483">
        <w:t>Online, zitiert am 2024-0</w:t>
      </w:r>
      <w:r>
        <w:t>4</w:t>
      </w:r>
      <w:r w:rsidRPr="00AF6483">
        <w:t>-</w:t>
      </w:r>
      <w:r>
        <w:t>23</w:t>
      </w:r>
      <w:r w:rsidRPr="00AF6483">
        <w:t>; verfügbar unter</w:t>
      </w:r>
      <w:r>
        <w:t xml:space="preserve"> </w:t>
      </w:r>
      <w:hyperlink r:id="rId86" w:history="1">
        <w:r w:rsidRPr="00E45D66">
          <w:rPr>
            <w:rStyle w:val="Hyperlink"/>
          </w:rPr>
          <w:t>https://www.landesrecht-hamburg.de/bsha/document/NJRE001547745</w:t>
        </w:r>
      </w:hyperlink>
    </w:p>
  </w:footnote>
  <w:footnote w:id="104">
    <w:p w14:paraId="1B8C858B" w14:textId="6916B2DE" w:rsidR="00E45D66" w:rsidRDefault="00E45D66" w:rsidP="00E45D66">
      <w:pPr>
        <w:pStyle w:val="Funotentext"/>
      </w:pPr>
      <w:r>
        <w:rPr>
          <w:rStyle w:val="Funotenzeichen"/>
        </w:rPr>
        <w:footnoteRef/>
      </w:r>
      <w:r>
        <w:t xml:space="preserve"> </w:t>
      </w:r>
      <w:r w:rsidRPr="001C0082">
        <w:t>SG Hamburg,</w:t>
      </w:r>
      <w:r>
        <w:t xml:space="preserve"> Urt. v. 2023-06-30, Az. </w:t>
      </w:r>
      <w:r w:rsidRPr="001C0082">
        <w:t xml:space="preserve"> S 39 AS 517/23</w:t>
      </w:r>
      <w:r>
        <w:t xml:space="preserve">, Rn. 90. </w:t>
      </w:r>
      <w:r w:rsidRPr="00AF6483">
        <w:t>Online, zitiert am 2024-0</w:t>
      </w:r>
      <w:r>
        <w:t>4</w:t>
      </w:r>
      <w:r w:rsidRPr="00AF6483">
        <w:t>-</w:t>
      </w:r>
      <w:r>
        <w:t>23</w:t>
      </w:r>
      <w:r w:rsidRPr="00AF6483">
        <w:t>; verfügbar unter</w:t>
      </w:r>
      <w:r>
        <w:t xml:space="preserve"> </w:t>
      </w:r>
      <w:hyperlink r:id="rId87" w:history="1">
        <w:r w:rsidRPr="00E45D66">
          <w:rPr>
            <w:rStyle w:val="Hyperlink"/>
          </w:rPr>
          <w:t>https://www.landesrecht-hamburg.de/bsha/document/NJRE001547745</w:t>
        </w:r>
      </w:hyperlink>
    </w:p>
  </w:footnote>
  <w:footnote w:id="105">
    <w:p w14:paraId="6E04372C" w14:textId="131B3DDD" w:rsidR="00C20724" w:rsidRDefault="00C20724">
      <w:pPr>
        <w:pStyle w:val="Funotentext"/>
      </w:pPr>
      <w:r>
        <w:rPr>
          <w:rStyle w:val="Funotenzeichen"/>
        </w:rPr>
        <w:footnoteRef/>
      </w:r>
      <w:r>
        <w:t xml:space="preserve"> EuGH, Urt. v. </w:t>
      </w:r>
      <w:r w:rsidRPr="00C20724">
        <w:t>2023-12-14</w:t>
      </w:r>
      <w:r>
        <w:t xml:space="preserve">, Rechtssache </w:t>
      </w:r>
      <w:r w:rsidRPr="00C20724">
        <w:t>C-340/21</w:t>
      </w:r>
      <w:r>
        <w:t xml:space="preserve">, Rn. 42. </w:t>
      </w:r>
      <w:r w:rsidRPr="00AF6483">
        <w:t>Online, zitiert am 2024-0</w:t>
      </w:r>
      <w:r>
        <w:t>4</w:t>
      </w:r>
      <w:r w:rsidRPr="00AF6483">
        <w:t>-</w:t>
      </w:r>
      <w:r>
        <w:t>23</w:t>
      </w:r>
      <w:r w:rsidRPr="00AF6483">
        <w:t>; verfügbar unter</w:t>
      </w:r>
      <w:r>
        <w:t xml:space="preserve"> </w:t>
      </w:r>
      <w:hyperlink r:id="rId88" w:history="1">
        <w:r w:rsidRPr="00C20724">
          <w:rPr>
            <w:rStyle w:val="Hyperlink"/>
          </w:rPr>
          <w:t>https://eur-lex.europa.eu/legal-content/de/TXT/?uri=CELEX:62021CJ0340</w:t>
        </w:r>
      </w:hyperlink>
    </w:p>
  </w:footnote>
  <w:footnote w:id="106">
    <w:p w14:paraId="78EBB0B4" w14:textId="01C6BD1A" w:rsidR="00C20724" w:rsidRDefault="00C20724">
      <w:pPr>
        <w:pStyle w:val="Funotentext"/>
      </w:pPr>
      <w:r>
        <w:rPr>
          <w:rStyle w:val="Funotenzeichen"/>
        </w:rPr>
        <w:footnoteRef/>
      </w:r>
      <w:r>
        <w:t xml:space="preserve"> EuGH, Urt. v. </w:t>
      </w:r>
      <w:r w:rsidRPr="00C20724">
        <w:t>2023-12-14</w:t>
      </w:r>
      <w:r>
        <w:t xml:space="preserve">, Rechtssache </w:t>
      </w:r>
      <w:r w:rsidRPr="00C20724">
        <w:t>C-340/21</w:t>
      </w:r>
      <w:r>
        <w:t xml:space="preserve">, Rn. 57. </w:t>
      </w:r>
      <w:r w:rsidRPr="00AF6483">
        <w:t>Online, zitiert am 2024-0</w:t>
      </w:r>
      <w:r>
        <w:t>4</w:t>
      </w:r>
      <w:r w:rsidRPr="00AF6483">
        <w:t>-</w:t>
      </w:r>
      <w:r>
        <w:t>23</w:t>
      </w:r>
      <w:r w:rsidRPr="00AF6483">
        <w:t>; verfügbar unter</w:t>
      </w:r>
      <w:r>
        <w:t xml:space="preserve"> </w:t>
      </w:r>
      <w:hyperlink r:id="rId89" w:history="1">
        <w:r w:rsidRPr="00C20724">
          <w:rPr>
            <w:rStyle w:val="Hyperlink"/>
          </w:rPr>
          <w:t>https://eur-lex.europa.eu/legal-content/de/TXT/?uri=CELEX:62021CJ0340</w:t>
        </w:r>
      </w:hyperlink>
    </w:p>
  </w:footnote>
  <w:footnote w:id="107">
    <w:p w14:paraId="3B6B9EBE" w14:textId="77777777" w:rsidR="00DF2C6B" w:rsidRDefault="00DF2C6B" w:rsidP="00DF2C6B">
      <w:pPr>
        <w:pStyle w:val="Funotentext"/>
      </w:pPr>
      <w:r>
        <w:rPr>
          <w:rStyle w:val="Funotenzeichen"/>
        </w:rPr>
        <w:footnoteRef/>
      </w:r>
      <w:r>
        <w:t xml:space="preserve"> </w:t>
      </w:r>
      <w:r w:rsidRPr="00865786">
        <w:t>Bayrisches Landesamt für Datenschutzaufsicht</w:t>
      </w:r>
      <w:r>
        <w:t xml:space="preserve">: </w:t>
      </w:r>
      <w:r w:rsidRPr="00865786">
        <w:t>7. Tätigkeitsbericht von 2015/2016</w:t>
      </w:r>
      <w:r>
        <w:t xml:space="preserve">, S. 99. </w:t>
      </w:r>
      <w:r w:rsidRPr="00AF6483">
        <w:t>Online, zitiert am 2024-0</w:t>
      </w:r>
      <w:r>
        <w:t>4</w:t>
      </w:r>
      <w:r w:rsidRPr="00AF6483">
        <w:t>-</w:t>
      </w:r>
      <w:r>
        <w:t>23</w:t>
      </w:r>
      <w:r w:rsidRPr="00AF6483">
        <w:t>; verfügbar unter</w:t>
      </w:r>
      <w:r>
        <w:t xml:space="preserve"> </w:t>
      </w:r>
      <w:r w:rsidRPr="00231E05">
        <w:t>https://www.lda.bayern.de/media/baylda_report_07.pdf</w:t>
      </w:r>
    </w:p>
  </w:footnote>
  <w:footnote w:id="108">
    <w:p w14:paraId="2AB5BC63" w14:textId="77777777" w:rsidR="00DF2C6B" w:rsidRDefault="00DF2C6B" w:rsidP="00DF2C6B">
      <w:pPr>
        <w:pStyle w:val="Funotentext"/>
      </w:pPr>
      <w:r>
        <w:rPr>
          <w:rStyle w:val="Funotenzeichen"/>
        </w:rPr>
        <w:footnoteRef/>
      </w:r>
      <w:r>
        <w:t xml:space="preserve"> </w:t>
      </w:r>
      <w:r w:rsidRPr="00C06F0E">
        <w:t xml:space="preserve">Bayrisches Landesamt für Datenschutzaufsicht: </w:t>
      </w:r>
      <w:r>
        <w:t>8</w:t>
      </w:r>
      <w:r w:rsidRPr="00C06F0E">
        <w:t>. Tätigkeitsbericht von 201</w:t>
      </w:r>
      <w:r>
        <w:t>7</w:t>
      </w:r>
      <w:r w:rsidRPr="00C06F0E">
        <w:t>/201</w:t>
      </w:r>
      <w:r>
        <w:t>8</w:t>
      </w:r>
      <w:r w:rsidRPr="00C06F0E">
        <w:t>, S.</w:t>
      </w:r>
      <w:r>
        <w:t> 137 u. 138</w:t>
      </w:r>
      <w:r w:rsidRPr="00C06F0E">
        <w:t>. Online, zitiert am 2024-04-23; verfügbar unter</w:t>
      </w:r>
      <w:r>
        <w:t xml:space="preserve"> </w:t>
      </w:r>
      <w:hyperlink r:id="rId90" w:history="1">
        <w:r w:rsidRPr="00231E05">
          <w:rPr>
            <w:rStyle w:val="Hyperlink"/>
          </w:rPr>
          <w:t>https://www.lda.bayern.de/media/baylda_report_08.pdf</w:t>
        </w:r>
      </w:hyperlink>
    </w:p>
  </w:footnote>
  <w:footnote w:id="109">
    <w:p w14:paraId="3E593AFF" w14:textId="77777777" w:rsidR="00865786" w:rsidRDefault="00865786" w:rsidP="00865786">
      <w:pPr>
        <w:pStyle w:val="Funotentext"/>
      </w:pPr>
      <w:r>
        <w:rPr>
          <w:rStyle w:val="Funotenzeichen"/>
        </w:rPr>
        <w:footnoteRef/>
      </w:r>
      <w:r>
        <w:t xml:space="preserve"> </w:t>
      </w:r>
      <w:r w:rsidRPr="00865786">
        <w:t xml:space="preserve">Der </w:t>
      </w:r>
      <w:r w:rsidRPr="00231E05">
        <w:t>Hamburgische</w:t>
      </w:r>
      <w:r w:rsidRPr="00865786">
        <w:t xml:space="preserve"> Beauftragte für Datenschutz und Informationsfreiheit</w:t>
      </w:r>
      <w:r>
        <w:t xml:space="preserve">: </w:t>
      </w:r>
      <w:r w:rsidRPr="00865786">
        <w:t>Abdingbarkeit von technisch-organisatorischen Maßnahmen (Art. 32 DSGVO)</w:t>
      </w:r>
      <w:r>
        <w:t xml:space="preserve">. </w:t>
      </w:r>
      <w:r w:rsidRPr="00AF6483">
        <w:t>Online, zitiert am 2024-0</w:t>
      </w:r>
      <w:r>
        <w:t>4</w:t>
      </w:r>
      <w:r w:rsidRPr="00AF6483">
        <w:t>-</w:t>
      </w:r>
      <w:r>
        <w:t>23</w:t>
      </w:r>
      <w:r w:rsidRPr="00AF6483">
        <w:t>; verfügbar unter</w:t>
      </w:r>
      <w:r>
        <w:t xml:space="preserve"> </w:t>
      </w:r>
      <w:hyperlink r:id="rId91" w:history="1">
        <w:r w:rsidRPr="00216881">
          <w:rPr>
            <w:rStyle w:val="Hyperlink"/>
          </w:rPr>
          <w:t>https://datenschutz-hamburg.de/fileadmin/user</w:t>
        </w:r>
        <w:r w:rsidRPr="00231E05">
          <w:rPr>
            <w:rStyle w:val="Hyperlink"/>
          </w:rPr>
          <w:t>_upload</w:t>
        </w:r>
        <w:r w:rsidRPr="00216881">
          <w:rPr>
            <w:rStyle w:val="Hyperlink"/>
          </w:rPr>
          <w:t>/</w:t>
        </w:r>
        <w:r w:rsidRPr="00231E05">
          <w:rPr>
            <w:rStyle w:val="Hyperlink"/>
          </w:rPr>
          <w:t>HmbBfDI</w:t>
        </w:r>
        <w:r w:rsidRPr="00216881">
          <w:rPr>
            <w:rStyle w:val="Hyperlink"/>
          </w:rPr>
          <w:t>/</w:t>
        </w:r>
        <w:r w:rsidRPr="00231E05">
          <w:rPr>
            <w:rStyle w:val="Hyperlink"/>
          </w:rPr>
          <w:t>Vermerke_und_Stellungnahmen</w:t>
        </w:r>
        <w:r w:rsidRPr="00216881">
          <w:rPr>
            <w:rStyle w:val="Hyperlink"/>
          </w:rPr>
          <w:t>/</w:t>
        </w:r>
        <w:r w:rsidRPr="00231E05">
          <w:rPr>
            <w:rStyle w:val="Hyperlink"/>
          </w:rPr>
          <w:t>Vermerk-Abdingbarkeit_TOMs.pdf</w:t>
        </w:r>
      </w:hyperlink>
    </w:p>
  </w:footnote>
  <w:footnote w:id="110">
    <w:p w14:paraId="79D709DC" w14:textId="02F3517A" w:rsidR="00C06F0E" w:rsidRDefault="00C06F0E">
      <w:pPr>
        <w:pStyle w:val="Funotentext"/>
      </w:pPr>
      <w:r>
        <w:rPr>
          <w:rStyle w:val="Funotenzeichen"/>
        </w:rPr>
        <w:footnoteRef/>
      </w:r>
      <w:r>
        <w:t xml:space="preserve"> </w:t>
      </w:r>
      <w:r w:rsidRPr="00C06F0E">
        <w:t>Sächsische Datenschutz- und Transparenzbeauftragte</w:t>
      </w:r>
      <w:r>
        <w:t xml:space="preserve">: </w:t>
      </w:r>
      <w:r w:rsidRPr="00C06F0E">
        <w:t>Tätigkeitsbericht 2019</w:t>
      </w:r>
      <w:r>
        <w:t xml:space="preserve">, Abschnitt 4.1.7, S. 87. </w:t>
      </w:r>
      <w:r w:rsidRPr="00C06F0E">
        <w:t>Online, zitiert am 2024-04-23; verfügbar unter</w:t>
      </w:r>
      <w:r>
        <w:t xml:space="preserve"> </w:t>
      </w:r>
      <w:hyperlink r:id="rId92" w:history="1">
        <w:r>
          <w:rPr>
            <w:rStyle w:val="Hyperlink"/>
          </w:rPr>
          <w:t xml:space="preserve">https://www.datenschutz.sachsen.de/download/ </w:t>
        </w:r>
        <w:r w:rsidRPr="00231E05">
          <w:rPr>
            <w:rStyle w:val="Hyperlink"/>
          </w:rPr>
          <w:t>taetigkeitsberichte</w:t>
        </w:r>
        <w:r>
          <w:rPr>
            <w:rStyle w:val="Hyperlink"/>
          </w:rPr>
          <w:t>/</w:t>
        </w:r>
        <w:r w:rsidRPr="00231E05">
          <w:rPr>
            <w:rStyle w:val="Hyperlink"/>
          </w:rPr>
          <w:t>Taetigkeitsbericht_2019.pdf</w:t>
        </w:r>
      </w:hyperlink>
    </w:p>
  </w:footnote>
  <w:footnote w:id="111">
    <w:p w14:paraId="018D16B7" w14:textId="77777777" w:rsidR="00E45D66" w:rsidRDefault="00E45D66" w:rsidP="00E45D66">
      <w:pPr>
        <w:pStyle w:val="Funotentext"/>
      </w:pPr>
      <w:r>
        <w:rPr>
          <w:rStyle w:val="Funotenzeichen"/>
        </w:rPr>
        <w:footnoteRef/>
      </w:r>
      <w:r>
        <w:t xml:space="preserve"> </w:t>
      </w:r>
      <w:r w:rsidRPr="00E45D66">
        <w:t>Konferenz der Diözesandatenschutzbeauftragten der Katholischen Kirche Deutschland</w:t>
      </w:r>
      <w:r>
        <w:t xml:space="preserve">: </w:t>
      </w:r>
      <w:r w:rsidRPr="00E45D66">
        <w:t>Dispositionsrecht zur Einwilligung in die Nichtanwendung von technischen und organisatorischen Maßnahmen</w:t>
      </w:r>
      <w:r>
        <w:t xml:space="preserve">. Beschluss der </w:t>
      </w:r>
      <w:r w:rsidRPr="00E45D66">
        <w:t xml:space="preserve">Sitzung vom </w:t>
      </w:r>
      <w:r>
        <w:t xml:space="preserve">2022-06-15. </w:t>
      </w:r>
      <w:r w:rsidRPr="00C06F0E">
        <w:t>Online, zitiert am 2024-04-23; verfügbar unter</w:t>
      </w:r>
      <w:r>
        <w:t xml:space="preserve"> </w:t>
      </w:r>
      <w:hyperlink r:id="rId93" w:history="1">
        <w:r w:rsidRPr="00E45D66">
          <w:rPr>
            <w:rStyle w:val="Hyperlink"/>
          </w:rPr>
          <w:t>https://www.kath-datenschutzzentrum-ffm.de/wp-content/uploads/2022-06-15-Beschluss-Dispositionsrecht-Nichtanwendung-TOM.pdf</w:t>
        </w:r>
      </w:hyperlink>
    </w:p>
  </w:footnote>
  <w:footnote w:id="112">
    <w:p w14:paraId="0B2AFAD2" w14:textId="6E304FF1" w:rsidR="00DF2C6B" w:rsidRDefault="00DF2C6B">
      <w:pPr>
        <w:pStyle w:val="Funotentext"/>
      </w:pPr>
      <w:r>
        <w:rPr>
          <w:rStyle w:val="Funotenzeichen"/>
        </w:rPr>
        <w:footnoteRef/>
      </w:r>
      <w:r>
        <w:t xml:space="preserve"> </w:t>
      </w:r>
      <w:r w:rsidRPr="00DF2C6B">
        <w:t xml:space="preserve">Der Bundesbeauftragte für den Datenschutz und die </w:t>
      </w:r>
      <w:r w:rsidRPr="00231E05">
        <w:t>Informationsfreiheit:</w:t>
      </w:r>
      <w:r>
        <w:t xml:space="preserve"> : </w:t>
      </w:r>
      <w:r w:rsidRPr="00DF2C6B">
        <w:t>Stellungnahme zur steuerlichen Förderung der Elektromobilität</w:t>
      </w:r>
      <w:r>
        <w:t xml:space="preserve">, S. 3 und 4. (Stand 2019-10-11) </w:t>
      </w:r>
      <w:r w:rsidRPr="00C06F0E">
        <w:t>Online, zitiert am 2024-04-23; verfügbar unter</w:t>
      </w:r>
      <w:r>
        <w:t xml:space="preserve"> </w:t>
      </w:r>
      <w:hyperlink r:id="rId94" w:history="1">
        <w:r w:rsidRPr="00231E05">
          <w:rPr>
            <w:rStyle w:val="Hyperlink"/>
          </w:rPr>
          <w:t>https://www.bfdi.bund.de/SharedDocs/Downloads/DE/DokumenteBfDI/Stellungnahmen/2019/StgN_steuerliche_F%C3%B6rderung_eMobilit%C3%A4t.pdf?__blob=publicationFile&amp;v=5</w:t>
        </w:r>
      </w:hyperlink>
    </w:p>
  </w:footnote>
  <w:footnote w:id="113">
    <w:p w14:paraId="16E9DC21" w14:textId="1C4539C9" w:rsidR="00DF2C6B" w:rsidRDefault="00DF2C6B">
      <w:pPr>
        <w:pStyle w:val="Funotentext"/>
      </w:pPr>
      <w:r>
        <w:rPr>
          <w:rStyle w:val="Funotenzeichen"/>
        </w:rPr>
        <w:footnoteRef/>
      </w:r>
      <w:r>
        <w:t xml:space="preserve"> </w:t>
      </w:r>
      <w:r w:rsidRPr="00DF2C6B">
        <w:t>Die Landesbeauftragte für den Datenschutz und für das Recht auf Akteneinsicht</w:t>
      </w:r>
      <w:r>
        <w:t xml:space="preserve"> Brandenburg: </w:t>
      </w:r>
      <w:r w:rsidRPr="00DF2C6B">
        <w:t>Tätigkeitsbericht Datenschutz 2020</w:t>
      </w:r>
      <w:r>
        <w:t xml:space="preserve">, S. 43. </w:t>
      </w:r>
      <w:r w:rsidRPr="00C06F0E">
        <w:t>Online, zitiert am 2024-04-23; verfügbar unter</w:t>
      </w:r>
      <w:r>
        <w:t xml:space="preserve"> </w:t>
      </w:r>
      <w:hyperlink r:id="rId95" w:history="1">
        <w:r w:rsidRPr="00231E05">
          <w:rPr>
            <w:rStyle w:val="Hyperlink"/>
          </w:rPr>
          <w:t>https://www.lda.brandenburg.de/sixcms/media.php/9/TB_2020_web.pdf</w:t>
        </w:r>
      </w:hyperlink>
    </w:p>
  </w:footnote>
  <w:footnote w:id="114">
    <w:p w14:paraId="17FFFD6A" w14:textId="624A9551" w:rsidR="00865786" w:rsidRDefault="00865786">
      <w:pPr>
        <w:pStyle w:val="Funotentext"/>
      </w:pPr>
      <w:r>
        <w:rPr>
          <w:rStyle w:val="Funotenzeichen"/>
        </w:rPr>
        <w:footnoteRef/>
      </w:r>
      <w:r>
        <w:t xml:space="preserve"> </w:t>
      </w:r>
      <w:r w:rsidRPr="00865786">
        <w:t>Unabhängiges Landeszentrum für Datenschutz Schleswig-Holstein</w:t>
      </w:r>
      <w:r>
        <w:t xml:space="preserve">: </w:t>
      </w:r>
      <w:r w:rsidRPr="00865786">
        <w:t>37. Tätigkeitsbericht</w:t>
      </w:r>
      <w:r>
        <w:t xml:space="preserve"> 2019, Abschnitt 5.4.9 auf S. 99. </w:t>
      </w:r>
      <w:r w:rsidRPr="00AF6483">
        <w:t>Online, zitiert am 2024-0</w:t>
      </w:r>
      <w:r>
        <w:t>4</w:t>
      </w:r>
      <w:r w:rsidRPr="00AF6483">
        <w:t>-</w:t>
      </w:r>
      <w:r>
        <w:t>23</w:t>
      </w:r>
      <w:r w:rsidRPr="00AF6483">
        <w:t>; verfügbar unter</w:t>
      </w:r>
      <w:r>
        <w:t xml:space="preserve"> </w:t>
      </w:r>
      <w:hyperlink r:id="rId96" w:history="1">
        <w:r w:rsidRPr="00231E05">
          <w:rPr>
            <w:rStyle w:val="Hyperlink"/>
          </w:rPr>
          <w:t>https://www.datenschutzzentrum.de/tb/tb37/uld-37-taetigkeitsbericht-2019.pdf</w:t>
        </w:r>
      </w:hyperlink>
    </w:p>
  </w:footnote>
  <w:footnote w:id="115">
    <w:p w14:paraId="7C19AC1B" w14:textId="3B036F4F" w:rsidR="001C0082" w:rsidRDefault="001C0082" w:rsidP="001C0082">
      <w:pPr>
        <w:pStyle w:val="Funotentext"/>
      </w:pPr>
      <w:r>
        <w:rPr>
          <w:rStyle w:val="Funotenzeichen"/>
        </w:rPr>
        <w:footnoteRef/>
      </w:r>
      <w:r>
        <w:t xml:space="preserve"> </w:t>
      </w:r>
      <w:r w:rsidRPr="001C0082">
        <w:t>Datenschutzkonferenz</w:t>
      </w:r>
      <w:r>
        <w:t xml:space="preserve">: Beschluss vom 2021-11-24 zur Möglichkeit der Nichtanwendung technischer und organisatorischer Maßnahmen nach Art. 32 DSGVO auf ausdrücklichen Wunsch betroffener Personen. </w:t>
      </w:r>
      <w:r w:rsidRPr="00AF6483">
        <w:t>Online, zitiert am 2024-0</w:t>
      </w:r>
      <w:r>
        <w:t>4</w:t>
      </w:r>
      <w:r w:rsidRPr="00AF6483">
        <w:t>-</w:t>
      </w:r>
      <w:r>
        <w:t>23</w:t>
      </w:r>
      <w:r w:rsidRPr="00AF6483">
        <w:t>; verfügbar unter</w:t>
      </w:r>
      <w:r>
        <w:t xml:space="preserve"> </w:t>
      </w:r>
      <w:hyperlink r:id="rId97" w:history="1">
        <w:r>
          <w:rPr>
            <w:rStyle w:val="Hyperlink"/>
          </w:rPr>
          <w:t>https://www.datenschutzkonferenz-online.de/media/dskb/ 20211124</w:t>
        </w:r>
        <w:r w:rsidRPr="00C20724">
          <w:rPr>
            <w:rStyle w:val="Hyperlink"/>
          </w:rPr>
          <w:t>_TOP_7_Beschluss_Verzicht_auf_TOMs.pdf</w:t>
        </w:r>
      </w:hyperlink>
    </w:p>
  </w:footnote>
  <w:footnote w:id="116">
    <w:p w14:paraId="280118E6" w14:textId="1FA63608" w:rsidR="00C06F0E" w:rsidRDefault="00C06F0E" w:rsidP="00C06F0E">
      <w:pPr>
        <w:pStyle w:val="Funotentext"/>
      </w:pPr>
      <w:r>
        <w:rPr>
          <w:rStyle w:val="Funotenzeichen"/>
        </w:rPr>
        <w:footnoteRef/>
      </w:r>
      <w:r>
        <w:t xml:space="preserve"> </w:t>
      </w:r>
      <w:r w:rsidRPr="00C06F0E">
        <w:t>Österreichische Datenschutzbehörde, B</w:t>
      </w:r>
      <w:r>
        <w:t>. </w:t>
      </w:r>
      <w:r w:rsidRPr="00C06F0E">
        <w:t>v.</w:t>
      </w:r>
      <w:r>
        <w:t> 2018-11-</w:t>
      </w:r>
      <w:r w:rsidRPr="00C06F0E">
        <w:t>16</w:t>
      </w:r>
      <w:r>
        <w:t xml:space="preserve"> Geschäftszahl </w:t>
      </w:r>
      <w:r w:rsidRPr="00C20724">
        <w:t>DSB-D213.692</w:t>
      </w:r>
      <w:r>
        <w:t xml:space="preserve">/0001-DSB/2018, Abschnitt D 3.2.2. </w:t>
      </w:r>
      <w:r w:rsidRPr="00AF6483">
        <w:t>Online, zitiert am 2024-0</w:t>
      </w:r>
      <w:r>
        <w:t>4</w:t>
      </w:r>
      <w:r w:rsidRPr="00AF6483">
        <w:t>-</w:t>
      </w:r>
      <w:r>
        <w:t>23</w:t>
      </w:r>
      <w:r w:rsidRPr="00AF6483">
        <w:t>; verfügbar unter</w:t>
      </w:r>
      <w:r>
        <w:t xml:space="preserve"> </w:t>
      </w:r>
      <w:hyperlink r:id="rId98" w:history="1">
        <w:r w:rsidRPr="00C20724">
          <w:rPr>
            <w:rStyle w:val="Hyperlink"/>
          </w:rPr>
          <w:t>https://www.ris.bka.gv.at/Dokument.wxe?Abfrage=Dsk&amp;Entscheidungsart=Undefined&amp;Organ=Undefined&amp;SucheNachRechtssatz=True&amp;SucheNachText=True&amp;GZ=DSB-D213.692%2f0001-DSB%2f2018&amp;VonDatum=01.11.2018&amp;BisDatum=01.12.2018&amp;Norm=&amp;ImRisSeitVonDatum=&amp;ImRisSeitBisDatum=&amp;ImRisSeit=Undefined&amp;ImRisSeitForRemotion=Undefined&amp;ResultPageSize=100&amp;Suchworte=&amp;Position=1&amp;SkipToDocumentPage=true&amp;ResultFunctionToken=6f146701-3dee-4023-9b80-1be58056518f&amp;Dokumentnummer=DSBT_20181116_DSB_D213_692_0001_DSB_2018_00</w:t>
        </w:r>
      </w:hyperlink>
    </w:p>
  </w:footnote>
  <w:footnote w:id="117">
    <w:p w14:paraId="1DFB2AAE" w14:textId="3C8959A6" w:rsidR="00AF6483" w:rsidRDefault="00AF6483" w:rsidP="00AF6483">
      <w:pPr>
        <w:pStyle w:val="Funotentext"/>
      </w:pPr>
      <w:r>
        <w:rPr>
          <w:rStyle w:val="Funotenzeichen"/>
        </w:rPr>
        <w:footnoteRef/>
      </w:r>
      <w:r>
        <w:t xml:space="preserve"> </w:t>
      </w:r>
      <w:r w:rsidRPr="00AF6483">
        <w:t>EuGH</w:t>
      </w:r>
      <w:r w:rsidRPr="00231E05">
        <w:t>,</w:t>
      </w:r>
      <w:r w:rsidR="008362B2">
        <w:t xml:space="preserve"> </w:t>
      </w:r>
      <w:r w:rsidRPr="00231E05">
        <w:t>Urt.</w:t>
      </w:r>
      <w:r>
        <w:t> v. 2014-08</w:t>
      </w:r>
      <w:r w:rsidRPr="00AF6483">
        <w:t xml:space="preserve"> 0</w:t>
      </w:r>
      <w:r>
        <w:t xml:space="preserve">4, </w:t>
      </w:r>
      <w:r w:rsidRPr="00231E05">
        <w:t>Rechtssachen</w:t>
      </w:r>
      <w:r w:rsidR="001D7978">
        <w:t> </w:t>
      </w:r>
      <w:r w:rsidRPr="00231E05">
        <w:t>C</w:t>
      </w:r>
      <w:r w:rsidRPr="00AF6483">
        <w:t>-293/12 und C-594/12</w:t>
      </w:r>
      <w:r>
        <w:t>. Rn. </w:t>
      </w:r>
      <w:r w:rsidRPr="00231E05">
        <w:t>42</w:t>
      </w:r>
      <w:r>
        <w:t>, S. 3: „</w:t>
      </w:r>
      <w:r w:rsidRPr="00AF6483">
        <w:t>Im Übrigen ist insoweit festzustellen, dass nach Art. 6 der Charta jeder Mensch nicht nur das Recht auf Freiheit, sondern auch auf Sicherheit hat.</w:t>
      </w:r>
      <w:r>
        <w:t xml:space="preserve">“ </w:t>
      </w:r>
      <w:r w:rsidRPr="00AF6483">
        <w:t>Online, zitiert am 2024-0</w:t>
      </w:r>
      <w:r w:rsidR="00C20724">
        <w:t>4</w:t>
      </w:r>
      <w:r w:rsidRPr="00AF6483">
        <w:t>-</w:t>
      </w:r>
      <w:r>
        <w:t>23</w:t>
      </w:r>
      <w:r w:rsidRPr="00AF6483">
        <w:t>; verfügbar unter</w:t>
      </w:r>
      <w:r>
        <w:t xml:space="preserve"> </w:t>
      </w:r>
      <w:hyperlink r:id="rId99" w:history="1">
        <w:r w:rsidRPr="00231E05">
          <w:rPr>
            <w:rStyle w:val="Hyperlink"/>
          </w:rPr>
          <w:t>https://eur-lex.europa.eu/legal-content/de/TXT/?uri=CELEX:62012CJ0293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3E80E" w14:textId="77777777" w:rsidR="00AE4EA7" w:rsidRDefault="00AE4E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149F6"/>
    <w:multiLevelType w:val="hybridMultilevel"/>
    <w:tmpl w:val="3294D2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652D5"/>
    <w:multiLevelType w:val="hybridMultilevel"/>
    <w:tmpl w:val="066A8F28"/>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611BD"/>
    <w:multiLevelType w:val="hybridMultilevel"/>
    <w:tmpl w:val="95C06F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C56AF3"/>
    <w:multiLevelType w:val="hybridMultilevel"/>
    <w:tmpl w:val="75C204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7216D2"/>
    <w:multiLevelType w:val="hybridMultilevel"/>
    <w:tmpl w:val="5284EF62"/>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F64D6A"/>
    <w:multiLevelType w:val="hybridMultilevel"/>
    <w:tmpl w:val="A18C19EE"/>
    <w:lvl w:ilvl="0" w:tplc="FFFFFFFF">
      <w:start w:val="6"/>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Symbol" w:hAnsi="Symbol" w:hint="default"/>
      </w:rPr>
    </w:lvl>
    <w:lvl w:ilvl="2" w:tplc="0407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863874"/>
    <w:multiLevelType w:val="hybridMultilevel"/>
    <w:tmpl w:val="DD84AD7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B67840"/>
    <w:multiLevelType w:val="hybridMultilevel"/>
    <w:tmpl w:val="7EB083BC"/>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00702D"/>
    <w:multiLevelType w:val="hybridMultilevel"/>
    <w:tmpl w:val="94A277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194658"/>
    <w:multiLevelType w:val="hybridMultilevel"/>
    <w:tmpl w:val="C090D3E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541CD7"/>
    <w:multiLevelType w:val="hybridMultilevel"/>
    <w:tmpl w:val="28862A28"/>
    <w:lvl w:ilvl="0" w:tplc="4AB0C074">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E74C2C"/>
    <w:multiLevelType w:val="hybridMultilevel"/>
    <w:tmpl w:val="6234DAC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122732"/>
    <w:multiLevelType w:val="hybridMultilevel"/>
    <w:tmpl w:val="A4444770"/>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A0165E"/>
    <w:multiLevelType w:val="hybridMultilevel"/>
    <w:tmpl w:val="85547156"/>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5362EE"/>
    <w:multiLevelType w:val="hybridMultilevel"/>
    <w:tmpl w:val="2D4C49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8B3EDE"/>
    <w:multiLevelType w:val="hybridMultilevel"/>
    <w:tmpl w:val="045EF9B4"/>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3511D7"/>
    <w:multiLevelType w:val="hybridMultilevel"/>
    <w:tmpl w:val="BFFCA4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3E3003"/>
    <w:multiLevelType w:val="hybridMultilevel"/>
    <w:tmpl w:val="4DB6B6AE"/>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156BD5"/>
    <w:multiLevelType w:val="hybridMultilevel"/>
    <w:tmpl w:val="07BAA8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456F70"/>
    <w:multiLevelType w:val="hybridMultilevel"/>
    <w:tmpl w:val="EFBED684"/>
    <w:lvl w:ilvl="0" w:tplc="04070015">
      <w:start w:val="1"/>
      <w:numFmt w:val="decimal"/>
      <w:lvlText w:val="(%1)"/>
      <w:lvlJc w:val="left"/>
      <w:pPr>
        <w:ind w:left="1152" w:hanging="360"/>
      </w:pPr>
    </w:lvl>
    <w:lvl w:ilvl="1" w:tplc="04070019">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0" w15:restartNumberingAfterBreak="0">
    <w:nsid w:val="26EA200A"/>
    <w:multiLevelType w:val="hybridMultilevel"/>
    <w:tmpl w:val="B0C4F28E"/>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BA1894"/>
    <w:multiLevelType w:val="hybridMultilevel"/>
    <w:tmpl w:val="1B74B110"/>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05ABD"/>
    <w:multiLevelType w:val="hybridMultilevel"/>
    <w:tmpl w:val="461C2770"/>
    <w:lvl w:ilvl="0" w:tplc="4C7A688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130033"/>
    <w:multiLevelType w:val="hybridMultilevel"/>
    <w:tmpl w:val="9636F9B6"/>
    <w:lvl w:ilvl="0" w:tplc="DACA0B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310F5A"/>
    <w:multiLevelType w:val="hybridMultilevel"/>
    <w:tmpl w:val="16DA2AC8"/>
    <w:lvl w:ilvl="0" w:tplc="7FB4B4E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5D6654"/>
    <w:multiLevelType w:val="hybridMultilevel"/>
    <w:tmpl w:val="347E16BC"/>
    <w:lvl w:ilvl="0" w:tplc="D0F2532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2F465DE6"/>
    <w:multiLevelType w:val="hybridMultilevel"/>
    <w:tmpl w:val="2DAA2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2A36023"/>
    <w:multiLevelType w:val="hybridMultilevel"/>
    <w:tmpl w:val="C678A6A4"/>
    <w:lvl w:ilvl="0" w:tplc="A970C0A8">
      <w:start w:val="1"/>
      <w:numFmt w:val="decimal"/>
      <w:lvlText w:val="%1)"/>
      <w:lvlJc w:val="left"/>
      <w:pPr>
        <w:ind w:left="792" w:hanging="360"/>
      </w:pPr>
      <w:rPr>
        <w:rFonts w:hint="default"/>
      </w:rPr>
    </w:lvl>
    <w:lvl w:ilvl="1" w:tplc="04070019" w:tentative="1">
      <w:start w:val="1"/>
      <w:numFmt w:val="lowerLetter"/>
      <w:lvlText w:val="%2."/>
      <w:lvlJc w:val="left"/>
      <w:pPr>
        <w:ind w:left="804" w:hanging="360"/>
      </w:pPr>
    </w:lvl>
    <w:lvl w:ilvl="2" w:tplc="0407001B" w:tentative="1">
      <w:start w:val="1"/>
      <w:numFmt w:val="lowerRoman"/>
      <w:lvlText w:val="%3."/>
      <w:lvlJc w:val="right"/>
      <w:pPr>
        <w:ind w:left="1524" w:hanging="180"/>
      </w:pPr>
    </w:lvl>
    <w:lvl w:ilvl="3" w:tplc="0407000F" w:tentative="1">
      <w:start w:val="1"/>
      <w:numFmt w:val="decimal"/>
      <w:lvlText w:val="%4."/>
      <w:lvlJc w:val="left"/>
      <w:pPr>
        <w:ind w:left="2244" w:hanging="360"/>
      </w:pPr>
    </w:lvl>
    <w:lvl w:ilvl="4" w:tplc="04070019" w:tentative="1">
      <w:start w:val="1"/>
      <w:numFmt w:val="lowerLetter"/>
      <w:lvlText w:val="%5."/>
      <w:lvlJc w:val="left"/>
      <w:pPr>
        <w:ind w:left="2964" w:hanging="360"/>
      </w:pPr>
    </w:lvl>
    <w:lvl w:ilvl="5" w:tplc="0407001B" w:tentative="1">
      <w:start w:val="1"/>
      <w:numFmt w:val="lowerRoman"/>
      <w:lvlText w:val="%6."/>
      <w:lvlJc w:val="right"/>
      <w:pPr>
        <w:ind w:left="3684" w:hanging="180"/>
      </w:pPr>
    </w:lvl>
    <w:lvl w:ilvl="6" w:tplc="0407000F" w:tentative="1">
      <w:start w:val="1"/>
      <w:numFmt w:val="decimal"/>
      <w:lvlText w:val="%7."/>
      <w:lvlJc w:val="left"/>
      <w:pPr>
        <w:ind w:left="4404" w:hanging="360"/>
      </w:pPr>
    </w:lvl>
    <w:lvl w:ilvl="7" w:tplc="04070019" w:tentative="1">
      <w:start w:val="1"/>
      <w:numFmt w:val="lowerLetter"/>
      <w:lvlText w:val="%8."/>
      <w:lvlJc w:val="left"/>
      <w:pPr>
        <w:ind w:left="5124" w:hanging="360"/>
      </w:pPr>
    </w:lvl>
    <w:lvl w:ilvl="8" w:tplc="0407001B" w:tentative="1">
      <w:start w:val="1"/>
      <w:numFmt w:val="lowerRoman"/>
      <w:lvlText w:val="%9."/>
      <w:lvlJc w:val="right"/>
      <w:pPr>
        <w:ind w:left="5844" w:hanging="180"/>
      </w:pPr>
    </w:lvl>
  </w:abstractNum>
  <w:abstractNum w:abstractNumId="28" w15:restartNumberingAfterBreak="0">
    <w:nsid w:val="32EC41AE"/>
    <w:multiLevelType w:val="hybridMultilevel"/>
    <w:tmpl w:val="179889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7BB3D9F"/>
    <w:multiLevelType w:val="hybridMultilevel"/>
    <w:tmpl w:val="FD4CF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071638"/>
    <w:multiLevelType w:val="hybridMultilevel"/>
    <w:tmpl w:val="95A0A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82762BE"/>
    <w:multiLevelType w:val="hybridMultilevel"/>
    <w:tmpl w:val="9A2C2B64"/>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971545C"/>
    <w:multiLevelType w:val="hybridMultilevel"/>
    <w:tmpl w:val="05E8FF8A"/>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B014BF6"/>
    <w:multiLevelType w:val="hybridMultilevel"/>
    <w:tmpl w:val="28DCDB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E6B4B3D"/>
    <w:multiLevelType w:val="hybridMultilevel"/>
    <w:tmpl w:val="650C096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5" w15:restartNumberingAfterBreak="0">
    <w:nsid w:val="446D40FB"/>
    <w:multiLevelType w:val="hybridMultilevel"/>
    <w:tmpl w:val="336AD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5837022"/>
    <w:multiLevelType w:val="hybridMultilevel"/>
    <w:tmpl w:val="4CAE107A"/>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DC556D4"/>
    <w:multiLevelType w:val="hybridMultilevel"/>
    <w:tmpl w:val="429A6DB6"/>
    <w:lvl w:ilvl="0" w:tplc="07DE0E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DEB0829"/>
    <w:multiLevelType w:val="multilevel"/>
    <w:tmpl w:val="A0BA7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1F56C9A"/>
    <w:multiLevelType w:val="multilevel"/>
    <w:tmpl w:val="22A68F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34F3388"/>
    <w:multiLevelType w:val="hybridMultilevel"/>
    <w:tmpl w:val="A686CCB8"/>
    <w:lvl w:ilvl="0" w:tplc="229061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40059A5"/>
    <w:multiLevelType w:val="hybridMultilevel"/>
    <w:tmpl w:val="B0B0E3D4"/>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6245AC9"/>
    <w:multiLevelType w:val="hybridMultilevel"/>
    <w:tmpl w:val="83A6E052"/>
    <w:lvl w:ilvl="0" w:tplc="C9B49258">
      <w:start w:val="6"/>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7760C72"/>
    <w:multiLevelType w:val="hybridMultilevel"/>
    <w:tmpl w:val="D81EA76A"/>
    <w:lvl w:ilvl="0" w:tplc="3D08A450">
      <w:start w:val="1"/>
      <w:numFmt w:val="decimal"/>
      <w:lvlText w:val="%1."/>
      <w:lvlJc w:val="left"/>
      <w:pPr>
        <w:ind w:left="720" w:hanging="360"/>
      </w:pPr>
      <w:rPr>
        <w:rFonts w:hint="default"/>
      </w:rPr>
    </w:lvl>
    <w:lvl w:ilvl="1" w:tplc="01EC016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875365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5" w15:restartNumberingAfterBreak="0">
    <w:nsid w:val="5E46616F"/>
    <w:multiLevelType w:val="hybridMultilevel"/>
    <w:tmpl w:val="111CC3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EE25E60"/>
    <w:multiLevelType w:val="hybridMultilevel"/>
    <w:tmpl w:val="63DEAFC4"/>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11367BE"/>
    <w:multiLevelType w:val="multilevel"/>
    <w:tmpl w:val="924E3E0A"/>
    <w:lvl w:ilvl="0">
      <w:start w:val="1"/>
      <w:numFmt w:val="decimal"/>
      <w:lvlText w:val="Anhang %1."/>
      <w:lvlJc w:val="left"/>
      <w:pPr>
        <w:ind w:left="432" w:hanging="432"/>
      </w:pPr>
      <w:rPr>
        <w:rFonts w:hint="default"/>
      </w:rPr>
    </w:lvl>
    <w:lvl w:ilvl="1">
      <w:start w:val="1"/>
      <w:numFmt w:val="decimal"/>
      <w:pStyle w:val="Anhang2"/>
      <w:lvlText w:val="Anhang %1.%2"/>
      <w:lvlJc w:val="left"/>
      <w:pPr>
        <w:ind w:left="576" w:hanging="576"/>
      </w:pPr>
      <w:rPr>
        <w:rFonts w:hint="default"/>
      </w:rPr>
    </w:lvl>
    <w:lvl w:ilvl="2">
      <w:start w:val="1"/>
      <w:numFmt w:val="decimal"/>
      <w:lvlText w:val="Anhang %1.%2.%3"/>
      <w:lvlJc w:val="left"/>
      <w:pPr>
        <w:ind w:left="720" w:hanging="720"/>
      </w:pPr>
      <w:rPr>
        <w:rFonts w:hint="default"/>
      </w:rPr>
    </w:lvl>
    <w:lvl w:ilvl="3">
      <w:start w:val="1"/>
      <w:numFmt w:val="decimal"/>
      <w:lvlText w:val="Anhang %1.%2.%3.%4"/>
      <w:lvlJc w:val="left"/>
      <w:pPr>
        <w:ind w:left="864" w:hanging="864"/>
      </w:pPr>
      <w:rPr>
        <w:rFonts w:hint="default"/>
      </w:rPr>
    </w:lvl>
    <w:lvl w:ilvl="4">
      <w:start w:val="1"/>
      <w:numFmt w:val="decimal"/>
      <w:lvlText w:val="Anhang %1.%2.%3.%4.%5"/>
      <w:lvlJc w:val="left"/>
      <w:pPr>
        <w:ind w:left="1008" w:hanging="1008"/>
      </w:pPr>
      <w:rPr>
        <w:rFonts w:hint="default"/>
      </w:rPr>
    </w:lvl>
    <w:lvl w:ilvl="5">
      <w:start w:val="1"/>
      <w:numFmt w:val="decimal"/>
      <w:lvlText w:val="Anhang %1.%2.%3.%4.%5.%6"/>
      <w:lvlJc w:val="left"/>
      <w:pPr>
        <w:ind w:left="1152" w:hanging="1152"/>
      </w:pPr>
      <w:rPr>
        <w:rFonts w:hint="default"/>
      </w:rPr>
    </w:lvl>
    <w:lvl w:ilvl="6">
      <w:start w:val="1"/>
      <w:numFmt w:val="decimal"/>
      <w:lvlText w:val="Anhang %1.%2.%3.%4.%5.%6.%7"/>
      <w:lvlJc w:val="left"/>
      <w:pPr>
        <w:ind w:left="1296" w:hanging="1296"/>
      </w:pPr>
      <w:rPr>
        <w:rFonts w:hint="default"/>
      </w:rPr>
    </w:lvl>
    <w:lvl w:ilvl="7">
      <w:start w:val="1"/>
      <w:numFmt w:val="decimal"/>
      <w:lvlText w:val="Anhang %1.%2.%3.%4.%5.%6.%7.%8"/>
      <w:lvlJc w:val="left"/>
      <w:pPr>
        <w:ind w:left="1440" w:hanging="1440"/>
      </w:pPr>
      <w:rPr>
        <w:rFonts w:hint="default"/>
      </w:rPr>
    </w:lvl>
    <w:lvl w:ilvl="8">
      <w:start w:val="1"/>
      <w:numFmt w:val="decimal"/>
      <w:lvlText w:val="Anhang %1.%2.%3.%4.%5.%6.%7.%8.%9"/>
      <w:lvlJc w:val="left"/>
      <w:pPr>
        <w:ind w:left="1584" w:hanging="1584"/>
      </w:pPr>
      <w:rPr>
        <w:rFonts w:hint="default"/>
      </w:rPr>
    </w:lvl>
  </w:abstractNum>
  <w:abstractNum w:abstractNumId="48" w15:restartNumberingAfterBreak="0">
    <w:nsid w:val="64920E22"/>
    <w:multiLevelType w:val="hybridMultilevel"/>
    <w:tmpl w:val="B78AB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4FE2F08"/>
    <w:multiLevelType w:val="hybridMultilevel"/>
    <w:tmpl w:val="285A55DA"/>
    <w:lvl w:ilvl="0" w:tplc="39A840C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649477C"/>
    <w:multiLevelType w:val="hybridMultilevel"/>
    <w:tmpl w:val="6CA8C37E"/>
    <w:lvl w:ilvl="0" w:tplc="B1F45C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7B7244D"/>
    <w:multiLevelType w:val="multilevel"/>
    <w:tmpl w:val="EEEEB348"/>
    <w:lvl w:ilvl="0">
      <w:start w:val="1"/>
      <w:numFmt w:val="decimal"/>
      <w:lvlText w:val="Anhang %1."/>
      <w:lvlJc w:val="left"/>
      <w:pPr>
        <w:ind w:left="432" w:hanging="432"/>
      </w:pPr>
      <w:rPr>
        <w:rFonts w:hint="default"/>
      </w:rPr>
    </w:lvl>
    <w:lvl w:ilvl="1">
      <w:start w:val="1"/>
      <w:numFmt w:val="decimal"/>
      <w:lvlText w:val="Anhang %1.%2"/>
      <w:lvlJc w:val="left"/>
      <w:pPr>
        <w:ind w:left="576" w:hanging="576"/>
      </w:pPr>
      <w:rPr>
        <w:rFonts w:hint="default"/>
      </w:rPr>
    </w:lvl>
    <w:lvl w:ilvl="2">
      <w:start w:val="1"/>
      <w:numFmt w:val="decimal"/>
      <w:pStyle w:val="Anhang3"/>
      <w:lvlText w:val="Anhang %1.%2.%3"/>
      <w:lvlJc w:val="left"/>
      <w:pPr>
        <w:ind w:left="720" w:hanging="720"/>
      </w:pPr>
      <w:rPr>
        <w:rFonts w:hint="default"/>
      </w:rPr>
    </w:lvl>
    <w:lvl w:ilvl="3">
      <w:start w:val="1"/>
      <w:numFmt w:val="decimal"/>
      <w:lvlText w:val="Anhang %1.%2.%3.%4"/>
      <w:lvlJc w:val="left"/>
      <w:pPr>
        <w:ind w:left="864" w:hanging="864"/>
      </w:pPr>
      <w:rPr>
        <w:rFonts w:hint="default"/>
      </w:rPr>
    </w:lvl>
    <w:lvl w:ilvl="4">
      <w:start w:val="1"/>
      <w:numFmt w:val="decimal"/>
      <w:lvlText w:val="Anhang %1.%2.%3.%4.%5"/>
      <w:lvlJc w:val="left"/>
      <w:pPr>
        <w:ind w:left="1008" w:hanging="1008"/>
      </w:pPr>
      <w:rPr>
        <w:rFonts w:hint="default"/>
      </w:rPr>
    </w:lvl>
    <w:lvl w:ilvl="5">
      <w:start w:val="1"/>
      <w:numFmt w:val="decimal"/>
      <w:lvlText w:val="Anhang %1.%2.%3.%4.%5.%6"/>
      <w:lvlJc w:val="left"/>
      <w:pPr>
        <w:ind w:left="1152" w:hanging="1152"/>
      </w:pPr>
      <w:rPr>
        <w:rFonts w:hint="default"/>
      </w:rPr>
    </w:lvl>
    <w:lvl w:ilvl="6">
      <w:start w:val="1"/>
      <w:numFmt w:val="decimal"/>
      <w:lvlText w:val="Anhang %1.%2.%3.%4.%5.%6.%7"/>
      <w:lvlJc w:val="left"/>
      <w:pPr>
        <w:ind w:left="1296" w:hanging="1296"/>
      </w:pPr>
      <w:rPr>
        <w:rFonts w:hint="default"/>
      </w:rPr>
    </w:lvl>
    <w:lvl w:ilvl="7">
      <w:start w:val="1"/>
      <w:numFmt w:val="decimal"/>
      <w:lvlText w:val="Anhang %1.%2.%3.%4.%5.%6.%7.%8"/>
      <w:lvlJc w:val="left"/>
      <w:pPr>
        <w:ind w:left="1440" w:hanging="1440"/>
      </w:pPr>
      <w:rPr>
        <w:rFonts w:hint="default"/>
      </w:rPr>
    </w:lvl>
    <w:lvl w:ilvl="8">
      <w:start w:val="1"/>
      <w:numFmt w:val="decimal"/>
      <w:lvlText w:val="Anhang %1.%2.%3.%4.%5.%6.%7.%8.%9"/>
      <w:lvlJc w:val="left"/>
      <w:pPr>
        <w:ind w:left="1584" w:hanging="1584"/>
      </w:pPr>
      <w:rPr>
        <w:rFonts w:hint="default"/>
      </w:rPr>
    </w:lvl>
  </w:abstractNum>
  <w:abstractNum w:abstractNumId="52" w15:restartNumberingAfterBreak="0">
    <w:nsid w:val="69B51488"/>
    <w:multiLevelType w:val="hybridMultilevel"/>
    <w:tmpl w:val="BBB6B034"/>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B4337BC"/>
    <w:multiLevelType w:val="hybridMultilevel"/>
    <w:tmpl w:val="B1C684B0"/>
    <w:lvl w:ilvl="0" w:tplc="1F2E9052">
      <w:start w:val="1"/>
      <w:numFmt w:val="decimal"/>
      <w:lvlText w:val="%1)"/>
      <w:lvlJc w:val="left"/>
      <w:pPr>
        <w:ind w:left="14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D120CD3"/>
    <w:multiLevelType w:val="hybridMultilevel"/>
    <w:tmpl w:val="5830B120"/>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20B5B30"/>
    <w:multiLevelType w:val="hybridMultilevel"/>
    <w:tmpl w:val="0690046C"/>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BF1C70"/>
    <w:multiLevelType w:val="hybridMultilevel"/>
    <w:tmpl w:val="30CECFC8"/>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51E5ADE"/>
    <w:multiLevelType w:val="hybridMultilevel"/>
    <w:tmpl w:val="8BDE2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563323E"/>
    <w:multiLevelType w:val="hybridMultilevel"/>
    <w:tmpl w:val="11125264"/>
    <w:lvl w:ilvl="0" w:tplc="04070011">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933E33B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625138"/>
    <w:multiLevelType w:val="hybridMultilevel"/>
    <w:tmpl w:val="0A3E58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68A6240"/>
    <w:multiLevelType w:val="hybridMultilevel"/>
    <w:tmpl w:val="17988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AD0EC2"/>
    <w:multiLevelType w:val="hybridMultilevel"/>
    <w:tmpl w:val="B9CA11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A3E79F3"/>
    <w:multiLevelType w:val="hybridMultilevel"/>
    <w:tmpl w:val="04906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B61059B"/>
    <w:multiLevelType w:val="hybridMultilevel"/>
    <w:tmpl w:val="68B07FA8"/>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CF93668"/>
    <w:multiLevelType w:val="hybridMultilevel"/>
    <w:tmpl w:val="D31A0A3C"/>
    <w:lvl w:ilvl="0" w:tplc="4AB0C07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EF435B4"/>
    <w:multiLevelType w:val="multilevel"/>
    <w:tmpl w:val="FC12DBD6"/>
    <w:lvl w:ilvl="0">
      <w:start w:val="1"/>
      <w:numFmt w:val="decimal"/>
      <w:lvlText w:val="Anhang %1."/>
      <w:lvlJc w:val="left"/>
      <w:pPr>
        <w:ind w:left="432" w:hanging="432"/>
      </w:pPr>
      <w:rPr>
        <w:rFonts w:hint="default"/>
      </w:rPr>
    </w:lvl>
    <w:lvl w:ilvl="1">
      <w:start w:val="1"/>
      <w:numFmt w:val="decimal"/>
      <w:lvlText w:val="Anhang %1.%2"/>
      <w:lvlJc w:val="left"/>
      <w:pPr>
        <w:ind w:left="576" w:hanging="576"/>
      </w:pPr>
      <w:rPr>
        <w:rFonts w:hint="default"/>
      </w:rPr>
    </w:lvl>
    <w:lvl w:ilvl="2">
      <w:start w:val="1"/>
      <w:numFmt w:val="decimal"/>
      <w:lvlText w:val="Anhang %1.%2.%3"/>
      <w:lvlJc w:val="left"/>
      <w:pPr>
        <w:ind w:left="720" w:hanging="720"/>
      </w:pPr>
      <w:rPr>
        <w:rFonts w:hint="default"/>
      </w:rPr>
    </w:lvl>
    <w:lvl w:ilvl="3">
      <w:start w:val="1"/>
      <w:numFmt w:val="decimal"/>
      <w:lvlText w:val="Anhang %1.%2.%3.%4"/>
      <w:lvlJc w:val="left"/>
      <w:pPr>
        <w:ind w:left="864" w:hanging="864"/>
      </w:pPr>
      <w:rPr>
        <w:rFonts w:hint="default"/>
      </w:rPr>
    </w:lvl>
    <w:lvl w:ilvl="4">
      <w:start w:val="1"/>
      <w:numFmt w:val="decimal"/>
      <w:lvlText w:val="Anhang %1.%2.%3.%4.%5"/>
      <w:lvlJc w:val="left"/>
      <w:pPr>
        <w:ind w:left="1008" w:hanging="1008"/>
      </w:pPr>
      <w:rPr>
        <w:rFonts w:hint="default"/>
      </w:rPr>
    </w:lvl>
    <w:lvl w:ilvl="5">
      <w:start w:val="1"/>
      <w:numFmt w:val="decimal"/>
      <w:lvlText w:val="Anhang %1.%2.%3.%4.%5.%6"/>
      <w:lvlJc w:val="left"/>
      <w:pPr>
        <w:ind w:left="1152" w:hanging="1152"/>
      </w:pPr>
      <w:rPr>
        <w:rFonts w:hint="default"/>
      </w:rPr>
    </w:lvl>
    <w:lvl w:ilvl="6">
      <w:start w:val="1"/>
      <w:numFmt w:val="decimal"/>
      <w:lvlText w:val="Anhang %1.%2.%3.%4.%5.%6.%7"/>
      <w:lvlJc w:val="left"/>
      <w:pPr>
        <w:ind w:left="1296" w:hanging="1296"/>
      </w:pPr>
      <w:rPr>
        <w:rFonts w:hint="default"/>
      </w:rPr>
    </w:lvl>
    <w:lvl w:ilvl="7">
      <w:start w:val="1"/>
      <w:numFmt w:val="decimal"/>
      <w:lvlText w:val="Anhang %1.%2.%3.%4.%5.%6.%7.%8"/>
      <w:lvlJc w:val="left"/>
      <w:pPr>
        <w:ind w:left="1440" w:hanging="1440"/>
      </w:pPr>
      <w:rPr>
        <w:rFonts w:hint="default"/>
      </w:rPr>
    </w:lvl>
    <w:lvl w:ilvl="8">
      <w:start w:val="1"/>
      <w:numFmt w:val="decimal"/>
      <w:lvlText w:val="Anhang %1.%2.%3.%4.%5.%6.%7.%8.%9"/>
      <w:lvlJc w:val="left"/>
      <w:pPr>
        <w:ind w:left="1584" w:hanging="1584"/>
      </w:pPr>
      <w:rPr>
        <w:rFonts w:hint="default"/>
      </w:rPr>
    </w:lvl>
  </w:abstractNum>
  <w:abstractNum w:abstractNumId="66" w15:restartNumberingAfterBreak="0">
    <w:nsid w:val="7FC4573C"/>
    <w:multiLevelType w:val="hybridMultilevel"/>
    <w:tmpl w:val="DB8AB7EA"/>
    <w:lvl w:ilvl="0" w:tplc="FFFFFFFF">
      <w:start w:val="6"/>
      <w:numFmt w:val="bullet"/>
      <w:lvlText w:val="-"/>
      <w:lvlJc w:val="left"/>
      <w:pPr>
        <w:ind w:left="720" w:hanging="360"/>
      </w:pPr>
      <w:rPr>
        <w:rFonts w:ascii="Calibri" w:eastAsiaTheme="minorHAnsi" w:hAnsi="Calibri" w:cs="Calibri" w:hint="default"/>
      </w:rPr>
    </w:lvl>
    <w:lvl w:ilvl="1" w:tplc="0407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7685229">
    <w:abstractNumId w:val="47"/>
  </w:num>
  <w:num w:numId="2" w16cid:durableId="1616056426">
    <w:abstractNumId w:val="38"/>
  </w:num>
  <w:num w:numId="3" w16cid:durableId="1925215455">
    <w:abstractNumId w:val="39"/>
  </w:num>
  <w:num w:numId="4" w16cid:durableId="1945113449">
    <w:abstractNumId w:val="48"/>
  </w:num>
  <w:num w:numId="5" w16cid:durableId="1360544882">
    <w:abstractNumId w:val="18"/>
  </w:num>
  <w:num w:numId="6" w16cid:durableId="122846335">
    <w:abstractNumId w:val="55"/>
  </w:num>
  <w:num w:numId="7" w16cid:durableId="796685559">
    <w:abstractNumId w:val="6"/>
  </w:num>
  <w:num w:numId="8" w16cid:durableId="672489536">
    <w:abstractNumId w:val="24"/>
  </w:num>
  <w:num w:numId="9" w16cid:durableId="674695276">
    <w:abstractNumId w:val="30"/>
  </w:num>
  <w:num w:numId="10" w16cid:durableId="961959544">
    <w:abstractNumId w:val="40"/>
  </w:num>
  <w:num w:numId="11" w16cid:durableId="1656714782">
    <w:abstractNumId w:val="9"/>
  </w:num>
  <w:num w:numId="12" w16cid:durableId="232207300">
    <w:abstractNumId w:val="15"/>
  </w:num>
  <w:num w:numId="13" w16cid:durableId="1153910633">
    <w:abstractNumId w:val="2"/>
  </w:num>
  <w:num w:numId="14" w16cid:durableId="1099716737">
    <w:abstractNumId w:val="28"/>
  </w:num>
  <w:num w:numId="15" w16cid:durableId="41371259">
    <w:abstractNumId w:val="33"/>
  </w:num>
  <w:num w:numId="16" w16cid:durableId="687173226">
    <w:abstractNumId w:val="58"/>
  </w:num>
  <w:num w:numId="17" w16cid:durableId="1020080674">
    <w:abstractNumId w:val="62"/>
  </w:num>
  <w:num w:numId="18" w16cid:durableId="1112935730">
    <w:abstractNumId w:val="42"/>
  </w:num>
  <w:num w:numId="19" w16cid:durableId="971788156">
    <w:abstractNumId w:val="14"/>
  </w:num>
  <w:num w:numId="20" w16cid:durableId="894395471">
    <w:abstractNumId w:val="37"/>
  </w:num>
  <w:num w:numId="21" w16cid:durableId="1212495117">
    <w:abstractNumId w:val="29"/>
  </w:num>
  <w:num w:numId="22" w16cid:durableId="887107310">
    <w:abstractNumId w:val="22"/>
  </w:num>
  <w:num w:numId="23" w16cid:durableId="63602617">
    <w:abstractNumId w:val="60"/>
  </w:num>
  <w:num w:numId="24" w16cid:durableId="401224135">
    <w:abstractNumId w:val="16"/>
  </w:num>
  <w:num w:numId="25" w16cid:durableId="554314121">
    <w:abstractNumId w:val="26"/>
  </w:num>
  <w:num w:numId="26" w16cid:durableId="1596665368">
    <w:abstractNumId w:val="59"/>
  </w:num>
  <w:num w:numId="27" w16cid:durableId="412630636">
    <w:abstractNumId w:val="0"/>
  </w:num>
  <w:num w:numId="28" w16cid:durableId="2058427149">
    <w:abstractNumId w:val="45"/>
  </w:num>
  <w:num w:numId="29" w16cid:durableId="461193110">
    <w:abstractNumId w:val="10"/>
  </w:num>
  <w:num w:numId="30" w16cid:durableId="1009722294">
    <w:abstractNumId w:val="11"/>
  </w:num>
  <w:num w:numId="31" w16cid:durableId="4868913">
    <w:abstractNumId w:val="61"/>
  </w:num>
  <w:num w:numId="32" w16cid:durableId="1597706937">
    <w:abstractNumId w:val="25"/>
  </w:num>
  <w:num w:numId="33" w16cid:durableId="459108531">
    <w:abstractNumId w:val="43"/>
  </w:num>
  <w:num w:numId="34" w16cid:durableId="784815443">
    <w:abstractNumId w:val="3"/>
  </w:num>
  <w:num w:numId="35" w16cid:durableId="1940143191">
    <w:abstractNumId w:val="19"/>
  </w:num>
  <w:num w:numId="36" w16cid:durableId="2036684800">
    <w:abstractNumId w:val="34"/>
  </w:num>
  <w:num w:numId="37" w16cid:durableId="555898367">
    <w:abstractNumId w:val="53"/>
  </w:num>
  <w:num w:numId="38" w16cid:durableId="466514409">
    <w:abstractNumId w:val="8"/>
  </w:num>
  <w:num w:numId="39" w16cid:durableId="922224030">
    <w:abstractNumId w:val="27"/>
  </w:num>
  <w:num w:numId="40" w16cid:durableId="2014406045">
    <w:abstractNumId w:val="65"/>
  </w:num>
  <w:num w:numId="41" w16cid:durableId="1110662205">
    <w:abstractNumId w:val="65"/>
  </w:num>
  <w:num w:numId="42" w16cid:durableId="91438219">
    <w:abstractNumId w:val="51"/>
  </w:num>
  <w:num w:numId="43" w16cid:durableId="2104839372">
    <w:abstractNumId w:val="57"/>
  </w:num>
  <w:num w:numId="44" w16cid:durableId="814496085">
    <w:abstractNumId w:val="35"/>
  </w:num>
  <w:num w:numId="45" w16cid:durableId="1200514495">
    <w:abstractNumId w:val="20"/>
  </w:num>
  <w:num w:numId="46" w16cid:durableId="92675008">
    <w:abstractNumId w:val="44"/>
  </w:num>
  <w:num w:numId="47" w16cid:durableId="1192500598">
    <w:abstractNumId w:val="63"/>
  </w:num>
  <w:num w:numId="48" w16cid:durableId="231165663">
    <w:abstractNumId w:val="4"/>
  </w:num>
  <w:num w:numId="49" w16cid:durableId="1433626786">
    <w:abstractNumId w:val="49"/>
  </w:num>
  <w:num w:numId="50" w16cid:durableId="119537881">
    <w:abstractNumId w:val="23"/>
  </w:num>
  <w:num w:numId="51" w16cid:durableId="368915524">
    <w:abstractNumId w:val="5"/>
  </w:num>
  <w:num w:numId="52" w16cid:durableId="1181435347">
    <w:abstractNumId w:val="50"/>
  </w:num>
  <w:num w:numId="53" w16cid:durableId="1824080962">
    <w:abstractNumId w:val="66"/>
  </w:num>
  <w:num w:numId="54" w16cid:durableId="1952743421">
    <w:abstractNumId w:val="54"/>
  </w:num>
  <w:num w:numId="55" w16cid:durableId="2144342352">
    <w:abstractNumId w:val="41"/>
  </w:num>
  <w:num w:numId="56" w16cid:durableId="281150252">
    <w:abstractNumId w:val="52"/>
  </w:num>
  <w:num w:numId="57" w16cid:durableId="158694716">
    <w:abstractNumId w:val="36"/>
  </w:num>
  <w:num w:numId="58" w16cid:durableId="1711034406">
    <w:abstractNumId w:val="12"/>
  </w:num>
  <w:num w:numId="59" w16cid:durableId="157694121">
    <w:abstractNumId w:val="56"/>
  </w:num>
  <w:num w:numId="60" w16cid:durableId="858278437">
    <w:abstractNumId w:val="21"/>
  </w:num>
  <w:num w:numId="61" w16cid:durableId="449787921">
    <w:abstractNumId w:val="17"/>
  </w:num>
  <w:num w:numId="62" w16cid:durableId="1982731756">
    <w:abstractNumId w:val="32"/>
  </w:num>
  <w:num w:numId="63" w16cid:durableId="577253629">
    <w:abstractNumId w:val="13"/>
  </w:num>
  <w:num w:numId="64" w16cid:durableId="615911763">
    <w:abstractNumId w:val="46"/>
  </w:num>
  <w:num w:numId="65" w16cid:durableId="1221549912">
    <w:abstractNumId w:val="7"/>
  </w:num>
  <w:num w:numId="66" w16cid:durableId="954629688">
    <w:abstractNumId w:val="64"/>
  </w:num>
  <w:num w:numId="67" w16cid:durableId="1903057296">
    <w:abstractNumId w:val="31"/>
  </w:num>
  <w:num w:numId="68" w16cid:durableId="1883323445">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EA7"/>
    <w:rsid w:val="00000B2B"/>
    <w:rsid w:val="0000446A"/>
    <w:rsid w:val="00015F40"/>
    <w:rsid w:val="000254C8"/>
    <w:rsid w:val="00027508"/>
    <w:rsid w:val="00027701"/>
    <w:rsid w:val="00035B7E"/>
    <w:rsid w:val="00036381"/>
    <w:rsid w:val="00037A93"/>
    <w:rsid w:val="00044D83"/>
    <w:rsid w:val="00045A16"/>
    <w:rsid w:val="00046BC6"/>
    <w:rsid w:val="00047FFE"/>
    <w:rsid w:val="0005069F"/>
    <w:rsid w:val="0005104B"/>
    <w:rsid w:val="00052850"/>
    <w:rsid w:val="00053707"/>
    <w:rsid w:val="00061296"/>
    <w:rsid w:val="00062293"/>
    <w:rsid w:val="00066723"/>
    <w:rsid w:val="00070E8C"/>
    <w:rsid w:val="0007457B"/>
    <w:rsid w:val="00082E02"/>
    <w:rsid w:val="000835B4"/>
    <w:rsid w:val="000875AD"/>
    <w:rsid w:val="00090D52"/>
    <w:rsid w:val="000927BB"/>
    <w:rsid w:val="0009446A"/>
    <w:rsid w:val="000A06FB"/>
    <w:rsid w:val="000B08C5"/>
    <w:rsid w:val="000D12B1"/>
    <w:rsid w:val="000E2E98"/>
    <w:rsid w:val="000E339C"/>
    <w:rsid w:val="000E6A43"/>
    <w:rsid w:val="000E7DB2"/>
    <w:rsid w:val="000F0600"/>
    <w:rsid w:val="000F1059"/>
    <w:rsid w:val="000F21BC"/>
    <w:rsid w:val="000F2369"/>
    <w:rsid w:val="00101F9A"/>
    <w:rsid w:val="001036A5"/>
    <w:rsid w:val="00105463"/>
    <w:rsid w:val="00110FFC"/>
    <w:rsid w:val="00111EC1"/>
    <w:rsid w:val="00114E10"/>
    <w:rsid w:val="00116C6D"/>
    <w:rsid w:val="0012289B"/>
    <w:rsid w:val="00131035"/>
    <w:rsid w:val="00145B51"/>
    <w:rsid w:val="00157EA8"/>
    <w:rsid w:val="001611B6"/>
    <w:rsid w:val="00174C5E"/>
    <w:rsid w:val="00176A64"/>
    <w:rsid w:val="0018713B"/>
    <w:rsid w:val="001930E4"/>
    <w:rsid w:val="001A59D2"/>
    <w:rsid w:val="001B19C9"/>
    <w:rsid w:val="001C0082"/>
    <w:rsid w:val="001C13A4"/>
    <w:rsid w:val="001C4FA0"/>
    <w:rsid w:val="001C645C"/>
    <w:rsid w:val="001D2C72"/>
    <w:rsid w:val="001D2DE0"/>
    <w:rsid w:val="001D3122"/>
    <w:rsid w:val="001D7978"/>
    <w:rsid w:val="001E0F4E"/>
    <w:rsid w:val="001F65CB"/>
    <w:rsid w:val="0020186F"/>
    <w:rsid w:val="00201F22"/>
    <w:rsid w:val="0020465B"/>
    <w:rsid w:val="00212963"/>
    <w:rsid w:val="00216B82"/>
    <w:rsid w:val="002227A5"/>
    <w:rsid w:val="00227CBD"/>
    <w:rsid w:val="0023017A"/>
    <w:rsid w:val="00231E05"/>
    <w:rsid w:val="00232822"/>
    <w:rsid w:val="00233007"/>
    <w:rsid w:val="0024625E"/>
    <w:rsid w:val="002559E5"/>
    <w:rsid w:val="002634BD"/>
    <w:rsid w:val="00267C4E"/>
    <w:rsid w:val="00270685"/>
    <w:rsid w:val="00272416"/>
    <w:rsid w:val="00281DEF"/>
    <w:rsid w:val="002846F8"/>
    <w:rsid w:val="0029411D"/>
    <w:rsid w:val="0029413E"/>
    <w:rsid w:val="00296EFA"/>
    <w:rsid w:val="002A377A"/>
    <w:rsid w:val="002A7B67"/>
    <w:rsid w:val="002B3FD2"/>
    <w:rsid w:val="002B799F"/>
    <w:rsid w:val="002C0A48"/>
    <w:rsid w:val="002C33AA"/>
    <w:rsid w:val="002C5FB1"/>
    <w:rsid w:val="002C71AF"/>
    <w:rsid w:val="002E1918"/>
    <w:rsid w:val="002E4B9A"/>
    <w:rsid w:val="002F1126"/>
    <w:rsid w:val="002F3A21"/>
    <w:rsid w:val="002F3D90"/>
    <w:rsid w:val="002F4642"/>
    <w:rsid w:val="002F58B0"/>
    <w:rsid w:val="002F5CA2"/>
    <w:rsid w:val="002F6AB4"/>
    <w:rsid w:val="002F753E"/>
    <w:rsid w:val="002F7765"/>
    <w:rsid w:val="00303763"/>
    <w:rsid w:val="0030489D"/>
    <w:rsid w:val="0030590C"/>
    <w:rsid w:val="00305A54"/>
    <w:rsid w:val="00306A58"/>
    <w:rsid w:val="00311345"/>
    <w:rsid w:val="00312684"/>
    <w:rsid w:val="0031283D"/>
    <w:rsid w:val="003147ED"/>
    <w:rsid w:val="00316C83"/>
    <w:rsid w:val="00320375"/>
    <w:rsid w:val="003212CA"/>
    <w:rsid w:val="00321B56"/>
    <w:rsid w:val="00326B42"/>
    <w:rsid w:val="0033733F"/>
    <w:rsid w:val="003377AF"/>
    <w:rsid w:val="00337C0B"/>
    <w:rsid w:val="00347C0E"/>
    <w:rsid w:val="00351A11"/>
    <w:rsid w:val="00367235"/>
    <w:rsid w:val="00372FA4"/>
    <w:rsid w:val="0037314C"/>
    <w:rsid w:val="00375325"/>
    <w:rsid w:val="00383094"/>
    <w:rsid w:val="003976E6"/>
    <w:rsid w:val="003A2828"/>
    <w:rsid w:val="003A5D38"/>
    <w:rsid w:val="003B0D9E"/>
    <w:rsid w:val="003B2140"/>
    <w:rsid w:val="003B642E"/>
    <w:rsid w:val="003C2509"/>
    <w:rsid w:val="003C3E4B"/>
    <w:rsid w:val="003C7352"/>
    <w:rsid w:val="003D4CDB"/>
    <w:rsid w:val="003E1B07"/>
    <w:rsid w:val="003E47F0"/>
    <w:rsid w:val="003E58B6"/>
    <w:rsid w:val="003E618F"/>
    <w:rsid w:val="003F2D85"/>
    <w:rsid w:val="003F5839"/>
    <w:rsid w:val="003F73B8"/>
    <w:rsid w:val="00400128"/>
    <w:rsid w:val="00400DCF"/>
    <w:rsid w:val="0040200F"/>
    <w:rsid w:val="00403723"/>
    <w:rsid w:val="00404AB5"/>
    <w:rsid w:val="00407716"/>
    <w:rsid w:val="004079CF"/>
    <w:rsid w:val="00410D8B"/>
    <w:rsid w:val="004139AA"/>
    <w:rsid w:val="00421E45"/>
    <w:rsid w:val="00425B51"/>
    <w:rsid w:val="00425FDB"/>
    <w:rsid w:val="00433CB2"/>
    <w:rsid w:val="004430A8"/>
    <w:rsid w:val="00445784"/>
    <w:rsid w:val="00450675"/>
    <w:rsid w:val="004518DA"/>
    <w:rsid w:val="00452D32"/>
    <w:rsid w:val="00453755"/>
    <w:rsid w:val="004577BC"/>
    <w:rsid w:val="00462357"/>
    <w:rsid w:val="00463704"/>
    <w:rsid w:val="004705E0"/>
    <w:rsid w:val="00473C2C"/>
    <w:rsid w:val="004757FD"/>
    <w:rsid w:val="00482549"/>
    <w:rsid w:val="004832F9"/>
    <w:rsid w:val="00483E22"/>
    <w:rsid w:val="00483F3D"/>
    <w:rsid w:val="00485B32"/>
    <w:rsid w:val="00496737"/>
    <w:rsid w:val="004973C6"/>
    <w:rsid w:val="00497C33"/>
    <w:rsid w:val="004A32EA"/>
    <w:rsid w:val="004A443C"/>
    <w:rsid w:val="004A7DB1"/>
    <w:rsid w:val="004B08BA"/>
    <w:rsid w:val="004B2BA0"/>
    <w:rsid w:val="004B4D2E"/>
    <w:rsid w:val="004B5890"/>
    <w:rsid w:val="004C1658"/>
    <w:rsid w:val="004C284E"/>
    <w:rsid w:val="004C6EA9"/>
    <w:rsid w:val="004C752D"/>
    <w:rsid w:val="004C7733"/>
    <w:rsid w:val="004D05D2"/>
    <w:rsid w:val="004D0B3D"/>
    <w:rsid w:val="004D1F6F"/>
    <w:rsid w:val="004D4B26"/>
    <w:rsid w:val="004E4ACC"/>
    <w:rsid w:val="004E6611"/>
    <w:rsid w:val="004E74C6"/>
    <w:rsid w:val="004F290A"/>
    <w:rsid w:val="004F343D"/>
    <w:rsid w:val="004F4713"/>
    <w:rsid w:val="004F4854"/>
    <w:rsid w:val="004F6D36"/>
    <w:rsid w:val="004F79DB"/>
    <w:rsid w:val="00512D46"/>
    <w:rsid w:val="00514004"/>
    <w:rsid w:val="0051608C"/>
    <w:rsid w:val="00521649"/>
    <w:rsid w:val="00521889"/>
    <w:rsid w:val="00530CCB"/>
    <w:rsid w:val="005364B7"/>
    <w:rsid w:val="0054187E"/>
    <w:rsid w:val="005418DC"/>
    <w:rsid w:val="00545AE3"/>
    <w:rsid w:val="00546108"/>
    <w:rsid w:val="00562420"/>
    <w:rsid w:val="00563AAE"/>
    <w:rsid w:val="0057084F"/>
    <w:rsid w:val="005717BF"/>
    <w:rsid w:val="00577042"/>
    <w:rsid w:val="0058475F"/>
    <w:rsid w:val="00586EE2"/>
    <w:rsid w:val="005919CA"/>
    <w:rsid w:val="00592CFF"/>
    <w:rsid w:val="00593651"/>
    <w:rsid w:val="00594B31"/>
    <w:rsid w:val="00594D5D"/>
    <w:rsid w:val="005979D4"/>
    <w:rsid w:val="005A0F8F"/>
    <w:rsid w:val="005A1512"/>
    <w:rsid w:val="005A1689"/>
    <w:rsid w:val="005A3CF8"/>
    <w:rsid w:val="005A44EF"/>
    <w:rsid w:val="005A55DD"/>
    <w:rsid w:val="005B1D56"/>
    <w:rsid w:val="005B7A2F"/>
    <w:rsid w:val="005C33C5"/>
    <w:rsid w:val="005C36AA"/>
    <w:rsid w:val="005C5D33"/>
    <w:rsid w:val="005E21FA"/>
    <w:rsid w:val="005E57FD"/>
    <w:rsid w:val="005F176C"/>
    <w:rsid w:val="005F288F"/>
    <w:rsid w:val="005F36CE"/>
    <w:rsid w:val="005F4526"/>
    <w:rsid w:val="005F4E59"/>
    <w:rsid w:val="005F5895"/>
    <w:rsid w:val="00604F2B"/>
    <w:rsid w:val="00606890"/>
    <w:rsid w:val="00610553"/>
    <w:rsid w:val="006170B8"/>
    <w:rsid w:val="00617602"/>
    <w:rsid w:val="0061796E"/>
    <w:rsid w:val="00620905"/>
    <w:rsid w:val="006212E6"/>
    <w:rsid w:val="0062133B"/>
    <w:rsid w:val="0062460D"/>
    <w:rsid w:val="00624CC8"/>
    <w:rsid w:val="006330C9"/>
    <w:rsid w:val="00635590"/>
    <w:rsid w:val="00637DFC"/>
    <w:rsid w:val="00640CEA"/>
    <w:rsid w:val="006467B9"/>
    <w:rsid w:val="00652A15"/>
    <w:rsid w:val="00654C89"/>
    <w:rsid w:val="00654EC7"/>
    <w:rsid w:val="00660202"/>
    <w:rsid w:val="00661DFB"/>
    <w:rsid w:val="00664E21"/>
    <w:rsid w:val="00665230"/>
    <w:rsid w:val="00667DEB"/>
    <w:rsid w:val="00680939"/>
    <w:rsid w:val="006831FB"/>
    <w:rsid w:val="00686317"/>
    <w:rsid w:val="00687085"/>
    <w:rsid w:val="00692E01"/>
    <w:rsid w:val="006934C4"/>
    <w:rsid w:val="00697EF6"/>
    <w:rsid w:val="006A025E"/>
    <w:rsid w:val="006A2576"/>
    <w:rsid w:val="006A2650"/>
    <w:rsid w:val="006A3796"/>
    <w:rsid w:val="006A3B83"/>
    <w:rsid w:val="006B2B45"/>
    <w:rsid w:val="006B3BA1"/>
    <w:rsid w:val="006B5844"/>
    <w:rsid w:val="006B5E64"/>
    <w:rsid w:val="006B5F12"/>
    <w:rsid w:val="006B7547"/>
    <w:rsid w:val="006C3D97"/>
    <w:rsid w:val="006D01EC"/>
    <w:rsid w:val="006D1D45"/>
    <w:rsid w:val="006D4218"/>
    <w:rsid w:val="006D5146"/>
    <w:rsid w:val="006D7E9C"/>
    <w:rsid w:val="006E31CC"/>
    <w:rsid w:val="006E3304"/>
    <w:rsid w:val="006E4886"/>
    <w:rsid w:val="006E4A48"/>
    <w:rsid w:val="006E7E53"/>
    <w:rsid w:val="006F0265"/>
    <w:rsid w:val="006F0B0E"/>
    <w:rsid w:val="006F20CB"/>
    <w:rsid w:val="006F398D"/>
    <w:rsid w:val="006F562E"/>
    <w:rsid w:val="006F748C"/>
    <w:rsid w:val="0070021C"/>
    <w:rsid w:val="00705139"/>
    <w:rsid w:val="00705A98"/>
    <w:rsid w:val="00721F98"/>
    <w:rsid w:val="00723031"/>
    <w:rsid w:val="0072505E"/>
    <w:rsid w:val="0072629C"/>
    <w:rsid w:val="00726CCF"/>
    <w:rsid w:val="00736D8C"/>
    <w:rsid w:val="00741CDE"/>
    <w:rsid w:val="00743DB2"/>
    <w:rsid w:val="00750657"/>
    <w:rsid w:val="00751325"/>
    <w:rsid w:val="007734F4"/>
    <w:rsid w:val="00773538"/>
    <w:rsid w:val="0077385B"/>
    <w:rsid w:val="00776C24"/>
    <w:rsid w:val="00777623"/>
    <w:rsid w:val="00777CC3"/>
    <w:rsid w:val="007941FA"/>
    <w:rsid w:val="007A1181"/>
    <w:rsid w:val="007A1A5F"/>
    <w:rsid w:val="007A2D4D"/>
    <w:rsid w:val="007A7A99"/>
    <w:rsid w:val="007B00D6"/>
    <w:rsid w:val="007B0423"/>
    <w:rsid w:val="007B24B9"/>
    <w:rsid w:val="007B27B3"/>
    <w:rsid w:val="007B342A"/>
    <w:rsid w:val="007B3568"/>
    <w:rsid w:val="007C1AF1"/>
    <w:rsid w:val="007C20B9"/>
    <w:rsid w:val="007C5F84"/>
    <w:rsid w:val="007E54F5"/>
    <w:rsid w:val="007E6C0A"/>
    <w:rsid w:val="007F59BA"/>
    <w:rsid w:val="007F605E"/>
    <w:rsid w:val="008000DF"/>
    <w:rsid w:val="00802657"/>
    <w:rsid w:val="0081221E"/>
    <w:rsid w:val="00822206"/>
    <w:rsid w:val="00823FB3"/>
    <w:rsid w:val="00831372"/>
    <w:rsid w:val="008362B2"/>
    <w:rsid w:val="008402ED"/>
    <w:rsid w:val="008429DC"/>
    <w:rsid w:val="008444FB"/>
    <w:rsid w:val="00844B4E"/>
    <w:rsid w:val="00844DC3"/>
    <w:rsid w:val="0084633C"/>
    <w:rsid w:val="008479D8"/>
    <w:rsid w:val="008501BD"/>
    <w:rsid w:val="008521A3"/>
    <w:rsid w:val="008527D0"/>
    <w:rsid w:val="008555DD"/>
    <w:rsid w:val="00865666"/>
    <w:rsid w:val="00865786"/>
    <w:rsid w:val="008677FF"/>
    <w:rsid w:val="00870220"/>
    <w:rsid w:val="00873967"/>
    <w:rsid w:val="00874A8B"/>
    <w:rsid w:val="008761F0"/>
    <w:rsid w:val="008778DC"/>
    <w:rsid w:val="00877C39"/>
    <w:rsid w:val="008815C8"/>
    <w:rsid w:val="00881963"/>
    <w:rsid w:val="008855D4"/>
    <w:rsid w:val="00886051"/>
    <w:rsid w:val="00887829"/>
    <w:rsid w:val="008949E4"/>
    <w:rsid w:val="00897A5A"/>
    <w:rsid w:val="008A4C9B"/>
    <w:rsid w:val="008B0365"/>
    <w:rsid w:val="008B0D52"/>
    <w:rsid w:val="008B1C6F"/>
    <w:rsid w:val="008B6A2F"/>
    <w:rsid w:val="008C34A2"/>
    <w:rsid w:val="008C3AA9"/>
    <w:rsid w:val="008C3ACA"/>
    <w:rsid w:val="008C4A7F"/>
    <w:rsid w:val="008C6D31"/>
    <w:rsid w:val="008C7E23"/>
    <w:rsid w:val="008D054C"/>
    <w:rsid w:val="008D0D01"/>
    <w:rsid w:val="008D10FC"/>
    <w:rsid w:val="008D2614"/>
    <w:rsid w:val="008D517C"/>
    <w:rsid w:val="008D5618"/>
    <w:rsid w:val="008D6B6D"/>
    <w:rsid w:val="008D6C57"/>
    <w:rsid w:val="008F202B"/>
    <w:rsid w:val="008F696A"/>
    <w:rsid w:val="00901E1F"/>
    <w:rsid w:val="00904EF3"/>
    <w:rsid w:val="0091165F"/>
    <w:rsid w:val="00916E97"/>
    <w:rsid w:val="0092129D"/>
    <w:rsid w:val="0092501B"/>
    <w:rsid w:val="00927101"/>
    <w:rsid w:val="00933E66"/>
    <w:rsid w:val="00936A4E"/>
    <w:rsid w:val="0093736C"/>
    <w:rsid w:val="00937990"/>
    <w:rsid w:val="009428BC"/>
    <w:rsid w:val="0095479E"/>
    <w:rsid w:val="00971658"/>
    <w:rsid w:val="00971E28"/>
    <w:rsid w:val="00974CAF"/>
    <w:rsid w:val="009770A3"/>
    <w:rsid w:val="009856D8"/>
    <w:rsid w:val="00985EB3"/>
    <w:rsid w:val="00987F59"/>
    <w:rsid w:val="00990A0B"/>
    <w:rsid w:val="00993484"/>
    <w:rsid w:val="00993649"/>
    <w:rsid w:val="009A0448"/>
    <w:rsid w:val="009A0AFC"/>
    <w:rsid w:val="009A427E"/>
    <w:rsid w:val="009A5E81"/>
    <w:rsid w:val="009B0491"/>
    <w:rsid w:val="009B40DA"/>
    <w:rsid w:val="009B4BC8"/>
    <w:rsid w:val="009B5B69"/>
    <w:rsid w:val="009C254F"/>
    <w:rsid w:val="009C5427"/>
    <w:rsid w:val="009C7361"/>
    <w:rsid w:val="009D356D"/>
    <w:rsid w:val="009D38E0"/>
    <w:rsid w:val="009E0747"/>
    <w:rsid w:val="009E0750"/>
    <w:rsid w:val="009E0EA3"/>
    <w:rsid w:val="009E49BA"/>
    <w:rsid w:val="009E7AB4"/>
    <w:rsid w:val="009F197C"/>
    <w:rsid w:val="00A0465D"/>
    <w:rsid w:val="00A14BBB"/>
    <w:rsid w:val="00A22CCF"/>
    <w:rsid w:val="00A231B0"/>
    <w:rsid w:val="00A336B3"/>
    <w:rsid w:val="00A34CDF"/>
    <w:rsid w:val="00A41591"/>
    <w:rsid w:val="00A424AE"/>
    <w:rsid w:val="00A53A68"/>
    <w:rsid w:val="00A562BF"/>
    <w:rsid w:val="00A62CEE"/>
    <w:rsid w:val="00A64241"/>
    <w:rsid w:val="00A72ADE"/>
    <w:rsid w:val="00A75AE4"/>
    <w:rsid w:val="00A76A77"/>
    <w:rsid w:val="00A81749"/>
    <w:rsid w:val="00A824A4"/>
    <w:rsid w:val="00A84F85"/>
    <w:rsid w:val="00A85084"/>
    <w:rsid w:val="00A85B83"/>
    <w:rsid w:val="00AA50BD"/>
    <w:rsid w:val="00AA7328"/>
    <w:rsid w:val="00AB1685"/>
    <w:rsid w:val="00AB323E"/>
    <w:rsid w:val="00AB3AA4"/>
    <w:rsid w:val="00AB3E47"/>
    <w:rsid w:val="00AB774C"/>
    <w:rsid w:val="00AC559B"/>
    <w:rsid w:val="00AE4AEB"/>
    <w:rsid w:val="00AE4EA7"/>
    <w:rsid w:val="00AF1710"/>
    <w:rsid w:val="00AF1849"/>
    <w:rsid w:val="00AF2176"/>
    <w:rsid w:val="00AF6483"/>
    <w:rsid w:val="00B13712"/>
    <w:rsid w:val="00B20570"/>
    <w:rsid w:val="00B209DB"/>
    <w:rsid w:val="00B232BC"/>
    <w:rsid w:val="00B26000"/>
    <w:rsid w:val="00B2647E"/>
    <w:rsid w:val="00B30E6F"/>
    <w:rsid w:val="00B33665"/>
    <w:rsid w:val="00B43603"/>
    <w:rsid w:val="00B463EB"/>
    <w:rsid w:val="00B465D7"/>
    <w:rsid w:val="00B529C3"/>
    <w:rsid w:val="00B534A4"/>
    <w:rsid w:val="00B537FB"/>
    <w:rsid w:val="00B544F6"/>
    <w:rsid w:val="00B54A71"/>
    <w:rsid w:val="00B55675"/>
    <w:rsid w:val="00B624C2"/>
    <w:rsid w:val="00B62A63"/>
    <w:rsid w:val="00B63079"/>
    <w:rsid w:val="00B70A10"/>
    <w:rsid w:val="00B748B3"/>
    <w:rsid w:val="00B74DE5"/>
    <w:rsid w:val="00B75921"/>
    <w:rsid w:val="00B8211C"/>
    <w:rsid w:val="00B83DF8"/>
    <w:rsid w:val="00B921FF"/>
    <w:rsid w:val="00B9317E"/>
    <w:rsid w:val="00B95A88"/>
    <w:rsid w:val="00B96AC2"/>
    <w:rsid w:val="00B979F5"/>
    <w:rsid w:val="00BA0DF1"/>
    <w:rsid w:val="00BA35BC"/>
    <w:rsid w:val="00BA4631"/>
    <w:rsid w:val="00BB2909"/>
    <w:rsid w:val="00BB3E11"/>
    <w:rsid w:val="00BB7398"/>
    <w:rsid w:val="00BC61D4"/>
    <w:rsid w:val="00BD1017"/>
    <w:rsid w:val="00BE5C01"/>
    <w:rsid w:val="00BF064A"/>
    <w:rsid w:val="00BF277A"/>
    <w:rsid w:val="00BF7B1B"/>
    <w:rsid w:val="00C00F0E"/>
    <w:rsid w:val="00C039C3"/>
    <w:rsid w:val="00C0671F"/>
    <w:rsid w:val="00C06F0E"/>
    <w:rsid w:val="00C10BB0"/>
    <w:rsid w:val="00C10F13"/>
    <w:rsid w:val="00C20724"/>
    <w:rsid w:val="00C2311B"/>
    <w:rsid w:val="00C2352F"/>
    <w:rsid w:val="00C374BF"/>
    <w:rsid w:val="00C4097F"/>
    <w:rsid w:val="00C425F6"/>
    <w:rsid w:val="00C43725"/>
    <w:rsid w:val="00C446D3"/>
    <w:rsid w:val="00C44848"/>
    <w:rsid w:val="00C500D8"/>
    <w:rsid w:val="00C626A9"/>
    <w:rsid w:val="00C6308C"/>
    <w:rsid w:val="00C659E2"/>
    <w:rsid w:val="00C707CA"/>
    <w:rsid w:val="00C738BE"/>
    <w:rsid w:val="00C9149F"/>
    <w:rsid w:val="00C91ACB"/>
    <w:rsid w:val="00C92405"/>
    <w:rsid w:val="00C9364C"/>
    <w:rsid w:val="00C97314"/>
    <w:rsid w:val="00CA188B"/>
    <w:rsid w:val="00CA19C4"/>
    <w:rsid w:val="00CA30A0"/>
    <w:rsid w:val="00CA33E8"/>
    <w:rsid w:val="00CA5106"/>
    <w:rsid w:val="00CB218E"/>
    <w:rsid w:val="00CB6137"/>
    <w:rsid w:val="00CC7C51"/>
    <w:rsid w:val="00CD23A1"/>
    <w:rsid w:val="00CD28C1"/>
    <w:rsid w:val="00CD3F55"/>
    <w:rsid w:val="00CD4845"/>
    <w:rsid w:val="00CE1662"/>
    <w:rsid w:val="00CE2140"/>
    <w:rsid w:val="00CE299B"/>
    <w:rsid w:val="00CE7680"/>
    <w:rsid w:val="00CF5AE3"/>
    <w:rsid w:val="00CF6B30"/>
    <w:rsid w:val="00D01FC3"/>
    <w:rsid w:val="00D06980"/>
    <w:rsid w:val="00D102B5"/>
    <w:rsid w:val="00D11DA2"/>
    <w:rsid w:val="00D1441A"/>
    <w:rsid w:val="00D21A21"/>
    <w:rsid w:val="00D2273D"/>
    <w:rsid w:val="00D234C9"/>
    <w:rsid w:val="00D27765"/>
    <w:rsid w:val="00D35341"/>
    <w:rsid w:val="00D37709"/>
    <w:rsid w:val="00D432DA"/>
    <w:rsid w:val="00D43304"/>
    <w:rsid w:val="00D54A55"/>
    <w:rsid w:val="00D5770A"/>
    <w:rsid w:val="00D65AC1"/>
    <w:rsid w:val="00D71A87"/>
    <w:rsid w:val="00D720C3"/>
    <w:rsid w:val="00D72568"/>
    <w:rsid w:val="00D778E3"/>
    <w:rsid w:val="00D8063F"/>
    <w:rsid w:val="00D827C8"/>
    <w:rsid w:val="00D83C3D"/>
    <w:rsid w:val="00D84386"/>
    <w:rsid w:val="00D84B6C"/>
    <w:rsid w:val="00D8689E"/>
    <w:rsid w:val="00D87A3C"/>
    <w:rsid w:val="00D943A8"/>
    <w:rsid w:val="00D95793"/>
    <w:rsid w:val="00D97F03"/>
    <w:rsid w:val="00DA05B9"/>
    <w:rsid w:val="00DA0AA3"/>
    <w:rsid w:val="00DA3A7F"/>
    <w:rsid w:val="00DA4224"/>
    <w:rsid w:val="00DA6DC8"/>
    <w:rsid w:val="00DB1EC4"/>
    <w:rsid w:val="00DC17EA"/>
    <w:rsid w:val="00DC3E96"/>
    <w:rsid w:val="00DC3ED9"/>
    <w:rsid w:val="00DC51CE"/>
    <w:rsid w:val="00DD6F3A"/>
    <w:rsid w:val="00DE57B2"/>
    <w:rsid w:val="00DF2C6B"/>
    <w:rsid w:val="00E027A5"/>
    <w:rsid w:val="00E0419A"/>
    <w:rsid w:val="00E25A62"/>
    <w:rsid w:val="00E343E3"/>
    <w:rsid w:val="00E37EED"/>
    <w:rsid w:val="00E434D6"/>
    <w:rsid w:val="00E4497D"/>
    <w:rsid w:val="00E453EA"/>
    <w:rsid w:val="00E458DB"/>
    <w:rsid w:val="00E45D66"/>
    <w:rsid w:val="00E46391"/>
    <w:rsid w:val="00E46A88"/>
    <w:rsid w:val="00E46DC2"/>
    <w:rsid w:val="00E50300"/>
    <w:rsid w:val="00E519A6"/>
    <w:rsid w:val="00E5215F"/>
    <w:rsid w:val="00E52802"/>
    <w:rsid w:val="00E52C2F"/>
    <w:rsid w:val="00E541B9"/>
    <w:rsid w:val="00E55321"/>
    <w:rsid w:val="00E616DE"/>
    <w:rsid w:val="00E66922"/>
    <w:rsid w:val="00E730F8"/>
    <w:rsid w:val="00E73C55"/>
    <w:rsid w:val="00E80DCD"/>
    <w:rsid w:val="00E8156B"/>
    <w:rsid w:val="00E81BAB"/>
    <w:rsid w:val="00E87699"/>
    <w:rsid w:val="00E9736B"/>
    <w:rsid w:val="00EA0A9E"/>
    <w:rsid w:val="00EA22D2"/>
    <w:rsid w:val="00EA60AE"/>
    <w:rsid w:val="00EA7DB8"/>
    <w:rsid w:val="00EB2DFF"/>
    <w:rsid w:val="00EB3391"/>
    <w:rsid w:val="00EB5A16"/>
    <w:rsid w:val="00EC0AA7"/>
    <w:rsid w:val="00EC1518"/>
    <w:rsid w:val="00EC3E32"/>
    <w:rsid w:val="00ED1D63"/>
    <w:rsid w:val="00ED4154"/>
    <w:rsid w:val="00ED5B8F"/>
    <w:rsid w:val="00ED6DE3"/>
    <w:rsid w:val="00ED71E3"/>
    <w:rsid w:val="00EE28F8"/>
    <w:rsid w:val="00EE549A"/>
    <w:rsid w:val="00EE6C4F"/>
    <w:rsid w:val="00EF270F"/>
    <w:rsid w:val="00F011D8"/>
    <w:rsid w:val="00F034D6"/>
    <w:rsid w:val="00F03572"/>
    <w:rsid w:val="00F07B36"/>
    <w:rsid w:val="00F11B80"/>
    <w:rsid w:val="00F135C3"/>
    <w:rsid w:val="00F16FA1"/>
    <w:rsid w:val="00F20605"/>
    <w:rsid w:val="00F21A5B"/>
    <w:rsid w:val="00F2284A"/>
    <w:rsid w:val="00F260A2"/>
    <w:rsid w:val="00F26CA3"/>
    <w:rsid w:val="00F3228A"/>
    <w:rsid w:val="00F340AC"/>
    <w:rsid w:val="00F37D05"/>
    <w:rsid w:val="00F40C4A"/>
    <w:rsid w:val="00F43608"/>
    <w:rsid w:val="00F446CC"/>
    <w:rsid w:val="00F45911"/>
    <w:rsid w:val="00F63E23"/>
    <w:rsid w:val="00F67D02"/>
    <w:rsid w:val="00F72024"/>
    <w:rsid w:val="00F7250D"/>
    <w:rsid w:val="00F759B1"/>
    <w:rsid w:val="00F82EB7"/>
    <w:rsid w:val="00F83A7D"/>
    <w:rsid w:val="00F86119"/>
    <w:rsid w:val="00F93265"/>
    <w:rsid w:val="00FA3B85"/>
    <w:rsid w:val="00FA6837"/>
    <w:rsid w:val="00FB4EAD"/>
    <w:rsid w:val="00FB677D"/>
    <w:rsid w:val="00FB7264"/>
    <w:rsid w:val="00FC78BB"/>
    <w:rsid w:val="00FC7A5F"/>
    <w:rsid w:val="00FD1CF6"/>
    <w:rsid w:val="00FE0F9B"/>
    <w:rsid w:val="00FE2688"/>
    <w:rsid w:val="00FE3F29"/>
    <w:rsid w:val="00FF3719"/>
    <w:rsid w:val="00FF388E"/>
    <w:rsid w:val="00FF531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9556C"/>
  <w15:docId w15:val="{B980BBE3-9230-4D97-BCCA-0EC3925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style>
  <w:style w:type="paragraph" w:styleId="berschrift1">
    <w:name w:val="heading 1"/>
    <w:basedOn w:val="Standard"/>
    <w:next w:val="Standard"/>
    <w:link w:val="berschrift1Zchn"/>
    <w:uiPriority w:val="9"/>
    <w:qFormat/>
    <w:pPr>
      <w:keepNext/>
      <w:keepLines/>
      <w:numPr>
        <w:numId w:val="4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4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4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559E5"/>
    <w:pPr>
      <w:keepNext/>
      <w:keepLines/>
      <w:numPr>
        <w:ilvl w:val="3"/>
        <w:numId w:val="46"/>
      </w:numPr>
      <w:spacing w:before="200" w:after="0"/>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4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Pr>
      <w:rFonts w:asciiTheme="majorHAnsi" w:eastAsiaTheme="majorEastAsia" w:hAnsiTheme="majorHAnsi" w:cstheme="majorBidi"/>
      <w:color w:val="17365D" w:themeColor="text2" w:themeShade="BF"/>
      <w:spacing w:val="5"/>
      <w:kern w:val="2"/>
      <w:sz w:val="52"/>
      <w:szCs w:val="52"/>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qFormat/>
    <w:rsid w:val="002559E5"/>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semiHidden/>
    <w:qFormat/>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qFormat/>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qFormat/>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qFormat/>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Internetverknpfung">
    <w:name w:val="Internetverknüpfung"/>
    <w:basedOn w:val="Absatz-Standardschriftart"/>
    <w:uiPriority w:val="99"/>
    <w:unhideWhenUsed/>
    <w:rPr>
      <w:color w:val="0000FF" w:themeColor="hyperlink"/>
      <w:u w:val="single"/>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UntertitelZchn">
    <w:name w:val="Untertitel Zchn"/>
    <w:basedOn w:val="Absatz-Standardschriftart"/>
    <w:link w:val="Untertitel"/>
    <w:uiPriority w:val="11"/>
    <w:qFormat/>
    <w:rPr>
      <w:rFonts w:asciiTheme="majorHAnsi" w:eastAsiaTheme="majorEastAsia" w:hAnsiTheme="majorHAnsi" w:cstheme="majorBidi"/>
      <w:b/>
      <w:iCs/>
      <w:color w:val="4F81BD" w:themeColor="accent1"/>
      <w:spacing w:val="15"/>
      <w:sz w:val="28"/>
      <w:szCs w:val="24"/>
    </w:rPr>
  </w:style>
  <w:style w:type="character" w:customStyle="1" w:styleId="FunotentextZchn">
    <w:name w:val="Fußnotentext Zchn"/>
    <w:aliases w:val="MWV-Fußnotentext Zchn"/>
    <w:basedOn w:val="Absatz-Standardschriftart"/>
    <w:link w:val="Funotentext"/>
    <w:uiPriority w:val="99"/>
    <w:qFormat/>
    <w:rPr>
      <w:sz w:val="20"/>
      <w:szCs w:val="20"/>
    </w:rPr>
  </w:style>
  <w:style w:type="character" w:styleId="Funotenzeichen">
    <w:name w:val="footnote reference"/>
    <w:basedOn w:val="Absatz-Standardschriftart"/>
    <w:uiPriority w:val="99"/>
    <w:unhideWhenUsed/>
    <w:qFormat/>
    <w:rPr>
      <w:vertAlign w:val="superscript"/>
    </w:rPr>
  </w:style>
  <w:style w:type="character" w:customStyle="1" w:styleId="Funotenanker">
    <w:name w:val="Fußnotenanker"/>
    <w:rPr>
      <w:vertAlign w:val="superscript"/>
    </w:rPr>
  </w:style>
  <w:style w:type="character" w:customStyle="1" w:styleId="ListenabsatzZchn">
    <w:name w:val="Listenabsatz Zchn"/>
    <w:aliases w:val="Nummerierung Zchn,Listenabsatz1 Zchn"/>
    <w:basedOn w:val="Absatz-Standardschriftart"/>
    <w:link w:val="Listenabsatz"/>
    <w:uiPriority w:val="34"/>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styleId="Kommentarzeichen">
    <w:name w:val="annotation reference"/>
    <w:basedOn w:val="Absatz-Standardschriftart"/>
    <w:unhideWhenUsed/>
    <w:qFormat/>
    <w:rPr>
      <w:sz w:val="16"/>
      <w:szCs w:val="16"/>
    </w:rPr>
  </w:style>
  <w:style w:type="character" w:customStyle="1" w:styleId="KommentartextZchn">
    <w:name w:val="Kommentartext Zchn"/>
    <w:basedOn w:val="Absatz-Standardschriftart"/>
    <w:link w:val="Kommentartext"/>
    <w:uiPriority w:val="99"/>
    <w:qFormat/>
    <w:rPr>
      <w:sz w:val="20"/>
      <w:szCs w:val="20"/>
    </w:rPr>
  </w:style>
  <w:style w:type="character" w:customStyle="1" w:styleId="KommentarthemaZchn">
    <w:name w:val="Kommentarthema Zchn"/>
    <w:basedOn w:val="KommentartextZchn"/>
    <w:link w:val="Kommentarthema"/>
    <w:uiPriority w:val="99"/>
    <w:semiHidden/>
    <w:qFormat/>
    <w:rPr>
      <w:b/>
      <w:bCs/>
      <w:sz w:val="20"/>
      <w:szCs w:val="20"/>
    </w:rPr>
  </w:style>
  <w:style w:type="character" w:customStyle="1" w:styleId="BesuchteInternetverknpfung">
    <w:name w:val="Besuchte Internetverknüpfung"/>
    <w:basedOn w:val="Absatz-Standardschriftart"/>
    <w:uiPriority w:val="99"/>
    <w:semiHidden/>
    <w:unhideWhenUsed/>
    <w:rsid w:val="00B854AA"/>
    <w:rPr>
      <w:color w:val="800080" w:themeColor="followedHyperlink"/>
      <w:u w:val="single"/>
    </w:rPr>
  </w:style>
  <w:style w:type="character" w:styleId="NichtaufgelsteErwhnung">
    <w:name w:val="Unresolved Mention"/>
    <w:basedOn w:val="Absatz-Standardschriftart"/>
    <w:uiPriority w:val="99"/>
    <w:semiHidden/>
    <w:unhideWhenUsed/>
    <w:qFormat/>
    <w:rsid w:val="00D777BA"/>
    <w:rPr>
      <w:color w:val="605E5C"/>
      <w:shd w:val="clear" w:color="auto" w:fill="E1DFDD"/>
    </w:rPr>
  </w:style>
  <w:style w:type="character" w:customStyle="1" w:styleId="anchor-text">
    <w:name w:val="anchor-text"/>
    <w:basedOn w:val="Absatz-Standardschriftart"/>
    <w:qFormat/>
    <w:rsid w:val="00E30F46"/>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paragraph" w:customStyle="1" w:styleId="Verzeichnis">
    <w:name w:val="Verzeichnis"/>
    <w:basedOn w:val="Standard"/>
    <w:qFormat/>
    <w:pPr>
      <w:suppressLineNumbers/>
    </w:pPr>
    <w:rPr>
      <w:rFonts w:cs="Noto Sans Devanagari"/>
    </w:rPr>
  </w:style>
  <w:style w:type="paragraph" w:styleId="Titel">
    <w:name w:val="Title"/>
    <w:basedOn w:val="Standard"/>
    <w:next w:val="Standard"/>
    <w:link w:val="TitelZchn"/>
    <w:uiPriority w:val="10"/>
    <w:qFormat/>
    <w:pPr>
      <w:pBdr>
        <w:bottom w:val="single" w:sz="8" w:space="4" w:color="4F81BD"/>
      </w:pBdr>
      <w:spacing w:after="300" w:line="240" w:lineRule="auto"/>
      <w:contextualSpacing/>
      <w:jc w:val="center"/>
    </w:pPr>
    <w:rPr>
      <w:rFonts w:asciiTheme="majorHAnsi" w:eastAsiaTheme="majorEastAsia" w:hAnsiTheme="majorHAnsi" w:cstheme="majorBidi"/>
      <w:color w:val="17365D" w:themeColor="text2" w:themeShade="BF"/>
      <w:spacing w:val="5"/>
      <w:kern w:val="2"/>
      <w:sz w:val="52"/>
      <w:szCs w:val="52"/>
    </w:rPr>
  </w:style>
  <w:style w:type="paragraph" w:styleId="Listenabsatz">
    <w:name w:val="List Paragraph"/>
    <w:aliases w:val="Nummerierung,Listenabsatz1"/>
    <w:basedOn w:val="Standard"/>
    <w:link w:val="ListenabsatzZchn"/>
    <w:uiPriority w:val="34"/>
    <w:qFormat/>
    <w:pPr>
      <w:ind w:left="720"/>
      <w:contextualSpacing/>
    </w:pPr>
  </w:style>
  <w:style w:type="paragraph" w:styleId="Verzeichnis1">
    <w:name w:val="toc 1"/>
    <w:basedOn w:val="Standard"/>
    <w:next w:val="Standard"/>
    <w:autoRedefine/>
    <w:uiPriority w:val="39"/>
    <w:unhideWhenUsed/>
    <w:rsid w:val="003B642E"/>
    <w:pPr>
      <w:tabs>
        <w:tab w:val="right" w:leader="underscore" w:pos="9062"/>
      </w:tabs>
      <w:spacing w:before="120" w:after="0"/>
      <w:jc w:val="left"/>
    </w:pPr>
    <w:rPr>
      <w:rFonts w:cstheme="minorHAnsi"/>
      <w:b/>
      <w:bCs/>
      <w:iCs/>
      <w:sz w:val="24"/>
      <w:szCs w:val="24"/>
    </w:rPr>
  </w:style>
  <w:style w:type="paragraph" w:styleId="Verzeichnis2">
    <w:name w:val="toc 2"/>
    <w:basedOn w:val="Standard"/>
    <w:next w:val="Standard"/>
    <w:autoRedefine/>
    <w:uiPriority w:val="39"/>
    <w:unhideWhenUsed/>
    <w:rsid w:val="00A824A4"/>
    <w:pPr>
      <w:tabs>
        <w:tab w:val="left" w:pos="880"/>
        <w:tab w:val="right" w:leader="underscore" w:pos="9062"/>
      </w:tabs>
      <w:spacing w:before="120" w:after="0"/>
      <w:ind w:left="220"/>
      <w:jc w:val="left"/>
    </w:pPr>
    <w:rPr>
      <w:rFonts w:cstheme="minorHAnsi"/>
      <w:b/>
      <w:bCs/>
    </w:rPr>
  </w:style>
  <w:style w:type="paragraph" w:styleId="Verzeichnis3">
    <w:name w:val="toc 3"/>
    <w:basedOn w:val="Standard"/>
    <w:next w:val="Standard"/>
    <w:autoRedefine/>
    <w:uiPriority w:val="39"/>
    <w:unhideWhenUsed/>
    <w:rsid w:val="003B642E"/>
    <w:pPr>
      <w:tabs>
        <w:tab w:val="left" w:pos="1100"/>
        <w:tab w:val="right" w:leader="underscore" w:pos="9062"/>
      </w:tabs>
      <w:spacing w:after="0"/>
      <w:ind w:left="440"/>
      <w:jc w:val="left"/>
    </w:pPr>
    <w:rPr>
      <w:rFonts w:cstheme="minorHAnsi"/>
      <w:sz w:val="20"/>
      <w:szCs w:val="20"/>
    </w:rPr>
  </w:style>
  <w:style w:type="paragraph" w:styleId="Verzeichnis4">
    <w:name w:val="toc 4"/>
    <w:basedOn w:val="Standard"/>
    <w:next w:val="Standard"/>
    <w:autoRedefine/>
    <w:uiPriority w:val="39"/>
    <w:unhideWhenUsed/>
    <w:rsid w:val="00592CFF"/>
    <w:pPr>
      <w:tabs>
        <w:tab w:val="left" w:pos="1540"/>
        <w:tab w:val="right" w:leader="underscore" w:pos="9062"/>
      </w:tabs>
      <w:spacing w:after="0"/>
      <w:ind w:left="660"/>
      <w:jc w:val="left"/>
    </w:pPr>
    <w:rPr>
      <w:rFonts w:cstheme="minorHAnsi"/>
      <w:sz w:val="20"/>
      <w:szCs w:val="20"/>
    </w:rPr>
  </w:style>
  <w:style w:type="paragraph" w:styleId="Verzeichnis5">
    <w:name w:val="toc 5"/>
    <w:basedOn w:val="Standard"/>
    <w:next w:val="Standard"/>
    <w:autoRedefine/>
    <w:uiPriority w:val="39"/>
    <w:unhideWhenUsed/>
    <w:pPr>
      <w:spacing w:after="0"/>
      <w:ind w:left="880"/>
      <w:jc w:val="left"/>
    </w:pPr>
    <w:rPr>
      <w:rFonts w:cstheme="minorHAnsi"/>
      <w:sz w:val="20"/>
      <w:szCs w:val="20"/>
    </w:rPr>
  </w:style>
  <w:style w:type="paragraph" w:styleId="Verzeichnis6">
    <w:name w:val="toc 6"/>
    <w:basedOn w:val="Standard"/>
    <w:next w:val="Standard"/>
    <w:autoRedefine/>
    <w:uiPriority w:val="39"/>
    <w:unhideWhenUsed/>
    <w:pPr>
      <w:spacing w:after="0"/>
      <w:ind w:left="1100"/>
      <w:jc w:val="left"/>
    </w:pPr>
    <w:rPr>
      <w:rFonts w:cstheme="minorHAnsi"/>
      <w:sz w:val="20"/>
      <w:szCs w:val="20"/>
    </w:rPr>
  </w:style>
  <w:style w:type="paragraph" w:styleId="Verzeichnis7">
    <w:name w:val="toc 7"/>
    <w:basedOn w:val="Standard"/>
    <w:next w:val="Standard"/>
    <w:autoRedefine/>
    <w:uiPriority w:val="39"/>
    <w:unhideWhenUsed/>
    <w:pPr>
      <w:spacing w:after="0"/>
      <w:ind w:left="1320"/>
      <w:jc w:val="left"/>
    </w:pPr>
    <w:rPr>
      <w:rFonts w:cstheme="minorHAnsi"/>
      <w:sz w:val="20"/>
      <w:szCs w:val="20"/>
    </w:rPr>
  </w:style>
  <w:style w:type="paragraph" w:styleId="Verzeichnis8">
    <w:name w:val="toc 8"/>
    <w:basedOn w:val="Standard"/>
    <w:next w:val="Standard"/>
    <w:autoRedefine/>
    <w:uiPriority w:val="39"/>
    <w:unhideWhenUsed/>
    <w:pPr>
      <w:spacing w:after="0"/>
      <w:ind w:left="1540"/>
      <w:jc w:val="left"/>
    </w:pPr>
    <w:rPr>
      <w:rFonts w:cstheme="minorHAnsi"/>
      <w:sz w:val="20"/>
      <w:szCs w:val="20"/>
    </w:rPr>
  </w:style>
  <w:style w:type="paragraph" w:styleId="Verzeichnis9">
    <w:name w:val="toc 9"/>
    <w:basedOn w:val="Standard"/>
    <w:next w:val="Standard"/>
    <w:autoRedefine/>
    <w:uiPriority w:val="39"/>
    <w:unhideWhenUsed/>
    <w:pPr>
      <w:spacing w:after="0"/>
      <w:ind w:left="1760"/>
      <w:jc w:val="left"/>
    </w:pPr>
    <w:rPr>
      <w:rFonts w:cstheme="minorHAnsi"/>
      <w:sz w:val="20"/>
      <w:szCs w:val="20"/>
    </w:rPr>
  </w:style>
  <w:style w:type="paragraph" w:styleId="Abbildungsverzeichnis">
    <w:name w:val="table of figures"/>
    <w:basedOn w:val="Standard"/>
    <w:next w:val="Standard"/>
    <w:uiPriority w:val="99"/>
    <w:unhideWhenUsed/>
    <w:qFormat/>
    <w:rsid w:val="002227A5"/>
    <w:pPr>
      <w:spacing w:before="60" w:after="0"/>
      <w:jc w:val="left"/>
    </w:pPr>
    <w:rPr>
      <w:rFonts w:cstheme="minorHAnsi"/>
      <w:b/>
      <w:iCs/>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Untertitel">
    <w:name w:val="Subtitle"/>
    <w:basedOn w:val="Standard"/>
    <w:next w:val="Standard"/>
    <w:link w:val="UntertitelZchn"/>
    <w:uiPriority w:val="11"/>
    <w:qFormat/>
    <w:pPr>
      <w:spacing w:after="80"/>
    </w:pPr>
    <w:rPr>
      <w:rFonts w:asciiTheme="majorHAnsi" w:eastAsiaTheme="majorEastAsia" w:hAnsiTheme="majorHAnsi" w:cstheme="majorBidi"/>
      <w:b/>
      <w:iCs/>
      <w:color w:val="4F81BD" w:themeColor="accent1"/>
      <w:spacing w:val="15"/>
      <w:sz w:val="28"/>
      <w:szCs w:val="24"/>
    </w:rPr>
  </w:style>
  <w:style w:type="paragraph" w:styleId="Funotentext">
    <w:name w:val="footnote text"/>
    <w:aliases w:val="MWV-Fußnotentext"/>
    <w:basedOn w:val="Standard"/>
    <w:link w:val="FunotentextZchn"/>
    <w:uiPriority w:val="99"/>
    <w:unhideWhenUsed/>
    <w:pPr>
      <w:spacing w:after="0" w:line="240" w:lineRule="auto"/>
    </w:pPr>
    <w:rPr>
      <w:sz w:val="20"/>
      <w:szCs w:val="20"/>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numbering" w:customStyle="1" w:styleId="Nummerierung123">
    <w:name w:val="Nummerierung 123"/>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12CA"/>
    <w:rPr>
      <w:color w:val="0000FF" w:themeColor="hyperlink"/>
      <w:u w:val="single"/>
    </w:rPr>
  </w:style>
  <w:style w:type="character" w:styleId="BesuchterLink">
    <w:name w:val="FollowedHyperlink"/>
    <w:basedOn w:val="Absatz-Standardschriftart"/>
    <w:uiPriority w:val="99"/>
    <w:semiHidden/>
    <w:unhideWhenUsed/>
    <w:rsid w:val="0030590C"/>
    <w:rPr>
      <w:color w:val="800080" w:themeColor="followedHyperlink"/>
      <w:u w:val="single"/>
    </w:rPr>
  </w:style>
  <w:style w:type="paragraph" w:styleId="berarbeitung">
    <w:name w:val="Revision"/>
    <w:hidden/>
    <w:uiPriority w:val="99"/>
    <w:semiHidden/>
    <w:rsid w:val="00046BC6"/>
    <w:pPr>
      <w:suppressAutoHyphens w:val="0"/>
    </w:pPr>
  </w:style>
  <w:style w:type="character" w:customStyle="1" w:styleId="copytoclipboard">
    <w:name w:val="copytoclipboard"/>
    <w:basedOn w:val="Absatz-Standardschriftart"/>
    <w:rsid w:val="00101F9A"/>
  </w:style>
  <w:style w:type="character" w:styleId="Platzhaltertext">
    <w:name w:val="Placeholder Text"/>
    <w:basedOn w:val="Absatz-Standardschriftart"/>
    <w:uiPriority w:val="99"/>
    <w:semiHidden/>
    <w:rsid w:val="00383094"/>
    <w:rPr>
      <w:color w:val="666666"/>
    </w:rPr>
  </w:style>
  <w:style w:type="paragraph" w:styleId="KeinLeerraum">
    <w:name w:val="No Spacing"/>
    <w:uiPriority w:val="1"/>
    <w:qFormat/>
    <w:rsid w:val="00F11B80"/>
    <w:pPr>
      <w:jc w:val="both"/>
    </w:pPr>
  </w:style>
  <w:style w:type="paragraph" w:customStyle="1" w:styleId="Anhang">
    <w:name w:val="Anhang"/>
    <w:basedOn w:val="berschrift1"/>
    <w:next w:val="Standard"/>
    <w:qFormat/>
    <w:rsid w:val="004D1F6F"/>
  </w:style>
  <w:style w:type="paragraph" w:customStyle="1" w:styleId="Anhang2">
    <w:name w:val="Anhang 2"/>
    <w:basedOn w:val="berschrift2"/>
    <w:next w:val="Standard"/>
    <w:qFormat/>
    <w:rsid w:val="004D1F6F"/>
    <w:pPr>
      <w:numPr>
        <w:numId w:val="1"/>
      </w:numPr>
    </w:pPr>
  </w:style>
  <w:style w:type="paragraph" w:customStyle="1" w:styleId="Anhang3">
    <w:name w:val="Anhang 3"/>
    <w:basedOn w:val="berschrift3"/>
    <w:next w:val="Standard"/>
    <w:qFormat/>
    <w:rsid w:val="004D1F6F"/>
    <w:pPr>
      <w:numPr>
        <w:numId w:val="42"/>
      </w:numPr>
    </w:pPr>
  </w:style>
  <w:style w:type="character" w:customStyle="1" w:styleId="cf01">
    <w:name w:val="cf01"/>
    <w:basedOn w:val="Absatz-Standardschriftart"/>
    <w:rsid w:val="00901E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28044">
      <w:bodyDiv w:val="1"/>
      <w:marLeft w:val="0"/>
      <w:marRight w:val="0"/>
      <w:marTop w:val="0"/>
      <w:marBottom w:val="0"/>
      <w:divBdr>
        <w:top w:val="none" w:sz="0" w:space="0" w:color="auto"/>
        <w:left w:val="none" w:sz="0" w:space="0" w:color="auto"/>
        <w:bottom w:val="none" w:sz="0" w:space="0" w:color="auto"/>
        <w:right w:val="none" w:sz="0" w:space="0" w:color="auto"/>
      </w:divBdr>
    </w:div>
    <w:div w:id="965743650">
      <w:bodyDiv w:val="1"/>
      <w:marLeft w:val="0"/>
      <w:marRight w:val="0"/>
      <w:marTop w:val="0"/>
      <w:marBottom w:val="0"/>
      <w:divBdr>
        <w:top w:val="none" w:sz="0" w:space="0" w:color="auto"/>
        <w:left w:val="none" w:sz="0" w:space="0" w:color="auto"/>
        <w:bottom w:val="none" w:sz="0" w:space="0" w:color="auto"/>
        <w:right w:val="none" w:sz="0" w:space="0" w:color="auto"/>
      </w:divBdr>
    </w:div>
    <w:div w:id="1065030741">
      <w:bodyDiv w:val="1"/>
      <w:marLeft w:val="0"/>
      <w:marRight w:val="0"/>
      <w:marTop w:val="0"/>
      <w:marBottom w:val="0"/>
      <w:divBdr>
        <w:top w:val="none" w:sz="0" w:space="0" w:color="auto"/>
        <w:left w:val="none" w:sz="0" w:space="0" w:color="auto"/>
        <w:bottom w:val="none" w:sz="0" w:space="0" w:color="auto"/>
        <w:right w:val="none" w:sz="0" w:space="0" w:color="auto"/>
      </w:divBdr>
    </w:div>
    <w:div w:id="1240138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setze-im-internet.de/gdng/index.html" TargetMode="External"/><Relationship Id="rId21" Type="http://schemas.openxmlformats.org/officeDocument/2006/relationships/footer" Target="footer2.xml"/><Relationship Id="rId42" Type="http://schemas.openxmlformats.org/officeDocument/2006/relationships/hyperlink" Target="https://www.transparenz.bremen.de/metainformationen/bremisches-krankenhausgesetz-bremkrhg-vom-24-november-2020-159875?template=20_gp_ifg_meta_detail_d" TargetMode="External"/><Relationship Id="rId47" Type="http://schemas.openxmlformats.org/officeDocument/2006/relationships/hyperlink" Target="https://www.landesrecht-hamburg.de/bsha/document/jlr-KHGHAV7P12/part/S" TargetMode="External"/><Relationship Id="rId63" Type="http://schemas.openxmlformats.org/officeDocument/2006/relationships/hyperlink" Target="https://recht.saarland.de/bssl/document/jlr-KHGSL2015rahmen/part/R" TargetMode="External"/><Relationship Id="rId68" Type="http://schemas.openxmlformats.org/officeDocument/2006/relationships/hyperlink" Target="https://www.revosax.sachsen.de/vorschrift/19826--SaechsKHG" TargetMode="External"/><Relationship Id="rId84" Type="http://schemas.openxmlformats.org/officeDocument/2006/relationships/hyperlink" Target="https://bravors.brandenburg.de/gesetze/bbgrettg" TargetMode="External"/><Relationship Id="rId89" Type="http://schemas.openxmlformats.org/officeDocument/2006/relationships/hyperlink" Target="https://www.transparenz.bremen.de/metainformationen/bremisches-hilfeleistungsgesetz-bremhilfeg-vom-21-juni-2016-184267?asl=bremen203_tpgesetz.c.55340.de&amp;template=20_gp_ifg_meta_detail_d" TargetMode="External"/><Relationship Id="rId112" Type="http://schemas.openxmlformats.org/officeDocument/2006/relationships/hyperlink" Target="https://landesrecht.thueringen.de/perma?j=RettDG_TH" TargetMode="External"/><Relationship Id="rId16" Type="http://schemas.openxmlformats.org/officeDocument/2006/relationships/hyperlink" Target="https://www.bundestag.de/resource/blob/657236/c82ba2db1cd763e2f46439828d73c4e0/WD-9-043-19-pdf-data.pdf" TargetMode="External"/><Relationship Id="rId107" Type="http://schemas.openxmlformats.org/officeDocument/2006/relationships/hyperlink" Target="https://www.landesrecht.sachsen-anhalt.de/bsst/document/jlr-RettDGST2013pP47" TargetMode="External"/><Relationship Id="rId11" Type="http://schemas.openxmlformats.org/officeDocument/2006/relationships/hyperlink" Target="https://creativecommons.org/licenses/by-sa/4.0/deed.de" TargetMode="External"/><Relationship Id="rId32" Type="http://schemas.openxmlformats.org/officeDocument/2006/relationships/hyperlink" Target="https://www.gesetze-bayern.de/Content/Document/BayKrG-27" TargetMode="External"/><Relationship Id="rId37" Type="http://schemas.openxmlformats.org/officeDocument/2006/relationships/hyperlink" Target="https://bravors.brandenburg.de/gesetze/bbgkheg" TargetMode="External"/><Relationship Id="rId53" Type="http://schemas.openxmlformats.org/officeDocument/2006/relationships/hyperlink" Target="https://www.landesrecht-mv.de/bsmv/document/jlr-LKHGMV2011rahmen/part/X" TargetMode="External"/><Relationship Id="rId58" Type="http://schemas.openxmlformats.org/officeDocument/2006/relationships/hyperlink" Target="https://recht.nrw.de/lmi/owa/br_bes_detail?sg=0&amp;menu=0&amp;bes_id=4283&amp;anw_nr=2&amp;aufgehoben=N&amp;det_id=357754" TargetMode="External"/><Relationship Id="rId74" Type="http://schemas.openxmlformats.org/officeDocument/2006/relationships/hyperlink" Target="https://www.gesetze-rechtsprechung.sh.juris.de/bssh/document/jlr-KHGSHpP38" TargetMode="External"/><Relationship Id="rId79" Type="http://schemas.openxmlformats.org/officeDocument/2006/relationships/hyperlink" Target="https://www.landesrecht-bw.de/bsbw/document/jlr-RettDGBW2010V3P32" TargetMode="External"/><Relationship Id="rId102" Type="http://schemas.openxmlformats.org/officeDocument/2006/relationships/hyperlink" Target="https://recht.saarland.de/bssl/document/jlr-RettDGSL2020rahmen" TargetMode="External"/><Relationship Id="rId5" Type="http://schemas.openxmlformats.org/officeDocument/2006/relationships/webSettings" Target="webSettings.xml"/><Relationship Id="rId90" Type="http://schemas.openxmlformats.org/officeDocument/2006/relationships/hyperlink" Target="https://www.landesrecht-hamburg.de/bsha/document/jlr-RettDGHA2019rahmen" TargetMode="External"/><Relationship Id="rId95" Type="http://schemas.openxmlformats.org/officeDocument/2006/relationships/hyperlink" Target="https://www.landesrecht-mv.de/bsmv/document/jlr-RettDGMV2015V1P15" TargetMode="External"/><Relationship Id="rId22" Type="http://schemas.openxmlformats.org/officeDocument/2006/relationships/hyperlink" Target="https://www.gesetze-im-internet.de/bdsg_2018/" TargetMode="External"/><Relationship Id="rId27" Type="http://schemas.openxmlformats.org/officeDocument/2006/relationships/hyperlink" Target="https://www.gesetze-im-internet.de/gdng/__6.html" TargetMode="External"/><Relationship Id="rId43" Type="http://schemas.openxmlformats.org/officeDocument/2006/relationships/hyperlink" Target="https://www.landesrecht-hamburg.de/bsha/document/jlr-KHGHAV7IVZ/part/S" TargetMode="External"/><Relationship Id="rId48" Type="http://schemas.openxmlformats.org/officeDocument/2006/relationships/hyperlink" Target="https://www.rv.hessenrecht.hessen.de/perma?j=KHG_HE" TargetMode="External"/><Relationship Id="rId64" Type="http://schemas.openxmlformats.org/officeDocument/2006/relationships/hyperlink" Target="https://recht.saarland.de/bssl/document/jlr-KHGSL2015V10P13" TargetMode="External"/><Relationship Id="rId69" Type="http://schemas.openxmlformats.org/officeDocument/2006/relationships/hyperlink" Target="https://landesrecht.sachsen-anhalt.de/bsst/document/jlr-KHGST2005V6P1" TargetMode="External"/><Relationship Id="rId113" Type="http://schemas.openxmlformats.org/officeDocument/2006/relationships/hyperlink" Target="https://landesrecht.thueringen.de/bsth/document/jlr-RettDGTH2008V2P30" TargetMode="External"/><Relationship Id="rId80" Type="http://schemas.openxmlformats.org/officeDocument/2006/relationships/hyperlink" Target="https://www.gesetze-bayern.de/Content/Document/BayRDG" TargetMode="External"/><Relationship Id="rId85" Type="http://schemas.openxmlformats.org/officeDocument/2006/relationships/hyperlink" Target="https://bravors.brandenburg.de/gesetze/bbgrettg" TargetMode="External"/><Relationship Id="rId12" Type="http://schemas.openxmlformats.org/officeDocument/2006/relationships/hyperlink" Target="https://creativecommons.org/licenses/by-sa/4.0/legalcode" TargetMode="External"/><Relationship Id="rId17" Type="http://schemas.openxmlformats.org/officeDocument/2006/relationships/hyperlink" Target="https://www.stmgp.bayern.de/wp-content/uploads/2023/04/gutachten_verfassungskonformitaet_krankenhausplanung.pdf" TargetMode="External"/><Relationship Id="rId33" Type="http://schemas.openxmlformats.org/officeDocument/2006/relationships/hyperlink" Target="https://gesetze.berlin.de/perma?j=KHG_BE" TargetMode="External"/><Relationship Id="rId38" Type="http://schemas.openxmlformats.org/officeDocument/2006/relationships/hyperlink" Target="https://bravors.brandenburg.de/gesetze/bbgkheg" TargetMode="External"/><Relationship Id="rId59" Type="http://schemas.openxmlformats.org/officeDocument/2006/relationships/hyperlink" Target="https://recht.nrw.de/lmi/owa/br_bes_detail?sg=0&amp;menu=0&amp;bes_id=4283&amp;anw_nr=2&amp;aufgehoben=N&amp;det_id=357755" TargetMode="External"/><Relationship Id="rId103" Type="http://schemas.openxmlformats.org/officeDocument/2006/relationships/hyperlink" Target="https://recht.saarland.de/bssl/document/jlr-RettDGSL2020pP27" TargetMode="External"/><Relationship Id="rId108" Type="http://schemas.openxmlformats.org/officeDocument/2006/relationships/hyperlink" Target="https://www.gesetze-rechtsprechung.sh.juris.de/perma?j=RettDG_SH" TargetMode="External"/><Relationship Id="rId54" Type="http://schemas.openxmlformats.org/officeDocument/2006/relationships/hyperlink" Target="https://voris.wolterskluwer-online.de/browse/document/48094838-599b-3c15-be0f-0d6ac78f2244" TargetMode="External"/><Relationship Id="rId70" Type="http://schemas.openxmlformats.org/officeDocument/2006/relationships/hyperlink" Target="https://landesrecht.sachsen-anhalt.de/bsst/document/jlr-KHGST2005V9P16" TargetMode="External"/><Relationship Id="rId75" Type="http://schemas.openxmlformats.org/officeDocument/2006/relationships/hyperlink" Target="https://landesrecht.thueringen.de/perma?j=KHG_TH" TargetMode="External"/><Relationship Id="rId91" Type="http://schemas.openxmlformats.org/officeDocument/2006/relationships/hyperlink" Target="https://www.landesrecht-hamburg.de/bsha/document/jlr-RettDGHA2019pP7" TargetMode="External"/><Relationship Id="rId96" Type="http://schemas.openxmlformats.org/officeDocument/2006/relationships/hyperlink" Target="https://voris.wolterskluwer-online.de/browse/document/7946845b-2902-345d-bc8d-2357a5a72e7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ndestag.de/resource/blob/899852/e48e78cfe536ee972862bab82b8618e9/WD-3-054-22-pdf-data.pdf" TargetMode="External"/><Relationship Id="rId23" Type="http://schemas.openxmlformats.org/officeDocument/2006/relationships/hyperlink" Target="https://www.gesetze-im-internet.de/bdsg_2018/__22.html" TargetMode="External"/><Relationship Id="rId28" Type="http://schemas.openxmlformats.org/officeDocument/2006/relationships/hyperlink" Target="https://www.landesrecht-bw.de/perma?j=KHG_BW" TargetMode="External"/><Relationship Id="rId36" Type="http://schemas.openxmlformats.org/officeDocument/2006/relationships/hyperlink" Target="https://bravors.brandenburg.de/gesetze/bbgkheg" TargetMode="External"/><Relationship Id="rId49" Type="http://schemas.openxmlformats.org/officeDocument/2006/relationships/hyperlink" Target="https://www.rv.hessenrecht.hessen.de/bshe/document/jlr-KHGHE2011rahmen/part/X" TargetMode="External"/><Relationship Id="rId57" Type="http://schemas.openxmlformats.org/officeDocument/2006/relationships/hyperlink" Target="https://recht.nrw.de/lmi/owa/br_bes_detail?sg=0&amp;menu=0&amp;bes_id=4283&amp;anw_nr=2&amp;aufgehoben=N&amp;det_id=357750" TargetMode="External"/><Relationship Id="rId106" Type="http://schemas.openxmlformats.org/officeDocument/2006/relationships/hyperlink" Target="https://www.landesrecht.sachsen-anhalt.de/perma?j=RettDG_ST" TargetMode="External"/><Relationship Id="rId114"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hyperlink" Target="https://www.gesetze-bayern.de/Content/Document/BayKrG" TargetMode="External"/><Relationship Id="rId44" Type="http://schemas.openxmlformats.org/officeDocument/2006/relationships/hyperlink" Target="https://www.landesrecht-hamburg.de/bsha/document/jlr-KHGHAV1P8/part/S" TargetMode="External"/><Relationship Id="rId52" Type="http://schemas.openxmlformats.org/officeDocument/2006/relationships/hyperlink" Target="https://www.landesrecht-mv.de/bsmv/document/jlr-LKHGMV2011rahmen/part/X" TargetMode="External"/><Relationship Id="rId60" Type="http://schemas.openxmlformats.org/officeDocument/2006/relationships/hyperlink" Target="https://www.landesrecht.rlp.de/bsrp/document/jlr-KHGRPrahmen/part/X" TargetMode="External"/><Relationship Id="rId65" Type="http://schemas.openxmlformats.org/officeDocument/2006/relationships/hyperlink" Target="https://recht.saarland.de/bssl/document/jlr-KHGSL2015pP14" TargetMode="External"/><Relationship Id="rId73" Type="http://schemas.openxmlformats.org/officeDocument/2006/relationships/hyperlink" Target="https://www.gesetze-rechtsprechung.sh.juris.de/bssh/document/jlr-KHGSHpP36" TargetMode="External"/><Relationship Id="rId78" Type="http://schemas.openxmlformats.org/officeDocument/2006/relationships/hyperlink" Target="https://www.landesrecht-bw.de/perma?j=RettDG_BW" TargetMode="External"/><Relationship Id="rId81" Type="http://schemas.openxmlformats.org/officeDocument/2006/relationships/hyperlink" Target="https://www.gesetze-bayern.de/Content/Document/BayRDG-47" TargetMode="External"/><Relationship Id="rId86" Type="http://schemas.openxmlformats.org/officeDocument/2006/relationships/hyperlink" Target="https://www.transparenz.bremen.de/metainformationen/bremisches-krankenhausgesetz-bremkrhg-vom-24-november-2020-159875?template=20_gp_ifg_meta_detail_d" TargetMode="External"/><Relationship Id="rId94" Type="http://schemas.openxmlformats.org/officeDocument/2006/relationships/hyperlink" Target="https://www.landesrecht-mv.de/bsmv/document/jlr-RettDGMV2015rahmen" TargetMode="External"/><Relationship Id="rId99" Type="http://schemas.openxmlformats.org/officeDocument/2006/relationships/hyperlink" Target="https://www.landesrecht.rlp.de/bsrp/document/jlr-RettDGRPrahmen" TargetMode="External"/><Relationship Id="rId101" Type="http://schemas.openxmlformats.org/officeDocument/2006/relationships/hyperlink" Target="https://www.landesrecht.rlp.de/bsrp/document/jlr-Brand_KatSchGRPV14P39"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bundestag.de/resource/blob/897344/b02aad2f6e6f696144af1a86966f5d94/WD-9-020-22-pdf.pdf" TargetMode="External"/><Relationship Id="rId39" Type="http://schemas.openxmlformats.org/officeDocument/2006/relationships/hyperlink" Target="https://www.transparenz.bremen.de/metainformationen/bremisches-krankenhausgesetz-bremkrhg-vom-24-november-2020-159875?template=20_gp_ifg_meta_detail_d" TargetMode="External"/><Relationship Id="rId109" Type="http://schemas.openxmlformats.org/officeDocument/2006/relationships/hyperlink" Target="https://www.gesetze-rechtsprechung.sh.juris.de/bssh/document/jlr-RettDGSH2017V1P9" TargetMode="External"/><Relationship Id="rId34" Type="http://schemas.openxmlformats.org/officeDocument/2006/relationships/hyperlink" Target="https://gesetze.berlin.de/bsbe/document/jlr-KHGBE2011V6P24" TargetMode="External"/><Relationship Id="rId50" Type="http://schemas.openxmlformats.org/officeDocument/2006/relationships/hyperlink" Target="https://www.landesrecht-mv.de/bsmv/document/jlr-LKHGMV2011rahmen" TargetMode="External"/><Relationship Id="rId55" Type="http://schemas.openxmlformats.org/officeDocument/2006/relationships/hyperlink" Target="https://recht.nrw.de/lmi/owa/br_text_anzeigen?v_id=10000000000000000483" TargetMode="External"/><Relationship Id="rId76" Type="http://schemas.openxmlformats.org/officeDocument/2006/relationships/hyperlink" Target="https://landesrecht.thueringen.de/bsth/document/jlr-KHGTH2003V3P27" TargetMode="External"/><Relationship Id="rId97" Type="http://schemas.openxmlformats.org/officeDocument/2006/relationships/hyperlink" Target="https://recht.nrw.de/lmi/owa/br_text_anzeigen?v_id=10000000000000000325" TargetMode="External"/><Relationship Id="rId104" Type="http://schemas.openxmlformats.org/officeDocument/2006/relationships/hyperlink" Target="https://revosax.sachsen.de/vorschrift/4911-SaechsBRKG?follow_successor=no" TargetMode="External"/><Relationship Id="rId7" Type="http://schemas.openxmlformats.org/officeDocument/2006/relationships/endnotes" Target="endnotes.xml"/><Relationship Id="rId71" Type="http://schemas.openxmlformats.org/officeDocument/2006/relationships/hyperlink" Target="https://landesrecht.sachsen-anhalt.de/bsst/document/jlr-KHGST2005V10P17" TargetMode="External"/><Relationship Id="rId92" Type="http://schemas.openxmlformats.org/officeDocument/2006/relationships/hyperlink" Target="https://www.rv.hessenrecht.hessen.de/perma?j=RettDG_HE" TargetMode="External"/><Relationship Id="rId2" Type="http://schemas.openxmlformats.org/officeDocument/2006/relationships/numbering" Target="numbering.xml"/><Relationship Id="rId29" Type="http://schemas.openxmlformats.org/officeDocument/2006/relationships/hyperlink" Target="https://www.landesrecht-bw.de/bsbw/document/jlr-KHGBW2008V8P45" TargetMode="External"/><Relationship Id="rId24" Type="http://schemas.openxmlformats.org/officeDocument/2006/relationships/hyperlink" Target="https://www.gesetze-im-internet.de/bdsg_2018/__26.html" TargetMode="External"/><Relationship Id="rId40" Type="http://schemas.openxmlformats.org/officeDocument/2006/relationships/hyperlink" Target="https://www.transparenz.bremen.de/metainformationen/bremisches-krankenhausgesetz-bremkrhg-vom-24-november-2020-159875?template=20_gp_ifg_meta_detail_d" TargetMode="External"/><Relationship Id="rId45" Type="http://schemas.openxmlformats.org/officeDocument/2006/relationships/hyperlink" Target="https://www.landesrecht-hamburg.de/bsha/document/jlr-KHGHAV6P10/part/S" TargetMode="External"/><Relationship Id="rId66" Type="http://schemas.openxmlformats.org/officeDocument/2006/relationships/hyperlink" Target="https://www.revosax.sachsen.de/vorschrift/19826--SaechsKHG" TargetMode="External"/><Relationship Id="rId87" Type="http://schemas.openxmlformats.org/officeDocument/2006/relationships/hyperlink" Target="https://www.transparenz.bremen.de/metainformationen/bremisches-hilfeleistungsgesetz-bremhilfeg-vom-21-juni-2016-184267?asl=bremen203_tpgesetz.c.55340.de&amp;template=20_gp_ifg_meta_detail_d" TargetMode="External"/><Relationship Id="rId110" Type="http://schemas.openxmlformats.org/officeDocument/2006/relationships/hyperlink" Target="https://www.gesetze-rechtsprechung.sh.juris.de/bssh/document/jlr-RettDGSH2017rahmen" TargetMode="External"/><Relationship Id="rId115" Type="http://schemas.openxmlformats.org/officeDocument/2006/relationships/theme" Target="theme/theme1.xml"/><Relationship Id="rId61" Type="http://schemas.openxmlformats.org/officeDocument/2006/relationships/hyperlink" Target="https://www.landesrecht.rlp.de/bsrp/document/jlr-KHGRPV12P36" TargetMode="External"/><Relationship Id="rId82" Type="http://schemas.openxmlformats.org/officeDocument/2006/relationships/hyperlink" Target="https://gesetze.berlin.de/perma?j=RettDG_BE" TargetMode="External"/><Relationship Id="rId19" Type="http://schemas.openxmlformats.org/officeDocument/2006/relationships/hyperlink" Target="https://www.bundestag.de/resource/blob/912896/e896cc1c5c4599645ff6b1cbb4fd3deb/WD-9-049-22-pdf.pdf" TargetMode="External"/><Relationship Id="rId14" Type="http://schemas.openxmlformats.org/officeDocument/2006/relationships/hyperlink" Target="https://www.bundestag.de/resource/blob/648488/7920b181e85756ccdedff0334a18145b/WD-3-094-19-pdf-data.pdf" TargetMode="External"/><Relationship Id="rId30" Type="http://schemas.openxmlformats.org/officeDocument/2006/relationships/hyperlink" Target="https://www.landesrecht-bw.de/bsbw/document/jlr-KHGBW2008V8P46" TargetMode="External"/><Relationship Id="rId35" Type="http://schemas.openxmlformats.org/officeDocument/2006/relationships/hyperlink" Target="https://gesetze.berlin.de/bsbe/document/jlr-KHGBE2011V4P25" TargetMode="External"/><Relationship Id="rId56" Type="http://schemas.openxmlformats.org/officeDocument/2006/relationships/hyperlink" Target="https://recht.nrw.de/lmi/owa/br_text_anzeigen?v_id=10000000000000000495" TargetMode="External"/><Relationship Id="rId77" Type="http://schemas.openxmlformats.org/officeDocument/2006/relationships/hyperlink" Target="https://landesrecht.thueringen.de/bsth/document/jlr-KHGTH2003V3P27a" TargetMode="External"/><Relationship Id="rId100" Type="http://schemas.openxmlformats.org/officeDocument/2006/relationships/hyperlink" Target="https://www.landesrecht.rlp.de/bsrp/document/jlr-RettDGRPV8P29" TargetMode="External"/><Relationship Id="rId105" Type="http://schemas.openxmlformats.org/officeDocument/2006/relationships/hyperlink" Target="https://revosax.sachsen.de/vorschrift/4911-SaechsBRKG?follow_successor=no" TargetMode="External"/><Relationship Id="rId8" Type="http://schemas.openxmlformats.org/officeDocument/2006/relationships/image" Target="media/image1.wmf"/><Relationship Id="rId51" Type="http://schemas.openxmlformats.org/officeDocument/2006/relationships/hyperlink" Target="https://www.landesrecht-mv.de/bsmv/document/jlr-LKHGMV2011rahmen/part/X" TargetMode="External"/><Relationship Id="rId72" Type="http://schemas.openxmlformats.org/officeDocument/2006/relationships/hyperlink" Target="https://www.gesetze-rechtsprechung.sh.juris.de/perma?j=KHG_SH" TargetMode="External"/><Relationship Id="rId93" Type="http://schemas.openxmlformats.org/officeDocument/2006/relationships/hyperlink" Target="https://www.rv.hessenrecht.hessen.de/bshe/document/jlr-RettDGHE2010V3P17" TargetMode="External"/><Relationship Id="rId98" Type="http://schemas.openxmlformats.org/officeDocument/2006/relationships/hyperlink" Target="https://recht.nrw.de/lmi/owa/br_bes_detail?sg=0&amp;menu=0&amp;bes_id=4300&amp;anw_nr=2&amp;aufgehoben=N&amp;det_id=344712" TargetMode="External"/><Relationship Id="rId3" Type="http://schemas.openxmlformats.org/officeDocument/2006/relationships/styles" Target="styles.xml"/><Relationship Id="rId25" Type="http://schemas.openxmlformats.org/officeDocument/2006/relationships/hyperlink" Target="https://www.gesetze-im-internet.de/bdsg_2018/__27.html" TargetMode="External"/><Relationship Id="rId46" Type="http://schemas.openxmlformats.org/officeDocument/2006/relationships/hyperlink" Target="https://www.landesrecht-hamburg.de/bsha/document/jlr-KHGHAV7P11/part/S" TargetMode="External"/><Relationship Id="rId67" Type="http://schemas.openxmlformats.org/officeDocument/2006/relationships/hyperlink" Target="https://www.revosax.sachsen.de/vorschrift/19826--SaechsKHG" TargetMode="External"/><Relationship Id="rId20" Type="http://schemas.openxmlformats.org/officeDocument/2006/relationships/header" Target="header1.xml"/><Relationship Id="rId41" Type="http://schemas.openxmlformats.org/officeDocument/2006/relationships/hyperlink" Target="https://www.transparenz.bremen.de/metainformationen/bremisches-krankenhausgesetz-bremkrhg-vom-24-november-2020-159875?template=20_gp_ifg_meta_detail_d" TargetMode="External"/><Relationship Id="rId62" Type="http://schemas.openxmlformats.org/officeDocument/2006/relationships/hyperlink" Target="https://www.landesrecht.rlp.de/bsrp/document/jlr-KHGRPV12P37" TargetMode="External"/><Relationship Id="rId83" Type="http://schemas.openxmlformats.org/officeDocument/2006/relationships/hyperlink" Target="https://gesetze.berlin.de/bsbe/document/jlr-RettDGBEV7P4" TargetMode="External"/><Relationship Id="rId88" Type="http://schemas.openxmlformats.org/officeDocument/2006/relationships/hyperlink" Target="https://www.transparenz.bremen.de/metainformationen/bremisches-hilfeleistungsgesetz-bremhilfeg-vom-21-juni-2016-184267?asl=bremen203_tpgesetz.c.55340.de&amp;template=20_gp_ifg_meta_detail_d" TargetMode="External"/><Relationship Id="rId111" Type="http://schemas.openxmlformats.org/officeDocument/2006/relationships/hyperlink" Target="https://www.gesetze-rechtsprechung.sh.juris.de/bssh/document/jlr-DSGSH2018pP12"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netzwerk-datenschutzexpertise.de/dokument/medizinische-forschung-und-datenschutz" TargetMode="External"/><Relationship Id="rId21" Type="http://schemas.openxmlformats.org/officeDocument/2006/relationships/hyperlink" Target="https://eur-lex.europa.eu/legal-content/DE/TXT/?uri=ecli%3AECLI%3AEU%3AC%3A2021%3A504" TargetMode="External"/><Relationship Id="rId42" Type="http://schemas.openxmlformats.org/officeDocument/2006/relationships/hyperlink" Target="https://dejure.org/1977,797" TargetMode="External"/><Relationship Id="rId47" Type="http://schemas.openxmlformats.org/officeDocument/2006/relationships/hyperlink" Target="https://dejure.org/2018,8713" TargetMode="External"/><Relationship Id="rId63" Type="http://schemas.openxmlformats.org/officeDocument/2006/relationships/hyperlink" Target="https://eur-lex.europa.eu/legal-content/de/TXT/?uri=CELEX:62021CJ0252" TargetMode="External"/><Relationship Id="rId68" Type="http://schemas.openxmlformats.org/officeDocument/2006/relationships/hyperlink" Target="https://curia.europa.eu/juris/document/document.jsf?text=&amp;docid=184668&amp;pageIndex=0&amp;doclang=DE&amp;mode=req&amp;dir=&amp;occ=first&amp;part=1" TargetMode="External"/><Relationship Id="rId84" Type="http://schemas.openxmlformats.org/officeDocument/2006/relationships/hyperlink" Target="https://dejure.org/2021,55418" TargetMode="External"/><Relationship Id="rId89" Type="http://schemas.openxmlformats.org/officeDocument/2006/relationships/hyperlink" Target="https://eur-lex.europa.eu/legal-content/de/TXT/?uri=CELEX:62021CJ0340" TargetMode="External"/><Relationship Id="rId16" Type="http://schemas.openxmlformats.org/officeDocument/2006/relationships/hyperlink" Target="https://www.gesetze-im-internet.de/dipav/__5.html" TargetMode="External"/><Relationship Id="rId11" Type="http://schemas.openxmlformats.org/officeDocument/2006/relationships/hyperlink" Target="https://eur-lex.europa.eu/legal-content/de/TXT/?uri=CELEX:62021CJ0252" TargetMode="External"/><Relationship Id="rId32" Type="http://schemas.openxmlformats.org/officeDocument/2006/relationships/hyperlink" Target="https://www.bundestag.de/resource/blob/899852/e48e78cfe536ee972862bab82b8618e9/WD-3-054-22-pdf-data.pdf" TargetMode="External"/><Relationship Id="rId37" Type="http://schemas.openxmlformats.org/officeDocument/2006/relationships/hyperlink" Target="https://www.bundestag.de/resource/blob/899852/e48e78cfe536ee972862bab82b8618e9/WD-3-054-22-pdf-data.pdf" TargetMode="External"/><Relationship Id="rId53" Type="http://schemas.openxmlformats.org/officeDocument/2006/relationships/hyperlink" Target="https://curia.europa.eu/juris/liste.jsf?oqp=&amp;for=&amp;mat=or&amp;jge=&amp;td=%3BALL&amp;jur=C%2CT%2CF&amp;num=C%2D65%2F23" TargetMode="External"/><Relationship Id="rId58" Type="http://schemas.openxmlformats.org/officeDocument/2006/relationships/hyperlink" Target="https://www.bundestag.de/resource/blob/897344/b02aad2f6e6f696144af1a86966f5d94/WD-9-020-22-pdf.pdf" TargetMode="External"/><Relationship Id="rId74" Type="http://schemas.openxmlformats.org/officeDocument/2006/relationships/hyperlink" Target="https://www.frauenaerzte-im-netz.de/de_brustkrebs-risikofaktoren-vorbeugung_367.html" TargetMode="External"/><Relationship Id="rId79" Type="http://schemas.openxmlformats.org/officeDocument/2006/relationships/hyperlink" Target="https://intrapol.org/2024/03/04/update-zum-neuen-refe-fuer-ein-nis2umsucg/" TargetMode="External"/><Relationship Id="rId5" Type="http://schemas.openxmlformats.org/officeDocument/2006/relationships/hyperlink" Target="https://eur-lex.europa.eu/legal-content/de/TXT/?uri=CELEX:62021CJ0252" TargetMode="External"/><Relationship Id="rId90" Type="http://schemas.openxmlformats.org/officeDocument/2006/relationships/hyperlink" Target="https://www.lda.bayern.de/media/baylda_report_08.pdf" TargetMode="External"/><Relationship Id="rId95" Type="http://schemas.openxmlformats.org/officeDocument/2006/relationships/hyperlink" Target="https://www.lda.brandenburg.de/sixcms/media.php/9/TB_2020_web.pdf" TargetMode="External"/><Relationship Id="rId22" Type="http://schemas.openxmlformats.org/officeDocument/2006/relationships/hyperlink" Target="https://eur-lex.europa.eu/legal-content/de/TXT/?uri=CELEX:62021CJ0034" TargetMode="External"/><Relationship Id="rId27" Type="http://schemas.openxmlformats.org/officeDocument/2006/relationships/hyperlink" Target="https://www.netzwerk-datenschutzexpertise.de/sites/default/files/2023_stn_gdng.pdf" TargetMode="External"/><Relationship Id="rId43" Type="http://schemas.openxmlformats.org/officeDocument/2006/relationships/hyperlink" Target="https://dejure.org/1971,73" TargetMode="External"/><Relationship Id="rId48" Type="http://schemas.openxmlformats.org/officeDocument/2006/relationships/hyperlink" Target="https://eur-lex.europa.eu/legal-content/de/TXT/?uri=CELEX:62016CJ0414" TargetMode="External"/><Relationship Id="rId64" Type="http://schemas.openxmlformats.org/officeDocument/2006/relationships/hyperlink" Target="https://dejure.org/1973,7" TargetMode="External"/><Relationship Id="rId69" Type="http://schemas.openxmlformats.org/officeDocument/2006/relationships/hyperlink" Target="https://eur-lex.europa.eu/legal-content/de/TXT/?uri=CELEX:62022CJ0026" TargetMode="External"/><Relationship Id="rId80" Type="http://schemas.openxmlformats.org/officeDocument/2006/relationships/hyperlink" Target="https://eur-lex.europa.eu/eli/dir/2022/2557/oj" TargetMode="External"/><Relationship Id="rId85" Type="http://schemas.openxmlformats.org/officeDocument/2006/relationships/hyperlink" Target="https://openjur.de/u/2384847.html" TargetMode="External"/><Relationship Id="rId3" Type="http://schemas.openxmlformats.org/officeDocument/2006/relationships/hyperlink" Target="https://dejure.org/2010,236" TargetMode="External"/><Relationship Id="rId12" Type="http://schemas.openxmlformats.org/officeDocument/2006/relationships/hyperlink" Target="https://eur-lex.europa.eu/legal-content/DE/TXT/HTML/?uri=CELEX:02011L0024-20140101" TargetMode="External"/><Relationship Id="rId17" Type="http://schemas.openxmlformats.org/officeDocument/2006/relationships/hyperlink" Target="https://www.gesetze-im-internet.de/digav/__4.html" TargetMode="External"/><Relationship Id="rId25" Type="http://schemas.openxmlformats.org/officeDocument/2006/relationships/hyperlink" Target="https://eur-lex.europa.eu/legal-content/de/TXT/?uri=CELEX:62020CJ0140" TargetMode="External"/><Relationship Id="rId33" Type="http://schemas.openxmlformats.org/officeDocument/2006/relationships/hyperlink" Target="https://www.bundestag.de/resource/blob/648488/7920b181e85756ccdedff0334a18145b/WD-3-094-19-pdf-data.pdf" TargetMode="External"/><Relationship Id="rId38" Type="http://schemas.openxmlformats.org/officeDocument/2006/relationships/hyperlink" Target="https://dejure" TargetMode="External"/><Relationship Id="rId46" Type="http://schemas.openxmlformats.org/officeDocument/2006/relationships/hyperlink" Target="https://eur-lex.europa.eu/legal-content/DE/TXT/?uri=CELEX:12012E/TXT" TargetMode="External"/><Relationship Id="rId59" Type="http://schemas.openxmlformats.org/officeDocument/2006/relationships/hyperlink" Target="https://www.gesetze-im-internet.de/notsang/index.html" TargetMode="External"/><Relationship Id="rId67" Type="http://schemas.openxmlformats.org/officeDocument/2006/relationships/hyperlink" Target="https://dejure.org/2016,33959" TargetMode="External"/><Relationship Id="rId20" Type="http://schemas.openxmlformats.org/officeDocument/2006/relationships/hyperlink" Target="https://eur-lex.europa.eu/legal-content/de/TXT/?uri=CELEX:62018CJ0311" TargetMode="External"/><Relationship Id="rId41" Type="http://schemas.openxmlformats.org/officeDocument/2006/relationships/hyperlink" Target="https://dejure.org/1986,346" TargetMode="External"/><Relationship Id="rId54" Type="http://schemas.openxmlformats.org/officeDocument/2006/relationships/hyperlink" Target="https://dejure.org/2018,42738" TargetMode="External"/><Relationship Id="rId62" Type="http://schemas.openxmlformats.org/officeDocument/2006/relationships/hyperlink" Target="https://www.spd.de/fileadmin/Dokumente/Koalitionsvertrag/Koalitionsvertrag_2021-2025.pdf" TargetMode="External"/><Relationship Id="rId70" Type="http://schemas.openxmlformats.org/officeDocument/2006/relationships/hyperlink" Target="https://eur-lex.europa.eu/legal-content/de/TXT/?uri=CELEX:62018CJ0708" TargetMode="External"/><Relationship Id="rId75" Type="http://schemas.openxmlformats.org/officeDocument/2006/relationships/hyperlink" Target="https://www.bundestag.de/resource/blob/899852/e48e78cfe536ee972862bab82b8618e9/WD-3-054-22-pdf-data.pdf" TargetMode="External"/><Relationship Id="rId83" Type="http://schemas.openxmlformats.org/officeDocument/2006/relationships/hyperlink" Target="https://gesundheitsdatenschutz.org/html/einwilligung.php" TargetMode="External"/><Relationship Id="rId88" Type="http://schemas.openxmlformats.org/officeDocument/2006/relationships/hyperlink" Target="https://eur-lex.europa.eu/legal-content/de/TXT/?uri=CELEX:62021CJ0340" TargetMode="External"/><Relationship Id="rId91" Type="http://schemas.openxmlformats.org/officeDocument/2006/relationships/hyperlink" Target="https://datenschutz-hamburg.de/fileadmin/user_upload/HmbBfDI/Vermerke_und_Stellungnahmen/Vermerk-Abdingbarkeit_TOMs.pdf" TargetMode="External"/><Relationship Id="rId96" Type="http://schemas.openxmlformats.org/officeDocument/2006/relationships/hyperlink" Target="https://www.datenschutzzentrum.de/tb/tb37/uld-37-taetigkeitsbericht-2019.pdf" TargetMode="External"/><Relationship Id="rId1" Type="http://schemas.openxmlformats.org/officeDocument/2006/relationships/hyperlink" Target="https://www.bundesverfassungsgericht.de/SharedDocs/Entscheidungen/DE/1983/12/rs19831215_1bvr020983.html" TargetMode="External"/><Relationship Id="rId6" Type="http://schemas.openxmlformats.org/officeDocument/2006/relationships/hyperlink" Target="https://gesundheitsdatenschutz.org/html/einwilligung.php" TargetMode="External"/><Relationship Id="rId15" Type="http://schemas.openxmlformats.org/officeDocument/2006/relationships/hyperlink" Target="https://eur-lex.europa.eu/legal-content/de/TXT/?uri=CELEX:62021CJ0252" TargetMode="External"/><Relationship Id="rId23" Type="http://schemas.openxmlformats.org/officeDocument/2006/relationships/hyperlink" Target="https://eur-lex.europa.eu/legal-content/DE/TXT/?uri=CELEX%3A62020CJ0175" TargetMode="External"/><Relationship Id="rId28" Type="http://schemas.openxmlformats.org/officeDocument/2006/relationships/hyperlink" Target="https://www.bundestag.de/resource/blob/648488/7920b181e85756ccdedff0334a18145b/WD-3-094-19-pdf-data.pdf" TargetMode="External"/><Relationship Id="rId36" Type="http://schemas.openxmlformats.org/officeDocument/2006/relationships/hyperlink" Target="https://openjur.de/u/176784.html" TargetMode="External"/><Relationship Id="rId49" Type="http://schemas.openxmlformats.org/officeDocument/2006/relationships/hyperlink" Target="https://eur-lex.europa.eu/legal-content/de/TXT/?uri=CELEX:62017CJ0068" TargetMode="External"/><Relationship Id="rId57" Type="http://schemas.openxmlformats.org/officeDocument/2006/relationships/hyperlink" Target="https://kirchlicher-datenschutz.org/seelsorgepatdsg/" TargetMode="External"/><Relationship Id="rId10" Type="http://schemas.openxmlformats.org/officeDocument/2006/relationships/hyperlink" Target="https://eur-lex.europa.eu/legal-content/de/TXT/?uri=CELEX:62021CJ0252" TargetMode="External"/><Relationship Id="rId31" Type="http://schemas.openxmlformats.org/officeDocument/2006/relationships/hyperlink" Target="https://www.stmgp.bayern.de/wp-content/uploads/2023/04/gutachten_verfassungskonformitaet_krankenhausplanung.pdf" TargetMode="External"/><Relationship Id="rId44" Type="http://schemas.openxmlformats.org/officeDocument/2006/relationships/hyperlink" Target="https://openjur.de/u/193654.html" TargetMode="External"/><Relationship Id="rId52" Type="http://schemas.openxmlformats.org/officeDocument/2006/relationships/hyperlink" Target="https://curia.europa.eu/juris/document/document.jsf?text=&amp;docid=273715&amp;pageIndex=0&amp;doclang=DE&amp;mode=req&amp;dir=&amp;occ=first&amp;part=1" TargetMode="External"/><Relationship Id="rId60" Type="http://schemas.openxmlformats.org/officeDocument/2006/relationships/hyperlink" Target="https://www.bundestag.de/resource/blob/912896/e896cc1c5c4599645ff6b1cbb4fd3deb/WD-9-049-22-pdf.pdf" TargetMode="External"/><Relationship Id="rId65" Type="http://schemas.openxmlformats.org/officeDocument/2006/relationships/hyperlink" Target="https://openjur.de/u/180606.html" TargetMode="External"/><Relationship Id="rId73" Type="http://schemas.openxmlformats.org/officeDocument/2006/relationships/hyperlink" Target="https://eur-lex.europa.eu/legal-content/de/TXT/?uri=CELEX:62021CJ0252" TargetMode="External"/><Relationship Id="rId78" Type="http://schemas.openxmlformats.org/officeDocument/2006/relationships/hyperlink" Target="https://ag.kritis.info/2024/03/07/referentenentwurf-des-bmi-nis-2-umsetzungs-und-cybersicherheitsstaerkungsgesetz-nis2umsucg/" TargetMode="External"/><Relationship Id="rId81" Type="http://schemas.openxmlformats.org/officeDocument/2006/relationships/hyperlink" Target="https://www.bmi.bund.de/SharedDocs/gesetzgebungsverfahren/DE/KRITIS-DachG.html" TargetMode="External"/><Relationship Id="rId86" Type="http://schemas.openxmlformats.org/officeDocument/2006/relationships/hyperlink" Target="https://www.landesrecht-hamburg.de/bsha/document/NJRE001547745" TargetMode="External"/><Relationship Id="rId94" Type="http://schemas.openxmlformats.org/officeDocument/2006/relationships/hyperlink" Target="https://www.bfdi.bund.de/SharedDocs/Downloads/DE/DokumenteBfDI/Stellungnahmen/2019/StgN_steuerliche_F%C3%B6rderung_eMobilit%C3%A4t.pdf?__blob=publicationFile&amp;v=5" TargetMode="External"/><Relationship Id="rId99" Type="http://schemas.openxmlformats.org/officeDocument/2006/relationships/hyperlink" Target="https://eur-lex.europa.eu/legal-content/de/TXT/?uri=CELEX:62012CJ0293" TargetMode="External"/><Relationship Id="rId4" Type="http://schemas.openxmlformats.org/officeDocument/2006/relationships/hyperlink" Target="https://eur-lex.europa.eu/legal-content/DE/TXT/?qid=1698904362512&amp;uri=CELEX%3A62020CJ0184" TargetMode="External"/><Relationship Id="rId9" Type="http://schemas.openxmlformats.org/officeDocument/2006/relationships/hyperlink" Target="https://juris.bundesgerichtshof.de/cgi-bin/rechtsprechung/document.py?Gericht=bgh&amp;Art=en&amp;nr=118834&amp;pos=0&amp;anz=1" TargetMode="External"/><Relationship Id="rId13" Type="http://schemas.openxmlformats.org/officeDocument/2006/relationships/hyperlink" Target="https://eur-lex.europa.eu/legal-content/DE/TXT/HTML/?uri=CELEX:02005L0036-20231009" TargetMode="External"/><Relationship Id="rId18" Type="http://schemas.openxmlformats.org/officeDocument/2006/relationships/hyperlink" Target="https://eur-lex.europa.eu/legal-content/de/TXT/?uri=CELEX:62018CJ0311" TargetMode="External"/><Relationship Id="rId39" Type="http://schemas.openxmlformats.org/officeDocument/2006/relationships/hyperlink" Target="https://www.bundesverfassungsgericht.de/SharedDocs/Entscheidungen/DE/1983/12/rs19831215_1bvr020983.html" TargetMode="External"/><Relationship Id="rId34" Type="http://schemas.openxmlformats.org/officeDocument/2006/relationships/hyperlink" Target="https://www.stmgp.bayern.de/wp-content/uploads/2023/04/gutachten_verfassungskonformitaet_krankenhausplanung.pdf" TargetMode="External"/><Relationship Id="rId50" Type="http://schemas.openxmlformats.org/officeDocument/2006/relationships/hyperlink" Target="https://eur-lex.europa.eu/legal-content/de/TXT/?uri=CELEX:62016CJ0414" TargetMode="External"/><Relationship Id="rId55" Type="http://schemas.openxmlformats.org/officeDocument/2006/relationships/hyperlink" Target="https://www.bundesarbeitsgericht.de/entscheidung/7-abr-80-16/" TargetMode="External"/><Relationship Id="rId76" Type="http://schemas.openxmlformats.org/officeDocument/2006/relationships/hyperlink" Target="https://www.europarl.europa.eu/doceo/document/TA-9-2024-0130_DE.html" TargetMode="External"/><Relationship Id="rId97" Type="http://schemas.openxmlformats.org/officeDocument/2006/relationships/hyperlink" Target="https://www.datenschutzkonferenz-online.de/media/dskb/20211124_TOP_7_Beschluss_Verzicht_auf_TOMs.pdf" TargetMode="External"/><Relationship Id="rId7" Type="http://schemas.openxmlformats.org/officeDocument/2006/relationships/hyperlink" Target="https://eur-lex.europa.eu/legal-content/DE/TXT/?uri=CELEX%3A62019CA0061&amp;qid=1703360472835" TargetMode="External"/><Relationship Id="rId71" Type="http://schemas.openxmlformats.org/officeDocument/2006/relationships/hyperlink" Target="https://eur-lex.europa.eu/legal-content/de/TXT/?uri=CELEX:62022CJ0026" TargetMode="External"/><Relationship Id="rId92" Type="http://schemas.openxmlformats.org/officeDocument/2006/relationships/hyperlink" Target="https://www.datenschutz.sachsen.de/download/taetigkeitsberichte/Taetigkeitsbericht_2019.pdf" TargetMode="External"/><Relationship Id="rId2" Type="http://schemas.openxmlformats.org/officeDocument/2006/relationships/hyperlink" Target="https://eur-lex.europa.eu/legal-content/de/TXT/?uri=CELEX:62021CJ0667" TargetMode="External"/><Relationship Id="rId29" Type="http://schemas.openxmlformats.org/officeDocument/2006/relationships/hyperlink" Target="https://www.bundestag.de/resource/blob/899852/e48e78cfe536ee972862bab82b8618e9/WD-3-054-22-pdf-data.pdf" TargetMode="External"/><Relationship Id="rId24" Type="http://schemas.openxmlformats.org/officeDocument/2006/relationships/hyperlink" Target="https://eur-lex.europa.eu/legal-content/de/TXT/?uri=CELEX:62021CJ0252" TargetMode="External"/><Relationship Id="rId40" Type="http://schemas.openxmlformats.org/officeDocument/2006/relationships/hyperlink" Target="https://dejure.org/1973,10" TargetMode="External"/><Relationship Id="rId45" Type="http://schemas.openxmlformats.org/officeDocument/2006/relationships/hyperlink" Target="https://dejure.org/1980,16" TargetMode="External"/><Relationship Id="rId66" Type="http://schemas.openxmlformats.org/officeDocument/2006/relationships/hyperlink" Target="https://eur-lex.europa.eu/legal-content/de/TXT/?uri=CELEX:62022CJ0026" TargetMode="External"/><Relationship Id="rId87" Type="http://schemas.openxmlformats.org/officeDocument/2006/relationships/hyperlink" Target="https://www.landesrecht-hamburg.de/bsha/document/NJRE001547745" TargetMode="External"/><Relationship Id="rId61" Type="http://schemas.openxmlformats.org/officeDocument/2006/relationships/hyperlink" Target="https://www.bundesregierung.de/breg-de/aktuelles/koalitionsvertrag-2021-1990800" TargetMode="External"/><Relationship Id="rId82" Type="http://schemas.openxmlformats.org/officeDocument/2006/relationships/hyperlink" Target="https://dserver.bundestag.de/btd/19/134/1913438.pdf" TargetMode="External"/><Relationship Id="rId19" Type="http://schemas.openxmlformats.org/officeDocument/2006/relationships/hyperlink" Target="https://eur-lex.europa.eu/legal-content/de/TXT/?uri=CELEX:62020CJ0184" TargetMode="External"/><Relationship Id="rId14" Type="http://schemas.openxmlformats.org/officeDocument/2006/relationships/hyperlink" Target="https://gesundheitsdatenschutz.org/html/schweigepflicht_05.php" TargetMode="External"/><Relationship Id="rId30" Type="http://schemas.openxmlformats.org/officeDocument/2006/relationships/hyperlink" Target="https://www.bundestag.de/resource/blob/657236/c82ba2db1cd763e2f46439828d73c4e0/WD-9-043-19-pdf-data.pdf" TargetMode="External"/><Relationship Id="rId35" Type="http://schemas.openxmlformats.org/officeDocument/2006/relationships/hyperlink" Target="https://dejure.org/1991,41" TargetMode="External"/><Relationship Id="rId56" Type="http://schemas.openxmlformats.org/officeDocument/2006/relationships/hyperlink" Target="https://www.kirchenrecht-bremen.de/document/13864" TargetMode="External"/><Relationship Id="rId77" Type="http://schemas.openxmlformats.org/officeDocument/2006/relationships/hyperlink" Target="https://eur-lex.europa.eu/legal-content/DE/TXT/?uri=CELEX%3A32022L2555" TargetMode="External"/><Relationship Id="rId8" Type="http://schemas.openxmlformats.org/officeDocument/2006/relationships/hyperlink" Target="https://dejure.org/2021,10415" TargetMode="External"/><Relationship Id="rId51" Type="http://schemas.openxmlformats.org/officeDocument/2006/relationships/hyperlink" Target="https://eur-lex.europa.eu/legal-content/de/TXT/?uri=CELEX:62017CJ0068" TargetMode="External"/><Relationship Id="rId72" Type="http://schemas.openxmlformats.org/officeDocument/2006/relationships/hyperlink" Target="https://eur-lex.europa.eu/legal-content/de/TXT/?uri=CELEX:62018CJ0708" TargetMode="External"/><Relationship Id="rId93" Type="http://schemas.openxmlformats.org/officeDocument/2006/relationships/hyperlink" Target="https://www.kath-datenschutzzentrum-ffm.de/wp-content/uploads/2022-06-15-Beschluss-Dispositionsrecht-Nichtanwendung-TOM.pdf" TargetMode="External"/><Relationship Id="rId98" Type="http://schemas.openxmlformats.org/officeDocument/2006/relationships/hyperlink" Target="https://www.ris.bka.gv.at/Dokument.wxe?Abfrage=Dsk&amp;Entscheidungsart=Undefined&amp;Organ=Undefined&amp;SucheNachRechtssatz=True&amp;SucheNachText=True&amp;GZ=DSB-D213.692%2f0001-DSB%2f2018&amp;VonDatum=01.11.2018&amp;BisDatum=01.12.2018&amp;Norm=&amp;ImRisSeitVonDatum=&amp;ImRisSeitBisDatum=&amp;ImRisSeit=Undefined&amp;ImRisSeitForRemotion=Undefined&amp;ResultPageSize=100&amp;Suchworte=&amp;Position=1&amp;SkipToDocumentPage=true&amp;ResultFunctionToken=6f146701-3dee-4023-9b80-1be58056518f&amp;Dokumentnummer=DSBT_20181116_DSB_D213_692_0001_DSB_2018_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AC6E-5DB5-4F69-AE0B-E2FB48AA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32013</Words>
  <Characters>214814</Characters>
  <Application>Microsoft Office Word</Application>
  <DocSecurity>0</DocSecurity>
  <Lines>3703</Lines>
  <Paragraphs>1690</Paragraphs>
  <ScaleCrop>false</ScaleCrop>
  <HeadingPairs>
    <vt:vector size="4" baseType="variant">
      <vt:variant>
        <vt:lpstr>Titel</vt:lpstr>
      </vt:variant>
      <vt:variant>
        <vt:i4>1</vt:i4>
      </vt:variant>
      <vt:variant>
        <vt:lpstr>Überschriften</vt:lpstr>
      </vt:variant>
      <vt:variant>
        <vt:i4>35</vt:i4>
      </vt:variant>
    </vt:vector>
  </HeadingPairs>
  <TitlesOfParts>
    <vt:vector size="36" baseType="lpstr">
      <vt:lpstr>Praxishilfe zum Umgang mit Erlaubnistatbeständen bei der Verarbeitung von gesundheitsdaten und genetischen Daten</vt:lpstr>
      <vt:lpstr>Zusammenfassung</vt:lpstr>
      <vt:lpstr>Einleitung</vt:lpstr>
      <vt:lpstr>Abgrenzung/Klarstellung</vt:lpstr>
      <vt:lpstr>Was sind besondere Datenkategorien entsprechend Art. 9 Abs. 1 DS-GVO?</vt:lpstr>
      <vt:lpstr>    Welche Daten gehören zu diesen „besonderen Kategorien personenbezogenen Daten“?</vt:lpstr>
      <vt:lpstr>    Sensibles Datum: Sich daraus ergebende Rahmenbedingungen</vt:lpstr>
      <vt:lpstr>Rechtfertigungsgründe in Art. 6 Abs. 1 DS-GVO</vt:lpstr>
      <vt:lpstr>    Art. 6 Abs. 1 lit. a DS-GVO: Einwilligung</vt:lpstr>
      <vt:lpstr>    Art. 6 Abs. 1 lit. b DS-GVO: Vertrag; eine Vertragspartei muss betroffene Person</vt:lpstr>
      <vt:lpstr>    Art. 6 Abs. 1 lit. c DS-GVO: Zur Erfüllung einer rechtlichen Verpflichtung erfor</vt:lpstr>
      <vt:lpstr>    Art. 6 Abs. 1 lit. d DS-GVO: Erforderlich, um lebenswichtige Interessen der betr</vt:lpstr>
      <vt:lpstr>    Art. 6 Abs. 1 lit. e DS-GVO: Erforderlich für Wahrnehmung einer Aufgabe, die im </vt:lpstr>
      <vt:lpstr>    Art. 6 Abs. 1 lit. f DS-GVO: Interessenabwägung</vt:lpstr>
      <vt:lpstr>Zuordnung Bedingungen Art. 9 Abs. 2 DS-GVO zu Art. 6 Abs. 1 DS-GVO</vt:lpstr>
      <vt:lpstr>    Art. 9 Abs. 2 lit. a DS-GVO</vt:lpstr>
      <vt:lpstr>    Art. 9 Abs. 2 lit. b DS-GVO</vt:lpstr>
      <vt:lpstr>    Art. 9 Abs. 2 lit. c DS-GVO</vt:lpstr>
      <vt:lpstr>    Art. 9 Abs. 2 lit. d DS-GVO</vt:lpstr>
      <vt:lpstr>    Art. 9 Abs. 2 lit. e DS-GVO</vt:lpstr>
      <vt:lpstr>    Art. 9 Abs. 2 lit. f DS-GVO</vt:lpstr>
      <vt:lpstr>    Art. 9 Abs. 2 lit. g DS-GVO</vt:lpstr>
      <vt:lpstr>    Art. 9 Abs. 2 lit. h DS-GVO</vt:lpstr>
      <vt:lpstr>    Art. 9 Abs. 2 lit. i DS-GVO</vt:lpstr>
      <vt:lpstr>    Art. 9 Abs. 2 lit. j DS-GVO</vt:lpstr>
      <vt:lpstr>Nationale Erlaubnistatbestände: Rahmenbedingungen</vt:lpstr>
      <vt:lpstr>    Nationale Gesetzgebung muss EU Grundrechtecharta beachten</vt:lpstr>
      <vt:lpstr>    Rahmenbedingungen für nationale Gesetzgebung</vt:lpstr>
      <vt:lpstr>    Reichweite der Öffnungsklausel in Art. 9 Abs. 4 DS-GVO für nationale Erlaubnisno</vt:lpstr>
      <vt:lpstr>    Wie lange gilt ein Gesetz? </vt:lpstr>
      <vt:lpstr>    Nationale Regelungen müssen Anforderungen aus Art. 6 Abs. 1 DS-GVO genügen</vt:lpstr>
      <vt:lpstr>    Landes- vs. Bundesrecht</vt:lpstr>
      <vt:lpstr>        Ärztliches Berufsrecht und ärztliche Schweigepflicht</vt:lpstr>
      <vt:lpstr>        Sonderfall: Qualitätssicherung und Sozialversicherung</vt:lpstr>
      <vt:lpstr>        Sonderfall: wissenschaftliche Forschung</vt:lpstr>
      <vt:lpstr>    Deutsches Kirchenrecht</vt:lpstr>
    </vt:vector>
  </TitlesOfParts>
  <Manager>Dr. Bernd Schütze</Manager>
  <Company>GMDS, GDD und BvD</Company>
  <LinksUpToDate>false</LinksUpToDate>
  <CharactersWithSpaces>245137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Praxishilfe zum Umgang mit Erlaubnistatbeständen bei der Verarbeitung von Gesundheitsdaten und genetischen Daten</dc:title>
  <dc:subject>Auswirkungen des EuGH-Urteils vom 21. Dezember 2023, Rechtssache C-667/21</dc:subject>
  <dc:creator>Gemeinsame Arbeitsgruppe bestehend aus Mitgliedern von GMDS, GDD und BvD</dc:creator>
  <cp:keywords>DS-GVO, Erlaubnistatbestände, Verarbeitung genetische und Gesundheitsdaten</cp:keywords>
  <dc:description>Copyright:_x000d_
Creative Commons-Lizenz 4.0 International_x000d_
(CC BY-SA 4.0)_x000d_
https://creativecommons.org/licenses/by-sa/4.0/deed.de</dc:description>
  <cp:lastModifiedBy>Bernd Schütze</cp:lastModifiedBy>
  <cp:revision>301</cp:revision>
  <dcterms:created xsi:type="dcterms:W3CDTF">2023-11-25T09:01:00Z</dcterms:created>
  <dcterms:modified xsi:type="dcterms:W3CDTF">2024-07-07T19:37:00Z</dcterms:modified>
  <dc:language>de-DE</dc:language>
</cp:coreProperties>
</file>