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43" w:rsidRPr="001B07E2" w:rsidRDefault="00B8254E" w:rsidP="00B8254E">
      <w:pPr>
        <w:pStyle w:val="Titel"/>
      </w:pPr>
      <w:bookmarkStart w:id="0" w:name="_GoBack"/>
      <w:r w:rsidRPr="001B07E2">
        <w:t>Datenschutz durch Technikgestaltung und durch datenschutzfreundliche Voreinstellungen (</w:t>
      </w:r>
      <w:r w:rsidR="006C02A2" w:rsidRPr="001B07E2">
        <w:t xml:space="preserve"> Art. </w:t>
      </w:r>
      <w:r w:rsidRPr="001B07E2">
        <w:t>25 DS-GVO)</w:t>
      </w:r>
      <w:bookmarkEnd w:id="0"/>
    </w:p>
    <w:p w:rsidR="005C3859" w:rsidRPr="001B07E2" w:rsidRDefault="005C3859" w:rsidP="005C3859">
      <w:pPr>
        <w:spacing w:before="40" w:after="80"/>
        <w:rPr>
          <w:rFonts w:cs="Arial"/>
          <w:sz w:val="28"/>
          <w:szCs w:val="28"/>
        </w:rPr>
      </w:pPr>
    </w:p>
    <w:p w:rsidR="005C3859" w:rsidRPr="001B07E2" w:rsidRDefault="005C3859" w:rsidP="005C3859">
      <w:pPr>
        <w:spacing w:before="40" w:after="80"/>
        <w:rPr>
          <w:rFonts w:cs="Arial"/>
          <w:sz w:val="28"/>
          <w:szCs w:val="28"/>
        </w:rPr>
      </w:pPr>
      <w:r w:rsidRPr="001B07E2">
        <w:rPr>
          <w:rFonts w:cs="Arial"/>
          <w:sz w:val="28"/>
          <w:szCs w:val="28"/>
        </w:rPr>
        <w:t>Eine Zusammenarbeit von</w:t>
      </w:r>
    </w:p>
    <w:p w:rsidR="005C3859" w:rsidRPr="001B07E2" w:rsidRDefault="005C3859" w:rsidP="005C3859">
      <w:pPr>
        <w:spacing w:before="40" w:after="80"/>
        <w:rPr>
          <w:rFonts w:cs="Arial"/>
          <w:sz w:val="24"/>
          <w:szCs w:val="28"/>
        </w:rPr>
      </w:pPr>
    </w:p>
    <w:p w:rsidR="005C3859" w:rsidRPr="001B07E2" w:rsidRDefault="005C3859" w:rsidP="005F7B11">
      <w:pPr>
        <w:spacing w:before="40" w:after="80"/>
        <w:jc w:val="left"/>
        <w:rPr>
          <w:rFonts w:cs="Arial"/>
          <w:sz w:val="24"/>
          <w:szCs w:val="28"/>
        </w:rPr>
      </w:pPr>
      <w:r w:rsidRPr="001B07E2">
        <w:rPr>
          <w:rFonts w:cs="Arial"/>
          <w:noProof/>
          <w:sz w:val="24"/>
          <w:szCs w:val="28"/>
          <w:lang w:eastAsia="de-DE"/>
        </w:rPr>
        <w:drawing>
          <wp:anchor distT="0" distB="0" distL="114300" distR="114300" simplePos="0" relativeHeight="251660288" behindDoc="0" locked="0" layoutInCell="1" allowOverlap="1" wp14:anchorId="7D28432A" wp14:editId="0CA5A29D">
            <wp:simplePos x="0" y="0"/>
            <wp:positionH relativeFrom="column">
              <wp:posOffset>4195445</wp:posOffset>
            </wp:positionH>
            <wp:positionV relativeFrom="paragraph">
              <wp:posOffset>91440</wp:posOffset>
            </wp:positionV>
            <wp:extent cx="1609725" cy="54292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p>
    <w:p w:rsidR="005C3859" w:rsidRPr="001B07E2" w:rsidRDefault="005C3859" w:rsidP="005F7B11">
      <w:pPr>
        <w:spacing w:before="40" w:after="80"/>
        <w:jc w:val="left"/>
        <w:rPr>
          <w:rFonts w:cs="Arial"/>
          <w:sz w:val="24"/>
          <w:szCs w:val="28"/>
        </w:rPr>
      </w:pPr>
      <w:r w:rsidRPr="001B07E2">
        <w:rPr>
          <w:rFonts w:cs="Arial"/>
          <w:sz w:val="24"/>
          <w:szCs w:val="28"/>
        </w:rPr>
        <w:t>Bundesverband Gesundheits-IT e. V.</w:t>
      </w:r>
      <w:r w:rsidR="00061C92" w:rsidRPr="001B07E2">
        <w:rPr>
          <w:rFonts w:cs="Arial"/>
          <w:sz w:val="24"/>
          <w:szCs w:val="28"/>
        </w:rPr>
        <w:br/>
      </w:r>
      <w:r w:rsidRPr="001B07E2">
        <w:rPr>
          <w:rFonts w:cs="Arial"/>
          <w:sz w:val="24"/>
          <w:szCs w:val="28"/>
        </w:rPr>
        <w:t xml:space="preserve">Arbeitsgruppe </w:t>
      </w:r>
      <w:r w:rsidR="00A40957" w:rsidRPr="001B07E2">
        <w:rPr>
          <w:rFonts w:cs="Arial"/>
          <w:sz w:val="24"/>
          <w:szCs w:val="28"/>
        </w:rPr>
        <w:t>Datenschutz &amp; IT-Sicherheit</w:t>
      </w:r>
    </w:p>
    <w:p w:rsidR="005C3859" w:rsidRPr="001B07E2" w:rsidRDefault="005C3859" w:rsidP="005F7B11">
      <w:pPr>
        <w:spacing w:before="40" w:after="80"/>
        <w:jc w:val="left"/>
        <w:rPr>
          <w:rFonts w:cs="Arial"/>
          <w:sz w:val="24"/>
          <w:szCs w:val="28"/>
        </w:rPr>
      </w:pPr>
    </w:p>
    <w:p w:rsidR="005C3859" w:rsidRPr="001B07E2" w:rsidRDefault="005C3859" w:rsidP="005F7B11">
      <w:pPr>
        <w:spacing w:before="40" w:after="80"/>
        <w:jc w:val="left"/>
        <w:rPr>
          <w:rFonts w:cs="Arial"/>
          <w:sz w:val="24"/>
          <w:szCs w:val="28"/>
        </w:rPr>
      </w:pPr>
    </w:p>
    <w:p w:rsidR="005C3859" w:rsidRPr="001B07E2" w:rsidRDefault="005C3859" w:rsidP="005F7B11">
      <w:pPr>
        <w:spacing w:before="40" w:after="80"/>
        <w:jc w:val="left"/>
        <w:rPr>
          <w:rFonts w:cs="Arial"/>
          <w:sz w:val="24"/>
          <w:szCs w:val="28"/>
        </w:rPr>
      </w:pPr>
      <w:r w:rsidRPr="001B07E2">
        <w:rPr>
          <w:rFonts w:cs="Arial"/>
          <w:noProof/>
          <w:sz w:val="24"/>
          <w:szCs w:val="28"/>
          <w:lang w:eastAsia="de-DE"/>
        </w:rPr>
        <w:drawing>
          <wp:anchor distT="0" distB="0" distL="114300" distR="114300" simplePos="0" relativeHeight="251659264" behindDoc="0" locked="0" layoutInCell="1" allowOverlap="1" wp14:anchorId="495C1A5B" wp14:editId="6D6BED2C">
            <wp:simplePos x="0" y="0"/>
            <wp:positionH relativeFrom="column">
              <wp:posOffset>4591050</wp:posOffset>
            </wp:positionH>
            <wp:positionV relativeFrom="paragraph">
              <wp:posOffset>209550</wp:posOffset>
            </wp:positionV>
            <wp:extent cx="1485900" cy="73469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734695"/>
                    </a:xfrm>
                    <a:prstGeom prst="rect">
                      <a:avLst/>
                    </a:prstGeom>
                    <a:noFill/>
                    <a:ln>
                      <a:noFill/>
                    </a:ln>
                  </pic:spPr>
                </pic:pic>
              </a:graphicData>
            </a:graphic>
          </wp:anchor>
        </w:drawing>
      </w:r>
    </w:p>
    <w:p w:rsidR="005C3859" w:rsidRPr="001B07E2" w:rsidRDefault="005C3859" w:rsidP="005F7B11">
      <w:pPr>
        <w:spacing w:before="40" w:after="80"/>
        <w:jc w:val="left"/>
        <w:rPr>
          <w:rFonts w:cs="Arial"/>
          <w:sz w:val="24"/>
          <w:szCs w:val="28"/>
        </w:rPr>
      </w:pPr>
      <w:r w:rsidRPr="001B07E2">
        <w:rPr>
          <w:rFonts w:cs="Arial"/>
          <w:sz w:val="24"/>
          <w:szCs w:val="28"/>
        </w:rPr>
        <w:t>Deutsche Gesellschaft für Medizinische Informatik, Biometrie und Epidemiologie e. V.</w:t>
      </w:r>
      <w:r w:rsidR="00061C92" w:rsidRPr="001B07E2">
        <w:rPr>
          <w:rFonts w:cs="Arial"/>
          <w:sz w:val="24"/>
          <w:szCs w:val="28"/>
        </w:rPr>
        <w:br/>
      </w:r>
      <w:r w:rsidRPr="001B07E2">
        <w:rPr>
          <w:rFonts w:cs="Arial"/>
          <w:sz w:val="24"/>
          <w:szCs w:val="28"/>
        </w:rPr>
        <w:t>Arbeitsgruppe „Datenschutz und IT-Sicherheit im Gesundheitswesen“</w:t>
      </w:r>
    </w:p>
    <w:p w:rsidR="005C3859" w:rsidRPr="001B07E2" w:rsidRDefault="005C3859" w:rsidP="005F7B11">
      <w:pPr>
        <w:spacing w:before="40" w:after="80"/>
        <w:jc w:val="left"/>
        <w:rPr>
          <w:rFonts w:cs="Arial"/>
          <w:sz w:val="24"/>
          <w:szCs w:val="28"/>
        </w:rPr>
      </w:pPr>
    </w:p>
    <w:p w:rsidR="005C3859" w:rsidRPr="001B07E2" w:rsidRDefault="005C3859" w:rsidP="005F7B11">
      <w:pPr>
        <w:spacing w:before="40" w:after="80"/>
        <w:jc w:val="left"/>
        <w:rPr>
          <w:rFonts w:cs="Arial"/>
          <w:sz w:val="24"/>
          <w:szCs w:val="28"/>
        </w:rPr>
      </w:pPr>
    </w:p>
    <w:p w:rsidR="00061C92" w:rsidRPr="001B07E2" w:rsidRDefault="00061C92" w:rsidP="005F7B11">
      <w:pPr>
        <w:spacing w:after="160" w:line="240" w:lineRule="auto"/>
        <w:jc w:val="left"/>
        <w:rPr>
          <w:rFonts w:cs="Arial"/>
          <w:szCs w:val="28"/>
        </w:rPr>
      </w:pPr>
      <w:r w:rsidRPr="001B07E2">
        <w:rPr>
          <w:noProof/>
          <w:lang w:eastAsia="de-DE"/>
        </w:rPr>
        <w:drawing>
          <wp:anchor distT="0" distB="0" distL="114300" distR="114300" simplePos="0" relativeHeight="251662336" behindDoc="0" locked="0" layoutInCell="1" allowOverlap="1" wp14:anchorId="6076A233" wp14:editId="42396A0D">
            <wp:simplePos x="0" y="0"/>
            <wp:positionH relativeFrom="column">
              <wp:posOffset>4566920</wp:posOffset>
            </wp:positionH>
            <wp:positionV relativeFrom="paragraph">
              <wp:posOffset>219075</wp:posOffset>
            </wp:positionV>
            <wp:extent cx="1320800" cy="711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C92" w:rsidRPr="001B07E2" w:rsidRDefault="00061C92" w:rsidP="005F7B11">
      <w:pPr>
        <w:spacing w:after="160" w:line="240" w:lineRule="auto"/>
        <w:jc w:val="left"/>
        <w:rPr>
          <w:rFonts w:cs="Arial"/>
        </w:rPr>
      </w:pPr>
      <w:r w:rsidRPr="001B07E2">
        <w:rPr>
          <w:rFonts w:cs="Arial"/>
          <w:szCs w:val="28"/>
        </w:rPr>
        <w:t>Gesellschaft für Datenschutz und Datensicherheit e. V.</w:t>
      </w:r>
      <w:r w:rsidRPr="001B07E2">
        <w:rPr>
          <w:rFonts w:cs="Arial"/>
          <w:szCs w:val="28"/>
        </w:rPr>
        <w:br/>
        <w:t>Arbeitskreis „Datenschutz und Datensicherheit im Gesundheits- und Sozialwesen“</w:t>
      </w:r>
    </w:p>
    <w:p w:rsidR="00061C92" w:rsidRPr="001B07E2" w:rsidRDefault="00061C92" w:rsidP="00061C92"/>
    <w:p w:rsidR="005C3859" w:rsidRPr="001B07E2" w:rsidRDefault="005C3859" w:rsidP="005C3859">
      <w:pPr>
        <w:rPr>
          <w:b/>
          <w:sz w:val="28"/>
          <w:szCs w:val="28"/>
        </w:rPr>
      </w:pPr>
      <w:r w:rsidRPr="001B07E2">
        <w:rPr>
          <w:b/>
          <w:sz w:val="28"/>
          <w:szCs w:val="28"/>
        </w:rPr>
        <w:t>Autor(en)</w:t>
      </w:r>
    </w:p>
    <w:tbl>
      <w:tblPr>
        <w:tblStyle w:val="Tabellenraster"/>
        <w:tblW w:w="0" w:type="auto"/>
        <w:tblInd w:w="108" w:type="dxa"/>
        <w:tblLook w:val="04A0" w:firstRow="1" w:lastRow="0" w:firstColumn="1" w:lastColumn="0" w:noHBand="0" w:noVBand="1"/>
      </w:tblPr>
      <w:tblGrid>
        <w:gridCol w:w="2410"/>
        <w:gridCol w:w="6694"/>
      </w:tblGrid>
      <w:tr w:rsidR="005C3859" w:rsidRPr="001B07E2" w:rsidTr="005C3859">
        <w:tc>
          <w:tcPr>
            <w:tcW w:w="2410" w:type="dxa"/>
          </w:tcPr>
          <w:p w:rsidR="005C3859" w:rsidRPr="001B07E2" w:rsidRDefault="005C3859" w:rsidP="00A40957">
            <w:r w:rsidRPr="001B07E2">
              <w:t>Isele, Christoph</w:t>
            </w:r>
          </w:p>
        </w:tc>
        <w:tc>
          <w:tcPr>
            <w:tcW w:w="6694" w:type="dxa"/>
          </w:tcPr>
          <w:p w:rsidR="005C3859" w:rsidRPr="001B07E2" w:rsidRDefault="005C3859" w:rsidP="00A40957">
            <w:r w:rsidRPr="001B07E2">
              <w:t xml:space="preserve">Cerner </w:t>
            </w:r>
            <w:proofErr w:type="spellStart"/>
            <w:r w:rsidRPr="001B07E2">
              <w:t>Health</w:t>
            </w:r>
            <w:proofErr w:type="spellEnd"/>
            <w:r w:rsidRPr="001B07E2">
              <w:t xml:space="preserve"> Services Deutschland GmbH</w:t>
            </w:r>
          </w:p>
        </w:tc>
      </w:tr>
      <w:tr w:rsidR="0025586F" w:rsidRPr="001B07E2" w:rsidTr="005C3859">
        <w:tc>
          <w:tcPr>
            <w:tcW w:w="2410" w:type="dxa"/>
          </w:tcPr>
          <w:p w:rsidR="0025586F" w:rsidRPr="001B07E2" w:rsidRDefault="0025586F">
            <w:r w:rsidRPr="001B07E2">
              <w:t>Kaufmann, Pierre</w:t>
            </w:r>
          </w:p>
        </w:tc>
        <w:tc>
          <w:tcPr>
            <w:tcW w:w="6694" w:type="dxa"/>
          </w:tcPr>
          <w:p w:rsidR="0025586F" w:rsidRPr="001B07E2" w:rsidRDefault="0025586F">
            <w:r w:rsidRPr="001B07E2">
              <w:t xml:space="preserve">Kaufmann </w:t>
            </w:r>
          </w:p>
        </w:tc>
      </w:tr>
      <w:tr w:rsidR="005C3859" w:rsidRPr="001B07E2" w:rsidTr="005C3859">
        <w:tc>
          <w:tcPr>
            <w:tcW w:w="2410" w:type="dxa"/>
          </w:tcPr>
          <w:p w:rsidR="005C3859" w:rsidRPr="001B07E2" w:rsidRDefault="005C3859" w:rsidP="00A40957">
            <w:r w:rsidRPr="001B07E2">
              <w:t>Koeppe, David</w:t>
            </w:r>
          </w:p>
        </w:tc>
        <w:tc>
          <w:tcPr>
            <w:tcW w:w="6694" w:type="dxa"/>
          </w:tcPr>
          <w:p w:rsidR="005C3859" w:rsidRPr="001B07E2" w:rsidRDefault="005C3859" w:rsidP="00A40957">
            <w:r w:rsidRPr="001B07E2">
              <w:t>Vivantes - Netzwerk für Gesundheit GmbH</w:t>
            </w:r>
          </w:p>
        </w:tc>
      </w:tr>
      <w:tr w:rsidR="005C3859" w:rsidRPr="001B07E2" w:rsidTr="005C3859">
        <w:tc>
          <w:tcPr>
            <w:tcW w:w="2410" w:type="dxa"/>
          </w:tcPr>
          <w:p w:rsidR="005C3859" w:rsidRPr="001B07E2" w:rsidRDefault="005C3859" w:rsidP="00A40957">
            <w:r w:rsidRPr="001B07E2">
              <w:t>Neumann, Conrad</w:t>
            </w:r>
          </w:p>
        </w:tc>
        <w:tc>
          <w:tcPr>
            <w:tcW w:w="6694" w:type="dxa"/>
          </w:tcPr>
          <w:p w:rsidR="005C3859" w:rsidRPr="001B07E2" w:rsidRDefault="005C3859" w:rsidP="00A40957">
            <w:proofErr w:type="spellStart"/>
            <w:r w:rsidRPr="001B07E2">
              <w:t>medatixx</w:t>
            </w:r>
            <w:proofErr w:type="spellEnd"/>
            <w:r w:rsidRPr="001B07E2">
              <w:t xml:space="preserve"> GmbH &amp; Co. KG</w:t>
            </w:r>
          </w:p>
        </w:tc>
      </w:tr>
      <w:tr w:rsidR="005C3859" w:rsidRPr="001B07E2" w:rsidTr="005C3859">
        <w:tc>
          <w:tcPr>
            <w:tcW w:w="2410" w:type="dxa"/>
          </w:tcPr>
          <w:p w:rsidR="005C3859" w:rsidRPr="001B07E2" w:rsidRDefault="005C3859" w:rsidP="00A40957">
            <w:r w:rsidRPr="001B07E2">
              <w:t>Schütz, Thorsten</w:t>
            </w:r>
          </w:p>
        </w:tc>
        <w:tc>
          <w:tcPr>
            <w:tcW w:w="6694" w:type="dxa"/>
          </w:tcPr>
          <w:p w:rsidR="005C3859" w:rsidRPr="001B07E2" w:rsidRDefault="005C3859" w:rsidP="00A40957">
            <w:r w:rsidRPr="001B07E2">
              <w:t>Klinikum Itzehoe</w:t>
            </w:r>
          </w:p>
        </w:tc>
      </w:tr>
      <w:tr w:rsidR="005C3859" w:rsidRPr="001B07E2" w:rsidTr="005C3859">
        <w:tc>
          <w:tcPr>
            <w:tcW w:w="2410" w:type="dxa"/>
          </w:tcPr>
          <w:p w:rsidR="005C3859" w:rsidRPr="001B07E2" w:rsidRDefault="005C3859" w:rsidP="00A40957">
            <w:r w:rsidRPr="001B07E2">
              <w:t>Schütze, Dr. Bernd</w:t>
            </w:r>
          </w:p>
        </w:tc>
        <w:tc>
          <w:tcPr>
            <w:tcW w:w="6694" w:type="dxa"/>
          </w:tcPr>
          <w:p w:rsidR="005C3859" w:rsidRPr="001B07E2" w:rsidRDefault="005C3859" w:rsidP="00A40957">
            <w:r w:rsidRPr="001B07E2">
              <w:t xml:space="preserve">Deutsche Telekom Healthcare </w:t>
            </w:r>
            <w:proofErr w:type="spellStart"/>
            <w:r w:rsidRPr="001B07E2">
              <w:t>and</w:t>
            </w:r>
            <w:proofErr w:type="spellEnd"/>
            <w:r w:rsidRPr="001B07E2">
              <w:t xml:space="preserve"> Security GmbH</w:t>
            </w:r>
          </w:p>
        </w:tc>
      </w:tr>
      <w:tr w:rsidR="005C3859" w:rsidRPr="001B07E2" w:rsidTr="005C3859">
        <w:tc>
          <w:tcPr>
            <w:tcW w:w="2410" w:type="dxa"/>
          </w:tcPr>
          <w:p w:rsidR="005C3859" w:rsidRPr="001B07E2" w:rsidRDefault="005C3859" w:rsidP="00A40957">
            <w:r w:rsidRPr="001B07E2">
              <w:t>Spyra, Gerald</w:t>
            </w:r>
          </w:p>
        </w:tc>
        <w:tc>
          <w:tcPr>
            <w:tcW w:w="6694" w:type="dxa"/>
          </w:tcPr>
          <w:p w:rsidR="005C3859" w:rsidRPr="001B07E2" w:rsidRDefault="005C3859" w:rsidP="00A40957">
            <w:r w:rsidRPr="001B07E2">
              <w:t xml:space="preserve">Ratajczak und Partner </w:t>
            </w:r>
            <w:proofErr w:type="spellStart"/>
            <w:r w:rsidRPr="001B07E2">
              <w:t>mbB</w:t>
            </w:r>
            <w:proofErr w:type="spellEnd"/>
            <w:r w:rsidRPr="001B07E2">
              <w:t xml:space="preserve"> Rechtsanwälte</w:t>
            </w:r>
          </w:p>
        </w:tc>
      </w:tr>
    </w:tbl>
    <w:p w:rsidR="005C3859" w:rsidRPr="001B07E2" w:rsidRDefault="005C3859" w:rsidP="005C3859"/>
    <w:p w:rsidR="005C3859" w:rsidRPr="001B07E2" w:rsidRDefault="005C3859" w:rsidP="009B25E9">
      <w:pPr>
        <w:jc w:val="left"/>
        <w:rPr>
          <w:rFonts w:cs="Arial"/>
          <w:sz w:val="24"/>
          <w:szCs w:val="28"/>
        </w:rPr>
      </w:pPr>
      <w:r w:rsidRPr="001B07E2">
        <w:rPr>
          <w:rFonts w:cs="Arial"/>
          <w:sz w:val="24"/>
          <w:szCs w:val="28"/>
        </w:rPr>
        <w:t>Version 1.0</w:t>
      </w:r>
      <w:r w:rsidR="00A40957" w:rsidRPr="001B07E2">
        <w:rPr>
          <w:rFonts w:cs="Arial"/>
          <w:sz w:val="24"/>
          <w:szCs w:val="28"/>
        </w:rPr>
        <w:br/>
      </w:r>
      <w:r w:rsidRPr="001B07E2">
        <w:rPr>
          <w:rFonts w:cs="Arial"/>
          <w:sz w:val="24"/>
          <w:szCs w:val="28"/>
        </w:rPr>
        <w:t xml:space="preserve">Stand: </w:t>
      </w:r>
      <w:r w:rsidR="009F765A">
        <w:rPr>
          <w:rFonts w:cs="Arial"/>
          <w:sz w:val="24"/>
          <w:szCs w:val="28"/>
        </w:rPr>
        <w:t>28</w:t>
      </w:r>
      <w:r w:rsidRPr="001B07E2">
        <w:rPr>
          <w:rFonts w:cs="Arial"/>
          <w:sz w:val="24"/>
          <w:szCs w:val="28"/>
        </w:rPr>
        <w:t>.0</w:t>
      </w:r>
      <w:r w:rsidR="009F765A">
        <w:rPr>
          <w:rFonts w:cs="Arial"/>
          <w:sz w:val="24"/>
          <w:szCs w:val="28"/>
        </w:rPr>
        <w:t>4</w:t>
      </w:r>
      <w:r w:rsidRPr="001B07E2">
        <w:rPr>
          <w:rFonts w:cs="Arial"/>
          <w:sz w:val="24"/>
          <w:szCs w:val="28"/>
        </w:rPr>
        <w:t>.2018</w:t>
      </w:r>
    </w:p>
    <w:p w:rsidR="005C3859" w:rsidRPr="001B07E2" w:rsidRDefault="005C3859">
      <w:r w:rsidRPr="001B07E2">
        <w:br w:type="page"/>
      </w:r>
    </w:p>
    <w:p w:rsidR="00A40957" w:rsidRPr="001B07E2" w:rsidRDefault="00A40957" w:rsidP="00A40957">
      <w:pPr>
        <w:pStyle w:val="berschrift1"/>
        <w:numPr>
          <w:ilvl w:val="0"/>
          <w:numId w:val="0"/>
        </w:numPr>
        <w:spacing w:before="0"/>
      </w:pPr>
      <w:bookmarkStart w:id="1" w:name="_Toc384031309"/>
      <w:bookmarkStart w:id="2" w:name="_Toc466177206"/>
      <w:bookmarkStart w:id="3" w:name="_Toc466177268"/>
      <w:bookmarkStart w:id="4" w:name="_Toc467402030"/>
      <w:bookmarkStart w:id="5" w:name="_Toc470630151"/>
      <w:bookmarkStart w:id="6" w:name="_Toc470630228"/>
      <w:bookmarkStart w:id="7" w:name="_Toc472062746"/>
      <w:bookmarkStart w:id="8" w:name="_Toc472062819"/>
      <w:bookmarkStart w:id="9" w:name="_Toc472700194"/>
      <w:bookmarkStart w:id="10" w:name="_Toc472750820"/>
      <w:bookmarkStart w:id="11" w:name="_Toc472754490"/>
      <w:bookmarkStart w:id="12" w:name="_Toc472846406"/>
      <w:bookmarkStart w:id="13" w:name="_Toc473233932"/>
      <w:bookmarkStart w:id="14" w:name="_Toc474484946"/>
      <w:bookmarkStart w:id="15" w:name="_Toc474485678"/>
      <w:bookmarkStart w:id="16" w:name="_Toc474495489"/>
      <w:bookmarkStart w:id="17" w:name="_Toc476302738"/>
      <w:bookmarkStart w:id="18" w:name="_Toc478037173"/>
      <w:bookmarkStart w:id="19" w:name="_Toc478037313"/>
      <w:bookmarkStart w:id="20" w:name="_Toc478204418"/>
      <w:bookmarkStart w:id="21" w:name="_Toc478725842"/>
      <w:bookmarkStart w:id="22" w:name="_Toc481399823"/>
      <w:bookmarkStart w:id="23" w:name="_Toc481838553"/>
      <w:bookmarkStart w:id="24" w:name="_Toc484343753"/>
      <w:bookmarkStart w:id="25" w:name="_Toc486696416"/>
      <w:bookmarkStart w:id="26" w:name="_Toc488390183"/>
      <w:bookmarkStart w:id="27" w:name="_Toc488391371"/>
      <w:bookmarkStart w:id="28" w:name="_Toc492202025"/>
      <w:bookmarkStart w:id="29" w:name="_Toc498797797"/>
      <w:bookmarkStart w:id="30" w:name="_Toc498938903"/>
      <w:bookmarkStart w:id="31" w:name="_Toc498971639"/>
      <w:bookmarkStart w:id="32" w:name="_Toc498973213"/>
      <w:bookmarkStart w:id="33" w:name="_Toc499009239"/>
      <w:bookmarkStart w:id="34" w:name="_Toc499915471"/>
      <w:bookmarkStart w:id="35" w:name="_Toc501276645"/>
      <w:bookmarkStart w:id="36" w:name="_Toc501278303"/>
      <w:bookmarkStart w:id="37" w:name="_Toc503851447"/>
      <w:bookmarkStart w:id="38" w:name="_Toc504049213"/>
      <w:bookmarkStart w:id="39" w:name="_Toc506879437"/>
      <w:bookmarkStart w:id="40" w:name="_Toc508991747"/>
      <w:bookmarkStart w:id="41" w:name="_Toc514832471"/>
      <w:r w:rsidRPr="001B07E2">
        <w:lastRenderedPageBreak/>
        <w:t>Haftungsausschluss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A40957" w:rsidRPr="001B07E2" w:rsidRDefault="00A40957" w:rsidP="00A40957">
      <w:pPr>
        <w:rPr>
          <w:rFonts w:cs="Arial"/>
          <w:sz w:val="21"/>
          <w:szCs w:val="21"/>
        </w:rPr>
      </w:pPr>
      <w:r w:rsidRPr="001B07E2">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rsidR="00A40957" w:rsidRPr="001B07E2" w:rsidRDefault="00A40957" w:rsidP="00A40957">
      <w:pPr>
        <w:rPr>
          <w:rFonts w:cs="Arial"/>
          <w:sz w:val="21"/>
          <w:szCs w:val="21"/>
        </w:rPr>
      </w:pPr>
      <w:r w:rsidRPr="001B07E2">
        <w:rPr>
          <w:rFonts w:cs="Arial"/>
          <w:sz w:val="21"/>
          <w:szCs w:val="21"/>
        </w:rPr>
        <w:t>Die Autoren sind bestrebt, in allen Publikationen die Urheberrechte der verwendeten Texte zu beachten, von ihnen selbst erstellte Texte zu nutzen oder auf lizenzfreie Texte zurückzugreifen.</w:t>
      </w:r>
    </w:p>
    <w:p w:rsidR="00A40957" w:rsidRPr="001B07E2" w:rsidRDefault="00A40957" w:rsidP="00A40957">
      <w:pPr>
        <w:rPr>
          <w:rFonts w:cs="Arial"/>
          <w:sz w:val="21"/>
          <w:szCs w:val="21"/>
        </w:rPr>
      </w:pPr>
      <w:r w:rsidRPr="001B07E2">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rsidR="00A40957" w:rsidRPr="001B07E2" w:rsidRDefault="00A40957" w:rsidP="00A40957">
      <w:pPr>
        <w:pStyle w:val="berschrift1"/>
        <w:numPr>
          <w:ilvl w:val="0"/>
          <w:numId w:val="0"/>
        </w:numPr>
        <w:spacing w:before="240"/>
      </w:pPr>
      <w:bookmarkStart w:id="42" w:name="_Toc400089231"/>
      <w:bookmarkStart w:id="43" w:name="_Toc466177207"/>
      <w:bookmarkStart w:id="44" w:name="_Toc466177269"/>
      <w:bookmarkStart w:id="45" w:name="_Toc467402031"/>
      <w:bookmarkStart w:id="46" w:name="_Toc470630152"/>
      <w:bookmarkStart w:id="47" w:name="_Toc470630229"/>
      <w:bookmarkStart w:id="48" w:name="_Toc472062747"/>
      <w:bookmarkStart w:id="49" w:name="_Toc472062820"/>
      <w:bookmarkStart w:id="50" w:name="_Toc472700195"/>
      <w:bookmarkStart w:id="51" w:name="_Toc472750821"/>
      <w:bookmarkStart w:id="52" w:name="_Toc472754491"/>
      <w:bookmarkStart w:id="53" w:name="_Toc472846407"/>
      <w:bookmarkStart w:id="54" w:name="_Toc473233933"/>
      <w:bookmarkStart w:id="55" w:name="_Toc474484947"/>
      <w:bookmarkStart w:id="56" w:name="_Toc474485679"/>
      <w:bookmarkStart w:id="57" w:name="_Toc474495490"/>
      <w:bookmarkStart w:id="58" w:name="_Toc476302739"/>
      <w:bookmarkStart w:id="59" w:name="_Toc478037174"/>
      <w:bookmarkStart w:id="60" w:name="_Toc478037314"/>
      <w:bookmarkStart w:id="61" w:name="_Toc478204419"/>
      <w:bookmarkStart w:id="62" w:name="_Toc478725843"/>
      <w:bookmarkStart w:id="63" w:name="_Toc481399824"/>
      <w:bookmarkStart w:id="64" w:name="_Toc481838554"/>
      <w:bookmarkStart w:id="65" w:name="_Toc484343754"/>
      <w:bookmarkStart w:id="66" w:name="_Toc486696417"/>
      <w:bookmarkStart w:id="67" w:name="_Toc488390184"/>
      <w:bookmarkStart w:id="68" w:name="_Toc488391372"/>
      <w:bookmarkStart w:id="69" w:name="_Toc492202026"/>
      <w:bookmarkStart w:id="70" w:name="_Toc498797798"/>
      <w:bookmarkStart w:id="71" w:name="_Toc498938904"/>
      <w:bookmarkStart w:id="72" w:name="_Toc498971640"/>
      <w:bookmarkStart w:id="73" w:name="_Toc498973214"/>
      <w:bookmarkStart w:id="74" w:name="_Toc499009240"/>
      <w:bookmarkStart w:id="75" w:name="_Toc499915472"/>
      <w:bookmarkStart w:id="76" w:name="_Toc501276646"/>
      <w:bookmarkStart w:id="77" w:name="_Toc501278304"/>
      <w:bookmarkStart w:id="78" w:name="_Toc503851448"/>
      <w:bookmarkStart w:id="79" w:name="_Toc504049214"/>
      <w:bookmarkStart w:id="80" w:name="_Toc506879438"/>
      <w:bookmarkStart w:id="81" w:name="_Toc508991748"/>
      <w:bookmarkStart w:id="82" w:name="_Toc514832472"/>
      <w:r w:rsidRPr="001B07E2">
        <w:t>Copyright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A40957" w:rsidRPr="001B07E2" w:rsidRDefault="00A40957" w:rsidP="00A40957">
      <w:pPr>
        <w:rPr>
          <w:rFonts w:cs="Arial"/>
          <w:sz w:val="21"/>
          <w:szCs w:val="21"/>
        </w:rPr>
      </w:pPr>
      <w:r w:rsidRPr="001B07E2">
        <w:rPr>
          <w:rFonts w:cs="Arial"/>
          <w:sz w:val="21"/>
          <w:szCs w:val="21"/>
        </w:rPr>
        <w:t>Für in diesem Dokument veröffentlichte, von den Autoren selbst erstellte Objekte gilt hinsichtlich des Copyrights die folgende Regelung:</w:t>
      </w:r>
    </w:p>
    <w:p w:rsidR="00A40957" w:rsidRPr="001B07E2" w:rsidRDefault="00A40957" w:rsidP="00A40957">
      <w:pPr>
        <w:spacing w:after="0"/>
        <w:rPr>
          <w:rFonts w:cs="Arial"/>
          <w:sz w:val="21"/>
          <w:szCs w:val="21"/>
        </w:rPr>
      </w:pPr>
      <w:r w:rsidRPr="001B07E2">
        <w:rPr>
          <w:noProof/>
          <w:sz w:val="21"/>
          <w:szCs w:val="21"/>
          <w:lang w:eastAsia="de-DE"/>
        </w:rPr>
        <w:drawing>
          <wp:anchor distT="0" distB="0" distL="114300" distR="114300" simplePos="0" relativeHeight="251664384" behindDoc="0" locked="0" layoutInCell="1" allowOverlap="1" wp14:anchorId="2FA6414D" wp14:editId="1823F2E1">
            <wp:simplePos x="0" y="0"/>
            <wp:positionH relativeFrom="column">
              <wp:posOffset>4981575</wp:posOffset>
            </wp:positionH>
            <wp:positionV relativeFrom="paragraph">
              <wp:posOffset>9525</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7E2">
        <w:rPr>
          <w:rFonts w:cs="Arial"/>
          <w:sz w:val="21"/>
          <w:szCs w:val="21"/>
        </w:rPr>
        <w:t>Dieses Werk ist unter einer Creative Commons-Lizenz (4.0 Deutschland Lizenzvertrag) lizenziert.</w:t>
      </w:r>
      <w:r w:rsidRPr="001B07E2">
        <w:rPr>
          <w:noProof/>
          <w:sz w:val="21"/>
          <w:szCs w:val="21"/>
          <w:lang w:eastAsia="de-DE"/>
        </w:rPr>
        <w:t xml:space="preserve"> </w:t>
      </w:r>
      <w:r w:rsidRPr="001B07E2">
        <w:rPr>
          <w:rFonts w:cs="Arial"/>
          <w:sz w:val="21"/>
          <w:szCs w:val="21"/>
        </w:rPr>
        <w:t>D. h. Sie dürfen:</w:t>
      </w:r>
    </w:p>
    <w:p w:rsidR="00A40957" w:rsidRPr="001B07E2" w:rsidRDefault="00A40957" w:rsidP="00A40957">
      <w:pPr>
        <w:pStyle w:val="Listenabsatz"/>
        <w:numPr>
          <w:ilvl w:val="0"/>
          <w:numId w:val="14"/>
        </w:numPr>
        <w:tabs>
          <w:tab w:val="clear" w:pos="1559"/>
        </w:tabs>
        <w:spacing w:after="0"/>
        <w:ind w:left="714" w:hanging="357"/>
        <w:rPr>
          <w:rFonts w:cs="Arial"/>
          <w:sz w:val="21"/>
          <w:szCs w:val="21"/>
        </w:rPr>
      </w:pPr>
      <w:r w:rsidRPr="001B07E2">
        <w:rPr>
          <w:rFonts w:cs="Arial"/>
          <w:sz w:val="21"/>
          <w:szCs w:val="21"/>
        </w:rPr>
        <w:t>Teilen: Das Material in jedwedem Format oder Medium vervielfältigen und weiterverbreiten</w:t>
      </w:r>
    </w:p>
    <w:p w:rsidR="00A40957" w:rsidRPr="001B07E2" w:rsidRDefault="00A40957" w:rsidP="00A40957">
      <w:pPr>
        <w:pStyle w:val="Listenabsatz"/>
        <w:numPr>
          <w:ilvl w:val="0"/>
          <w:numId w:val="14"/>
        </w:numPr>
        <w:tabs>
          <w:tab w:val="clear" w:pos="1559"/>
        </w:tabs>
        <w:spacing w:after="0"/>
        <w:ind w:left="714" w:hanging="357"/>
        <w:rPr>
          <w:rFonts w:cs="Arial"/>
          <w:sz w:val="21"/>
          <w:szCs w:val="21"/>
        </w:rPr>
      </w:pPr>
      <w:r w:rsidRPr="001B07E2">
        <w:rPr>
          <w:rFonts w:cs="Arial"/>
          <w:sz w:val="21"/>
          <w:szCs w:val="21"/>
        </w:rPr>
        <w:t xml:space="preserve">Bearbeiten: Das Material </w:t>
      </w:r>
      <w:proofErr w:type="spellStart"/>
      <w:r w:rsidRPr="001B07E2">
        <w:rPr>
          <w:rFonts w:cs="Arial"/>
          <w:sz w:val="21"/>
          <w:szCs w:val="21"/>
        </w:rPr>
        <w:t>remixen</w:t>
      </w:r>
      <w:proofErr w:type="spellEnd"/>
      <w:r w:rsidRPr="001B07E2">
        <w:rPr>
          <w:rFonts w:cs="Arial"/>
          <w:sz w:val="21"/>
          <w:szCs w:val="21"/>
        </w:rPr>
        <w:t>, verändern und darauf aufbauen</w:t>
      </w:r>
    </w:p>
    <w:p w:rsidR="00A40957" w:rsidRPr="001B07E2" w:rsidRDefault="00A40957" w:rsidP="00A40957">
      <w:pPr>
        <w:rPr>
          <w:rFonts w:cs="Arial"/>
          <w:sz w:val="21"/>
          <w:szCs w:val="21"/>
        </w:rPr>
      </w:pPr>
      <w:r w:rsidRPr="001B07E2">
        <w:rPr>
          <w:rFonts w:cs="Arial"/>
          <w:sz w:val="21"/>
          <w:szCs w:val="21"/>
        </w:rPr>
        <w:t>und zwar für beliebige Zwecke, sogar kommerziell. Der Lizenzgeber kann diese Freiheiten nicht widerrufen, solange Sie sich an die Lizenzbedingungen halten.</w:t>
      </w:r>
    </w:p>
    <w:p w:rsidR="00A40957" w:rsidRPr="001B07E2" w:rsidRDefault="00A40957" w:rsidP="00A40957">
      <w:pPr>
        <w:spacing w:after="0"/>
        <w:rPr>
          <w:rFonts w:cs="Arial"/>
          <w:sz w:val="21"/>
          <w:szCs w:val="21"/>
        </w:rPr>
      </w:pPr>
      <w:r w:rsidRPr="001B07E2">
        <w:rPr>
          <w:rFonts w:cs="Arial"/>
          <w:sz w:val="21"/>
          <w:szCs w:val="21"/>
        </w:rPr>
        <w:t>Die Nutzung ist unter den folgenden Bedingungen möglich:</w:t>
      </w:r>
    </w:p>
    <w:p w:rsidR="00A40957" w:rsidRPr="001B07E2" w:rsidRDefault="00A40957" w:rsidP="00A40957">
      <w:pPr>
        <w:pStyle w:val="Listenabsatz"/>
        <w:numPr>
          <w:ilvl w:val="0"/>
          <w:numId w:val="14"/>
        </w:numPr>
        <w:tabs>
          <w:tab w:val="clear" w:pos="1559"/>
        </w:tabs>
        <w:spacing w:after="0"/>
        <w:rPr>
          <w:rFonts w:cs="Arial"/>
          <w:sz w:val="21"/>
          <w:szCs w:val="21"/>
        </w:rPr>
      </w:pPr>
      <w:r w:rsidRPr="001B07E2">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rsidR="00A40957" w:rsidRPr="001B07E2" w:rsidRDefault="00A40957" w:rsidP="00A40957">
      <w:pPr>
        <w:pStyle w:val="Listenabsatz"/>
        <w:numPr>
          <w:ilvl w:val="0"/>
          <w:numId w:val="14"/>
        </w:numPr>
        <w:tabs>
          <w:tab w:val="clear" w:pos="1559"/>
        </w:tabs>
        <w:spacing w:after="0"/>
        <w:rPr>
          <w:rFonts w:cs="Arial"/>
          <w:sz w:val="21"/>
          <w:szCs w:val="21"/>
        </w:rPr>
      </w:pPr>
      <w:r w:rsidRPr="001B07E2">
        <w:rPr>
          <w:rFonts w:cs="Arial"/>
          <w:sz w:val="21"/>
          <w:szCs w:val="21"/>
        </w:rPr>
        <w:t xml:space="preserve">Weitergabe unter gleichen Bedingungen: Wenn Sie das Material </w:t>
      </w:r>
      <w:proofErr w:type="spellStart"/>
      <w:r w:rsidRPr="001B07E2">
        <w:rPr>
          <w:rFonts w:cs="Arial"/>
          <w:sz w:val="21"/>
          <w:szCs w:val="21"/>
        </w:rPr>
        <w:t>remixen</w:t>
      </w:r>
      <w:proofErr w:type="spellEnd"/>
      <w:r w:rsidRPr="001B07E2">
        <w:rPr>
          <w:rFonts w:cs="Arial"/>
          <w:sz w:val="21"/>
          <w:szCs w:val="21"/>
        </w:rPr>
        <w:t>, verändern oder anderweitig direkt darauf aufbauen, dürfen Sie Ihre Beiträge nur unter derselben Lizenz wie das Original verbreiten.</w:t>
      </w:r>
    </w:p>
    <w:p w:rsidR="00A40957" w:rsidRPr="001B07E2" w:rsidRDefault="00A40957" w:rsidP="00A40957">
      <w:pPr>
        <w:pStyle w:val="Listenabsatz"/>
        <w:numPr>
          <w:ilvl w:val="0"/>
          <w:numId w:val="14"/>
        </w:numPr>
        <w:tabs>
          <w:tab w:val="clear" w:pos="1559"/>
        </w:tabs>
        <w:spacing w:after="80"/>
        <w:ind w:left="714" w:hanging="357"/>
        <w:rPr>
          <w:rFonts w:cs="Arial"/>
          <w:sz w:val="21"/>
          <w:szCs w:val="21"/>
        </w:rPr>
      </w:pPr>
      <w:r w:rsidRPr="001B07E2">
        <w:rPr>
          <w:rFonts w:cs="Arial"/>
          <w:sz w:val="21"/>
          <w:szCs w:val="21"/>
        </w:rPr>
        <w:t>Keine weiteren Einschränkungen: Sie dürfen keine zusätzlichen Klauseln oder technische Verfahren einsetzen, die anderen rechtlich irgendetwas untersagen, was die Lizenz erlaubt.</w:t>
      </w:r>
    </w:p>
    <w:p w:rsidR="00A40957" w:rsidRPr="001B07E2" w:rsidRDefault="00A40957" w:rsidP="00A40957">
      <w:pPr>
        <w:spacing w:after="0"/>
        <w:rPr>
          <w:rFonts w:cs="Arial"/>
          <w:sz w:val="21"/>
          <w:szCs w:val="21"/>
        </w:rPr>
      </w:pPr>
      <w:r w:rsidRPr="001B07E2">
        <w:rPr>
          <w:rFonts w:cs="Arial"/>
          <w:sz w:val="21"/>
          <w:szCs w:val="21"/>
        </w:rPr>
        <w:t>Im Weiteren gilt:</w:t>
      </w:r>
    </w:p>
    <w:p w:rsidR="00A40957" w:rsidRPr="001B07E2" w:rsidRDefault="00A40957" w:rsidP="00A40957">
      <w:pPr>
        <w:pStyle w:val="Listenabsatz"/>
        <w:numPr>
          <w:ilvl w:val="0"/>
          <w:numId w:val="14"/>
        </w:numPr>
        <w:tabs>
          <w:tab w:val="clear" w:pos="1559"/>
        </w:tabs>
        <w:spacing w:after="0"/>
        <w:ind w:left="714" w:hanging="357"/>
        <w:rPr>
          <w:rFonts w:cs="Arial"/>
          <w:sz w:val="21"/>
          <w:szCs w:val="21"/>
        </w:rPr>
      </w:pPr>
      <w:r w:rsidRPr="001B07E2">
        <w:rPr>
          <w:rFonts w:cs="Arial"/>
          <w:sz w:val="21"/>
          <w:szCs w:val="21"/>
        </w:rPr>
        <w:t>Jede der vorgenannten Bedingungen kann aufgehoben werden, sofern Sie die Einwilligung des Rechteinhabers dazu erhalten.</w:t>
      </w:r>
    </w:p>
    <w:p w:rsidR="00A40957" w:rsidRPr="001B07E2" w:rsidRDefault="00A40957" w:rsidP="00A40957">
      <w:pPr>
        <w:pStyle w:val="Listenabsatz"/>
        <w:numPr>
          <w:ilvl w:val="0"/>
          <w:numId w:val="14"/>
        </w:numPr>
        <w:tabs>
          <w:tab w:val="clear" w:pos="1559"/>
        </w:tabs>
        <w:spacing w:after="0"/>
        <w:ind w:left="714" w:hanging="357"/>
        <w:rPr>
          <w:rFonts w:cs="Arial"/>
          <w:sz w:val="21"/>
          <w:szCs w:val="21"/>
        </w:rPr>
      </w:pPr>
      <w:r w:rsidRPr="001B07E2">
        <w:rPr>
          <w:rFonts w:cs="Arial"/>
          <w:sz w:val="21"/>
          <w:szCs w:val="21"/>
        </w:rPr>
        <w:t>Diese Lizenz lässt die Urheberpersönlichkeitsrechte unberührt.</w:t>
      </w:r>
    </w:p>
    <w:p w:rsidR="00A40957" w:rsidRPr="001B07E2" w:rsidRDefault="00A40957" w:rsidP="00A40957">
      <w:pPr>
        <w:spacing w:after="0"/>
        <w:rPr>
          <w:rFonts w:cs="Arial"/>
          <w:sz w:val="21"/>
          <w:szCs w:val="21"/>
        </w:rPr>
      </w:pPr>
      <w:r w:rsidRPr="001B07E2">
        <w:rPr>
          <w:rFonts w:cs="Arial"/>
          <w:sz w:val="21"/>
          <w:szCs w:val="21"/>
        </w:rPr>
        <w:t>Um sich die Lizenz anzusehen, gehen Sie bitte ins Internet auf die Webseite:</w:t>
      </w:r>
    </w:p>
    <w:p w:rsidR="00A40957" w:rsidRPr="001B07E2" w:rsidRDefault="00A40957" w:rsidP="00A40957">
      <w:pPr>
        <w:spacing w:after="0"/>
        <w:jc w:val="center"/>
        <w:rPr>
          <w:rFonts w:cs="Arial"/>
          <w:sz w:val="21"/>
          <w:szCs w:val="21"/>
        </w:rPr>
      </w:pPr>
      <w:r w:rsidRPr="001B07E2">
        <w:rPr>
          <w:rFonts w:cs="Arial"/>
          <w:sz w:val="21"/>
          <w:szCs w:val="21"/>
        </w:rPr>
        <w:t>https://creativecommons.org/licenses/by-sa/4.0/deed.de</w:t>
      </w:r>
    </w:p>
    <w:p w:rsidR="00A40957" w:rsidRPr="001B07E2" w:rsidRDefault="00A40957" w:rsidP="00A40957">
      <w:pPr>
        <w:spacing w:after="0"/>
        <w:rPr>
          <w:rFonts w:cs="Arial"/>
          <w:sz w:val="21"/>
          <w:szCs w:val="21"/>
        </w:rPr>
      </w:pPr>
      <w:r w:rsidRPr="001B07E2">
        <w:rPr>
          <w:rFonts w:cs="Arial"/>
          <w:sz w:val="21"/>
          <w:szCs w:val="21"/>
        </w:rPr>
        <w:t>bzw. für den vollständigen Lizenztext</w:t>
      </w:r>
    </w:p>
    <w:p w:rsidR="00A40957" w:rsidRPr="001B07E2" w:rsidRDefault="00A40957" w:rsidP="00A40957">
      <w:pPr>
        <w:jc w:val="center"/>
        <w:rPr>
          <w:sz w:val="21"/>
          <w:szCs w:val="21"/>
        </w:rPr>
      </w:pPr>
      <w:r w:rsidRPr="001B07E2">
        <w:rPr>
          <w:rFonts w:cs="Arial"/>
          <w:sz w:val="21"/>
          <w:szCs w:val="21"/>
        </w:rPr>
        <w:t>https://creativecommons.org/licenses/by-sa/4.0/legalcode</w:t>
      </w:r>
    </w:p>
    <w:p w:rsidR="005C3859" w:rsidRPr="001B07E2" w:rsidRDefault="005C3859" w:rsidP="005C3859"/>
    <w:p w:rsidR="009B25E9" w:rsidRPr="001B07E2" w:rsidRDefault="009B25E9">
      <w:pPr>
        <w:sectPr w:rsidR="009B25E9" w:rsidRPr="001B07E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pPr>
      <w:bookmarkStart w:id="83" w:name="_Toc500395764"/>
    </w:p>
    <w:p w:rsidR="00A40957" w:rsidRPr="001B07E2" w:rsidRDefault="00A40957" w:rsidP="009B25E9">
      <w:pPr>
        <w:pStyle w:val="berschrift1"/>
        <w:numPr>
          <w:ilvl w:val="0"/>
          <w:numId w:val="0"/>
        </w:numPr>
        <w:spacing w:before="0"/>
      </w:pPr>
      <w:bookmarkStart w:id="84" w:name="_Toc506879439"/>
      <w:bookmarkStart w:id="85" w:name="_Toc508991749"/>
      <w:bookmarkStart w:id="86" w:name="_Toc514832473"/>
      <w:r w:rsidRPr="001B07E2">
        <w:lastRenderedPageBreak/>
        <w:t>Inhaltsverzeichnis</w:t>
      </w:r>
      <w:bookmarkEnd w:id="84"/>
      <w:bookmarkEnd w:id="85"/>
      <w:bookmarkEnd w:id="86"/>
    </w:p>
    <w:p w:rsidR="007B1EC3" w:rsidRDefault="005E2265" w:rsidP="007B1EC3">
      <w:pPr>
        <w:pStyle w:val="Verzeichnis1"/>
        <w:tabs>
          <w:tab w:val="right" w:leader="underscore" w:pos="9062"/>
        </w:tabs>
        <w:spacing w:line="269" w:lineRule="auto"/>
        <w:rPr>
          <w:rFonts w:eastAsiaTheme="minorEastAsia"/>
          <w:b w:val="0"/>
          <w:bCs w:val="0"/>
          <w:iCs w:val="0"/>
          <w:noProof/>
          <w:sz w:val="22"/>
          <w:szCs w:val="22"/>
          <w:lang w:eastAsia="de-DE"/>
        </w:rPr>
      </w:pPr>
      <w:r w:rsidRPr="001B07E2">
        <w:fldChar w:fldCharType="begin"/>
      </w:r>
      <w:r w:rsidRPr="001B07E2">
        <w:instrText xml:space="preserve"> TOC \o "1-4" \h \z \u </w:instrText>
      </w:r>
      <w:r w:rsidRPr="001B07E2">
        <w:fldChar w:fldCharType="separate"/>
      </w:r>
      <w:hyperlink w:anchor="_Toc514832474" w:history="1">
        <w:r w:rsidR="007B1EC3" w:rsidRPr="00D903C8">
          <w:rPr>
            <w:rStyle w:val="Hyperlink"/>
            <w:noProof/>
          </w:rPr>
          <w:t>Zusammenfassung</w:t>
        </w:r>
        <w:r w:rsidR="007B1EC3">
          <w:rPr>
            <w:noProof/>
            <w:webHidden/>
          </w:rPr>
          <w:tab/>
        </w:r>
        <w:r w:rsidR="007B1EC3">
          <w:rPr>
            <w:noProof/>
            <w:webHidden/>
          </w:rPr>
          <w:fldChar w:fldCharType="begin"/>
        </w:r>
        <w:r w:rsidR="007B1EC3">
          <w:rPr>
            <w:noProof/>
            <w:webHidden/>
          </w:rPr>
          <w:instrText xml:space="preserve"> PAGEREF _Toc514832474 \h </w:instrText>
        </w:r>
        <w:r w:rsidR="007B1EC3">
          <w:rPr>
            <w:noProof/>
            <w:webHidden/>
          </w:rPr>
        </w:r>
        <w:r w:rsidR="007B1EC3">
          <w:rPr>
            <w:noProof/>
            <w:webHidden/>
          </w:rPr>
          <w:fldChar w:fldCharType="separate"/>
        </w:r>
        <w:r w:rsidR="007B1EC3">
          <w:rPr>
            <w:noProof/>
            <w:webHidden/>
          </w:rPr>
          <w:t>2</w:t>
        </w:r>
        <w:r w:rsidR="007B1EC3">
          <w:rPr>
            <w:noProof/>
            <w:webHidden/>
          </w:rPr>
          <w:fldChar w:fldCharType="end"/>
        </w:r>
      </w:hyperlink>
    </w:p>
    <w:p w:rsidR="007B1EC3" w:rsidRDefault="00B006A5" w:rsidP="007B1EC3">
      <w:pPr>
        <w:pStyle w:val="Verzeichnis1"/>
        <w:tabs>
          <w:tab w:val="left" w:pos="440"/>
          <w:tab w:val="right" w:leader="underscore" w:pos="9062"/>
        </w:tabs>
        <w:spacing w:line="269" w:lineRule="auto"/>
        <w:rPr>
          <w:rFonts w:eastAsiaTheme="minorEastAsia"/>
          <w:b w:val="0"/>
          <w:bCs w:val="0"/>
          <w:iCs w:val="0"/>
          <w:noProof/>
          <w:sz w:val="22"/>
          <w:szCs w:val="22"/>
          <w:lang w:eastAsia="de-DE"/>
        </w:rPr>
      </w:pPr>
      <w:hyperlink w:anchor="_Toc514832475" w:history="1">
        <w:r w:rsidR="007B1EC3" w:rsidRPr="00D903C8">
          <w:rPr>
            <w:rStyle w:val="Hyperlink"/>
            <w:noProof/>
          </w:rPr>
          <w:t>1</w:t>
        </w:r>
        <w:r w:rsidR="007B1EC3">
          <w:rPr>
            <w:rFonts w:eastAsiaTheme="minorEastAsia"/>
            <w:b w:val="0"/>
            <w:bCs w:val="0"/>
            <w:iCs w:val="0"/>
            <w:noProof/>
            <w:sz w:val="22"/>
            <w:szCs w:val="22"/>
            <w:lang w:eastAsia="de-DE"/>
          </w:rPr>
          <w:tab/>
        </w:r>
        <w:r w:rsidR="007B1EC3" w:rsidRPr="00D903C8">
          <w:rPr>
            <w:rStyle w:val="Hyperlink"/>
            <w:noProof/>
          </w:rPr>
          <w:t>Einführung</w:t>
        </w:r>
        <w:r w:rsidR="007B1EC3">
          <w:rPr>
            <w:noProof/>
            <w:webHidden/>
          </w:rPr>
          <w:tab/>
        </w:r>
        <w:r w:rsidR="007B1EC3">
          <w:rPr>
            <w:noProof/>
            <w:webHidden/>
          </w:rPr>
          <w:fldChar w:fldCharType="begin"/>
        </w:r>
        <w:r w:rsidR="007B1EC3">
          <w:rPr>
            <w:noProof/>
            <w:webHidden/>
          </w:rPr>
          <w:instrText xml:space="preserve"> PAGEREF _Toc514832475 \h </w:instrText>
        </w:r>
        <w:r w:rsidR="007B1EC3">
          <w:rPr>
            <w:noProof/>
            <w:webHidden/>
          </w:rPr>
        </w:r>
        <w:r w:rsidR="007B1EC3">
          <w:rPr>
            <w:noProof/>
            <w:webHidden/>
          </w:rPr>
          <w:fldChar w:fldCharType="separate"/>
        </w:r>
        <w:r w:rsidR="007B1EC3">
          <w:rPr>
            <w:noProof/>
            <w:webHidden/>
          </w:rPr>
          <w:t>3</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476" w:history="1">
        <w:r w:rsidR="007B1EC3" w:rsidRPr="00D903C8">
          <w:rPr>
            <w:rStyle w:val="Hyperlink"/>
            <w:noProof/>
          </w:rPr>
          <w:t>1.1</w:t>
        </w:r>
        <w:r w:rsidR="007B1EC3">
          <w:rPr>
            <w:rFonts w:eastAsiaTheme="minorEastAsia"/>
            <w:b w:val="0"/>
            <w:bCs w:val="0"/>
            <w:noProof/>
            <w:lang w:eastAsia="de-DE"/>
          </w:rPr>
          <w:tab/>
        </w:r>
        <w:r w:rsidR="007B1EC3" w:rsidRPr="00D903C8">
          <w:rPr>
            <w:rStyle w:val="Hyperlink"/>
            <w:noProof/>
          </w:rPr>
          <w:t>Entwicklungsgeschichte der Regelung</w:t>
        </w:r>
        <w:r w:rsidR="007B1EC3">
          <w:rPr>
            <w:noProof/>
            <w:webHidden/>
          </w:rPr>
          <w:tab/>
        </w:r>
        <w:r w:rsidR="007B1EC3">
          <w:rPr>
            <w:noProof/>
            <w:webHidden/>
          </w:rPr>
          <w:fldChar w:fldCharType="begin"/>
        </w:r>
        <w:r w:rsidR="007B1EC3">
          <w:rPr>
            <w:noProof/>
            <w:webHidden/>
          </w:rPr>
          <w:instrText xml:space="preserve"> PAGEREF _Toc514832476 \h </w:instrText>
        </w:r>
        <w:r w:rsidR="007B1EC3">
          <w:rPr>
            <w:noProof/>
            <w:webHidden/>
          </w:rPr>
        </w:r>
        <w:r w:rsidR="007B1EC3">
          <w:rPr>
            <w:noProof/>
            <w:webHidden/>
          </w:rPr>
          <w:fldChar w:fldCharType="separate"/>
        </w:r>
        <w:r w:rsidR="007B1EC3">
          <w:rPr>
            <w:noProof/>
            <w:webHidden/>
          </w:rPr>
          <w:t>3</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477" w:history="1">
        <w:r w:rsidR="007B1EC3" w:rsidRPr="00D903C8">
          <w:rPr>
            <w:rStyle w:val="Hyperlink"/>
            <w:noProof/>
          </w:rPr>
          <w:t>1.2</w:t>
        </w:r>
        <w:r w:rsidR="007B1EC3">
          <w:rPr>
            <w:rFonts w:eastAsiaTheme="minorEastAsia"/>
            <w:b w:val="0"/>
            <w:bCs w:val="0"/>
            <w:noProof/>
            <w:lang w:eastAsia="de-DE"/>
          </w:rPr>
          <w:tab/>
        </w:r>
        <w:r w:rsidR="007B1EC3" w:rsidRPr="00D903C8">
          <w:rPr>
            <w:rStyle w:val="Hyperlink"/>
            <w:noProof/>
          </w:rPr>
          <w:t>Intention des europäischen Gesetzgebers</w:t>
        </w:r>
        <w:r w:rsidR="007B1EC3">
          <w:rPr>
            <w:noProof/>
            <w:webHidden/>
          </w:rPr>
          <w:tab/>
        </w:r>
        <w:r w:rsidR="007B1EC3">
          <w:rPr>
            <w:noProof/>
            <w:webHidden/>
          </w:rPr>
          <w:fldChar w:fldCharType="begin"/>
        </w:r>
        <w:r w:rsidR="007B1EC3">
          <w:rPr>
            <w:noProof/>
            <w:webHidden/>
          </w:rPr>
          <w:instrText xml:space="preserve"> PAGEREF _Toc514832477 \h </w:instrText>
        </w:r>
        <w:r w:rsidR="007B1EC3">
          <w:rPr>
            <w:noProof/>
            <w:webHidden/>
          </w:rPr>
        </w:r>
        <w:r w:rsidR="007B1EC3">
          <w:rPr>
            <w:noProof/>
            <w:webHidden/>
          </w:rPr>
          <w:fldChar w:fldCharType="separate"/>
        </w:r>
        <w:r w:rsidR="007B1EC3">
          <w:rPr>
            <w:noProof/>
            <w:webHidden/>
          </w:rPr>
          <w:t>3</w:t>
        </w:r>
        <w:r w:rsidR="007B1EC3">
          <w:rPr>
            <w:noProof/>
            <w:webHidden/>
          </w:rPr>
          <w:fldChar w:fldCharType="end"/>
        </w:r>
      </w:hyperlink>
    </w:p>
    <w:p w:rsidR="007B1EC3" w:rsidRDefault="00B006A5" w:rsidP="007B1EC3">
      <w:pPr>
        <w:pStyle w:val="Verzeichnis1"/>
        <w:tabs>
          <w:tab w:val="left" w:pos="440"/>
          <w:tab w:val="right" w:leader="underscore" w:pos="9062"/>
        </w:tabs>
        <w:spacing w:line="269" w:lineRule="auto"/>
        <w:rPr>
          <w:rFonts w:eastAsiaTheme="minorEastAsia"/>
          <w:b w:val="0"/>
          <w:bCs w:val="0"/>
          <w:iCs w:val="0"/>
          <w:noProof/>
          <w:sz w:val="22"/>
          <w:szCs w:val="22"/>
          <w:lang w:eastAsia="de-DE"/>
        </w:rPr>
      </w:pPr>
      <w:hyperlink w:anchor="_Toc514832478" w:history="1">
        <w:r w:rsidR="007B1EC3" w:rsidRPr="00D903C8">
          <w:rPr>
            <w:rStyle w:val="Hyperlink"/>
            <w:noProof/>
          </w:rPr>
          <w:t>2</w:t>
        </w:r>
        <w:r w:rsidR="007B1EC3">
          <w:rPr>
            <w:rFonts w:eastAsiaTheme="minorEastAsia"/>
            <w:b w:val="0"/>
            <w:bCs w:val="0"/>
            <w:iCs w:val="0"/>
            <w:noProof/>
            <w:sz w:val="22"/>
            <w:szCs w:val="22"/>
            <w:lang w:eastAsia="de-DE"/>
          </w:rPr>
          <w:tab/>
        </w:r>
        <w:r w:rsidR="007B1EC3" w:rsidRPr="00D903C8">
          <w:rPr>
            <w:rStyle w:val="Hyperlink"/>
            <w:noProof/>
          </w:rPr>
          <w:t>Erläuterungen zum rechtlichen Hintergrund</w:t>
        </w:r>
        <w:r w:rsidR="007B1EC3">
          <w:rPr>
            <w:noProof/>
            <w:webHidden/>
          </w:rPr>
          <w:tab/>
        </w:r>
        <w:r w:rsidR="007B1EC3">
          <w:rPr>
            <w:noProof/>
            <w:webHidden/>
          </w:rPr>
          <w:fldChar w:fldCharType="begin"/>
        </w:r>
        <w:r w:rsidR="007B1EC3">
          <w:rPr>
            <w:noProof/>
            <w:webHidden/>
          </w:rPr>
          <w:instrText xml:space="preserve"> PAGEREF _Toc514832478 \h </w:instrText>
        </w:r>
        <w:r w:rsidR="007B1EC3">
          <w:rPr>
            <w:noProof/>
            <w:webHidden/>
          </w:rPr>
        </w:r>
        <w:r w:rsidR="007B1EC3">
          <w:rPr>
            <w:noProof/>
            <w:webHidden/>
          </w:rPr>
          <w:fldChar w:fldCharType="separate"/>
        </w:r>
        <w:r w:rsidR="007B1EC3">
          <w:rPr>
            <w:noProof/>
            <w:webHidden/>
          </w:rPr>
          <w:t>4</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479" w:history="1">
        <w:r w:rsidR="007B1EC3" w:rsidRPr="00D903C8">
          <w:rPr>
            <w:rStyle w:val="Hyperlink"/>
            <w:noProof/>
          </w:rPr>
          <w:t>2.1</w:t>
        </w:r>
        <w:r w:rsidR="007B1EC3">
          <w:rPr>
            <w:rFonts w:eastAsiaTheme="minorEastAsia"/>
            <w:b w:val="0"/>
            <w:bCs w:val="0"/>
            <w:noProof/>
            <w:lang w:eastAsia="de-DE"/>
          </w:rPr>
          <w:tab/>
        </w:r>
        <w:r w:rsidR="007B1EC3" w:rsidRPr="00D903C8">
          <w:rPr>
            <w:rStyle w:val="Hyperlink"/>
            <w:noProof/>
          </w:rPr>
          <w:t>An wen wendet sich die Norm? („Normadressat“)</w:t>
        </w:r>
        <w:r w:rsidR="007B1EC3">
          <w:rPr>
            <w:noProof/>
            <w:webHidden/>
          </w:rPr>
          <w:tab/>
        </w:r>
        <w:r w:rsidR="007B1EC3">
          <w:rPr>
            <w:noProof/>
            <w:webHidden/>
          </w:rPr>
          <w:fldChar w:fldCharType="begin"/>
        </w:r>
        <w:r w:rsidR="007B1EC3">
          <w:rPr>
            <w:noProof/>
            <w:webHidden/>
          </w:rPr>
          <w:instrText xml:space="preserve"> PAGEREF _Toc514832479 \h </w:instrText>
        </w:r>
        <w:r w:rsidR="007B1EC3">
          <w:rPr>
            <w:noProof/>
            <w:webHidden/>
          </w:rPr>
        </w:r>
        <w:r w:rsidR="007B1EC3">
          <w:rPr>
            <w:noProof/>
            <w:webHidden/>
          </w:rPr>
          <w:fldChar w:fldCharType="separate"/>
        </w:r>
        <w:r w:rsidR="007B1EC3">
          <w:rPr>
            <w:noProof/>
            <w:webHidden/>
          </w:rPr>
          <w:t>4</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480" w:history="1">
        <w:r w:rsidR="007B1EC3" w:rsidRPr="00D903C8">
          <w:rPr>
            <w:rStyle w:val="Hyperlink"/>
            <w:noProof/>
          </w:rPr>
          <w:t>2.2</w:t>
        </w:r>
        <w:r w:rsidR="007B1EC3">
          <w:rPr>
            <w:rFonts w:eastAsiaTheme="minorEastAsia"/>
            <w:b w:val="0"/>
            <w:bCs w:val="0"/>
            <w:noProof/>
            <w:lang w:eastAsia="de-DE"/>
          </w:rPr>
          <w:tab/>
        </w:r>
        <w:r w:rsidR="007B1EC3" w:rsidRPr="00D903C8">
          <w:rPr>
            <w:rStyle w:val="Hyperlink"/>
            <w:noProof/>
          </w:rPr>
          <w:t>Inhalte der Pflicht</w:t>
        </w:r>
        <w:r w:rsidR="007B1EC3">
          <w:rPr>
            <w:noProof/>
            <w:webHidden/>
          </w:rPr>
          <w:tab/>
        </w:r>
        <w:r w:rsidR="007B1EC3">
          <w:rPr>
            <w:noProof/>
            <w:webHidden/>
          </w:rPr>
          <w:fldChar w:fldCharType="begin"/>
        </w:r>
        <w:r w:rsidR="007B1EC3">
          <w:rPr>
            <w:noProof/>
            <w:webHidden/>
          </w:rPr>
          <w:instrText xml:space="preserve"> PAGEREF _Toc514832480 \h </w:instrText>
        </w:r>
        <w:r w:rsidR="007B1EC3">
          <w:rPr>
            <w:noProof/>
            <w:webHidden/>
          </w:rPr>
        </w:r>
        <w:r w:rsidR="007B1EC3">
          <w:rPr>
            <w:noProof/>
            <w:webHidden/>
          </w:rPr>
          <w:fldChar w:fldCharType="separate"/>
        </w:r>
        <w:r w:rsidR="007B1EC3">
          <w:rPr>
            <w:noProof/>
            <w:webHidden/>
          </w:rPr>
          <w:t>4</w:t>
        </w:r>
        <w:r w:rsidR="007B1EC3">
          <w:rPr>
            <w:noProof/>
            <w:webHidden/>
          </w:rPr>
          <w:fldChar w:fldCharType="end"/>
        </w:r>
      </w:hyperlink>
    </w:p>
    <w:p w:rsidR="007B1EC3" w:rsidRDefault="00B006A5" w:rsidP="007B1EC3">
      <w:pPr>
        <w:pStyle w:val="Verzeichnis3"/>
        <w:tabs>
          <w:tab w:val="left" w:pos="1100"/>
          <w:tab w:val="right" w:leader="underscore" w:pos="9062"/>
        </w:tabs>
        <w:spacing w:line="269" w:lineRule="auto"/>
        <w:rPr>
          <w:rFonts w:eastAsiaTheme="minorEastAsia"/>
          <w:noProof/>
          <w:sz w:val="22"/>
          <w:szCs w:val="22"/>
          <w:lang w:eastAsia="de-DE"/>
        </w:rPr>
      </w:pPr>
      <w:hyperlink w:anchor="_Toc514832481" w:history="1">
        <w:r w:rsidR="007B1EC3" w:rsidRPr="00D903C8">
          <w:rPr>
            <w:rStyle w:val="Hyperlink"/>
            <w:noProof/>
          </w:rPr>
          <w:t>2.2.1</w:t>
        </w:r>
        <w:r w:rsidR="007B1EC3">
          <w:rPr>
            <w:rFonts w:eastAsiaTheme="minorEastAsia"/>
            <w:noProof/>
            <w:sz w:val="22"/>
            <w:szCs w:val="22"/>
            <w:lang w:eastAsia="de-DE"/>
          </w:rPr>
          <w:tab/>
        </w:r>
        <w:r w:rsidR="007B1EC3" w:rsidRPr="00D903C8">
          <w:rPr>
            <w:rStyle w:val="Hyperlink"/>
            <w:noProof/>
          </w:rPr>
          <w:t>Geeignetheit der Maßnahmen</w:t>
        </w:r>
        <w:r w:rsidR="007B1EC3">
          <w:rPr>
            <w:noProof/>
            <w:webHidden/>
          </w:rPr>
          <w:tab/>
        </w:r>
        <w:r w:rsidR="007B1EC3">
          <w:rPr>
            <w:noProof/>
            <w:webHidden/>
          </w:rPr>
          <w:fldChar w:fldCharType="begin"/>
        </w:r>
        <w:r w:rsidR="007B1EC3">
          <w:rPr>
            <w:noProof/>
            <w:webHidden/>
          </w:rPr>
          <w:instrText xml:space="preserve"> PAGEREF _Toc514832481 \h </w:instrText>
        </w:r>
        <w:r w:rsidR="007B1EC3">
          <w:rPr>
            <w:noProof/>
            <w:webHidden/>
          </w:rPr>
        </w:r>
        <w:r w:rsidR="007B1EC3">
          <w:rPr>
            <w:noProof/>
            <w:webHidden/>
          </w:rPr>
          <w:fldChar w:fldCharType="separate"/>
        </w:r>
        <w:r w:rsidR="007B1EC3">
          <w:rPr>
            <w:noProof/>
            <w:webHidden/>
          </w:rPr>
          <w:t>5</w:t>
        </w:r>
        <w:r w:rsidR="007B1EC3">
          <w:rPr>
            <w:noProof/>
            <w:webHidden/>
          </w:rPr>
          <w:fldChar w:fldCharType="end"/>
        </w:r>
      </w:hyperlink>
    </w:p>
    <w:p w:rsidR="007B1EC3" w:rsidRDefault="00B006A5" w:rsidP="007B1EC3">
      <w:pPr>
        <w:pStyle w:val="Verzeichnis3"/>
        <w:tabs>
          <w:tab w:val="left" w:pos="1100"/>
          <w:tab w:val="right" w:leader="underscore" w:pos="9062"/>
        </w:tabs>
        <w:spacing w:line="269" w:lineRule="auto"/>
        <w:rPr>
          <w:rFonts w:eastAsiaTheme="minorEastAsia"/>
          <w:noProof/>
          <w:sz w:val="22"/>
          <w:szCs w:val="22"/>
          <w:lang w:eastAsia="de-DE"/>
        </w:rPr>
      </w:pPr>
      <w:hyperlink w:anchor="_Toc514832482" w:history="1">
        <w:r w:rsidR="007B1EC3" w:rsidRPr="00D903C8">
          <w:rPr>
            <w:rStyle w:val="Hyperlink"/>
            <w:noProof/>
          </w:rPr>
          <w:t>2.2.2</w:t>
        </w:r>
        <w:r w:rsidR="007B1EC3">
          <w:rPr>
            <w:rFonts w:eastAsiaTheme="minorEastAsia"/>
            <w:noProof/>
            <w:sz w:val="22"/>
            <w:szCs w:val="22"/>
            <w:lang w:eastAsia="de-DE"/>
          </w:rPr>
          <w:tab/>
        </w:r>
        <w:r w:rsidR="007B1EC3" w:rsidRPr="00D903C8">
          <w:rPr>
            <w:rStyle w:val="Hyperlink"/>
            <w:noProof/>
          </w:rPr>
          <w:t>Zeitpunkt</w:t>
        </w:r>
        <w:r w:rsidR="007B1EC3">
          <w:rPr>
            <w:noProof/>
            <w:webHidden/>
          </w:rPr>
          <w:tab/>
        </w:r>
        <w:r w:rsidR="007B1EC3">
          <w:rPr>
            <w:noProof/>
            <w:webHidden/>
          </w:rPr>
          <w:fldChar w:fldCharType="begin"/>
        </w:r>
        <w:r w:rsidR="007B1EC3">
          <w:rPr>
            <w:noProof/>
            <w:webHidden/>
          </w:rPr>
          <w:instrText xml:space="preserve"> PAGEREF _Toc514832482 \h </w:instrText>
        </w:r>
        <w:r w:rsidR="007B1EC3">
          <w:rPr>
            <w:noProof/>
            <w:webHidden/>
          </w:rPr>
        </w:r>
        <w:r w:rsidR="007B1EC3">
          <w:rPr>
            <w:noProof/>
            <w:webHidden/>
          </w:rPr>
          <w:fldChar w:fldCharType="separate"/>
        </w:r>
        <w:r w:rsidR="007B1EC3">
          <w:rPr>
            <w:noProof/>
            <w:webHidden/>
          </w:rPr>
          <w:t>5</w:t>
        </w:r>
        <w:r w:rsidR="007B1EC3">
          <w:rPr>
            <w:noProof/>
            <w:webHidden/>
          </w:rPr>
          <w:fldChar w:fldCharType="end"/>
        </w:r>
      </w:hyperlink>
    </w:p>
    <w:p w:rsidR="007B1EC3" w:rsidRDefault="00B006A5" w:rsidP="007B1EC3">
      <w:pPr>
        <w:pStyle w:val="Verzeichnis3"/>
        <w:tabs>
          <w:tab w:val="left" w:pos="1100"/>
          <w:tab w:val="right" w:leader="underscore" w:pos="9062"/>
        </w:tabs>
        <w:spacing w:line="269" w:lineRule="auto"/>
        <w:rPr>
          <w:rFonts w:eastAsiaTheme="minorEastAsia"/>
          <w:noProof/>
          <w:sz w:val="22"/>
          <w:szCs w:val="22"/>
          <w:lang w:eastAsia="de-DE"/>
        </w:rPr>
      </w:pPr>
      <w:hyperlink w:anchor="_Toc514832483" w:history="1">
        <w:r w:rsidR="007B1EC3" w:rsidRPr="00D903C8">
          <w:rPr>
            <w:rStyle w:val="Hyperlink"/>
            <w:noProof/>
          </w:rPr>
          <w:t>2.2.3</w:t>
        </w:r>
        <w:r w:rsidR="007B1EC3">
          <w:rPr>
            <w:rFonts w:eastAsiaTheme="minorEastAsia"/>
            <w:noProof/>
            <w:sz w:val="22"/>
            <w:szCs w:val="22"/>
            <w:lang w:eastAsia="de-DE"/>
          </w:rPr>
          <w:tab/>
        </w:r>
        <w:r w:rsidR="007B1EC3" w:rsidRPr="00D903C8">
          <w:rPr>
            <w:rStyle w:val="Hyperlink"/>
            <w:noProof/>
          </w:rPr>
          <w:t>Abwägungskriterien</w:t>
        </w:r>
        <w:r w:rsidR="007B1EC3">
          <w:rPr>
            <w:noProof/>
            <w:webHidden/>
          </w:rPr>
          <w:tab/>
        </w:r>
        <w:r w:rsidR="007B1EC3">
          <w:rPr>
            <w:noProof/>
            <w:webHidden/>
          </w:rPr>
          <w:fldChar w:fldCharType="begin"/>
        </w:r>
        <w:r w:rsidR="007B1EC3">
          <w:rPr>
            <w:noProof/>
            <w:webHidden/>
          </w:rPr>
          <w:instrText xml:space="preserve"> PAGEREF _Toc514832483 \h </w:instrText>
        </w:r>
        <w:r w:rsidR="007B1EC3">
          <w:rPr>
            <w:noProof/>
            <w:webHidden/>
          </w:rPr>
        </w:r>
        <w:r w:rsidR="007B1EC3">
          <w:rPr>
            <w:noProof/>
            <w:webHidden/>
          </w:rPr>
          <w:fldChar w:fldCharType="separate"/>
        </w:r>
        <w:r w:rsidR="007B1EC3">
          <w:rPr>
            <w:noProof/>
            <w:webHidden/>
          </w:rPr>
          <w:t>6</w:t>
        </w:r>
        <w:r w:rsidR="007B1EC3">
          <w:rPr>
            <w:noProof/>
            <w:webHidden/>
          </w:rPr>
          <w:fldChar w:fldCharType="end"/>
        </w:r>
      </w:hyperlink>
    </w:p>
    <w:p w:rsidR="007B1EC3" w:rsidRDefault="00B006A5" w:rsidP="007B1EC3">
      <w:pPr>
        <w:pStyle w:val="Verzeichnis4"/>
        <w:tabs>
          <w:tab w:val="left" w:pos="1540"/>
          <w:tab w:val="right" w:leader="underscore" w:pos="9062"/>
        </w:tabs>
        <w:spacing w:line="269" w:lineRule="auto"/>
        <w:rPr>
          <w:rFonts w:eastAsiaTheme="minorEastAsia"/>
          <w:noProof/>
          <w:sz w:val="22"/>
          <w:szCs w:val="22"/>
          <w:lang w:eastAsia="de-DE"/>
        </w:rPr>
      </w:pPr>
      <w:hyperlink w:anchor="_Toc514832484" w:history="1">
        <w:r w:rsidR="007B1EC3" w:rsidRPr="00D903C8">
          <w:rPr>
            <w:rStyle w:val="Hyperlink"/>
            <w:noProof/>
          </w:rPr>
          <w:t>2.2.3.1</w:t>
        </w:r>
        <w:r w:rsidR="007B1EC3">
          <w:rPr>
            <w:rFonts w:eastAsiaTheme="minorEastAsia"/>
            <w:noProof/>
            <w:sz w:val="22"/>
            <w:szCs w:val="22"/>
            <w:lang w:eastAsia="de-DE"/>
          </w:rPr>
          <w:tab/>
        </w:r>
        <w:r w:rsidR="007B1EC3" w:rsidRPr="00D903C8">
          <w:rPr>
            <w:rStyle w:val="Hyperlink"/>
            <w:noProof/>
          </w:rPr>
          <w:t>Art, Umfang, Umstände und Zwecke der Verarbeitung, Eintrittswahrscheinlichkeit und Schwere der Risiken</w:t>
        </w:r>
        <w:r w:rsidR="007B1EC3">
          <w:rPr>
            <w:noProof/>
            <w:webHidden/>
          </w:rPr>
          <w:tab/>
        </w:r>
        <w:r w:rsidR="007B1EC3">
          <w:rPr>
            <w:noProof/>
            <w:webHidden/>
          </w:rPr>
          <w:fldChar w:fldCharType="begin"/>
        </w:r>
        <w:r w:rsidR="007B1EC3">
          <w:rPr>
            <w:noProof/>
            <w:webHidden/>
          </w:rPr>
          <w:instrText xml:space="preserve"> PAGEREF _Toc514832484 \h </w:instrText>
        </w:r>
        <w:r w:rsidR="007B1EC3">
          <w:rPr>
            <w:noProof/>
            <w:webHidden/>
          </w:rPr>
        </w:r>
        <w:r w:rsidR="007B1EC3">
          <w:rPr>
            <w:noProof/>
            <w:webHidden/>
          </w:rPr>
          <w:fldChar w:fldCharType="separate"/>
        </w:r>
        <w:r w:rsidR="007B1EC3">
          <w:rPr>
            <w:noProof/>
            <w:webHidden/>
          </w:rPr>
          <w:t>6</w:t>
        </w:r>
        <w:r w:rsidR="007B1EC3">
          <w:rPr>
            <w:noProof/>
            <w:webHidden/>
          </w:rPr>
          <w:fldChar w:fldCharType="end"/>
        </w:r>
      </w:hyperlink>
    </w:p>
    <w:p w:rsidR="007B1EC3" w:rsidRDefault="00B006A5" w:rsidP="007B1EC3">
      <w:pPr>
        <w:pStyle w:val="Verzeichnis4"/>
        <w:tabs>
          <w:tab w:val="left" w:pos="1540"/>
          <w:tab w:val="right" w:leader="underscore" w:pos="9062"/>
        </w:tabs>
        <w:spacing w:line="269" w:lineRule="auto"/>
        <w:rPr>
          <w:rFonts w:eastAsiaTheme="minorEastAsia"/>
          <w:noProof/>
          <w:sz w:val="22"/>
          <w:szCs w:val="22"/>
          <w:lang w:eastAsia="de-DE"/>
        </w:rPr>
      </w:pPr>
      <w:hyperlink w:anchor="_Toc514832485" w:history="1">
        <w:r w:rsidR="007B1EC3" w:rsidRPr="00D903C8">
          <w:rPr>
            <w:rStyle w:val="Hyperlink"/>
            <w:noProof/>
          </w:rPr>
          <w:t>2.2.3.2</w:t>
        </w:r>
        <w:r w:rsidR="007B1EC3">
          <w:rPr>
            <w:rFonts w:eastAsiaTheme="minorEastAsia"/>
            <w:noProof/>
            <w:sz w:val="22"/>
            <w:szCs w:val="22"/>
            <w:lang w:eastAsia="de-DE"/>
          </w:rPr>
          <w:tab/>
        </w:r>
        <w:r w:rsidR="007B1EC3" w:rsidRPr="00D903C8">
          <w:rPr>
            <w:rStyle w:val="Hyperlink"/>
            <w:noProof/>
          </w:rPr>
          <w:t>Stand der Technik</w:t>
        </w:r>
        <w:r w:rsidR="007B1EC3">
          <w:rPr>
            <w:noProof/>
            <w:webHidden/>
          </w:rPr>
          <w:tab/>
        </w:r>
        <w:r w:rsidR="007B1EC3">
          <w:rPr>
            <w:noProof/>
            <w:webHidden/>
          </w:rPr>
          <w:fldChar w:fldCharType="begin"/>
        </w:r>
        <w:r w:rsidR="007B1EC3">
          <w:rPr>
            <w:noProof/>
            <w:webHidden/>
          </w:rPr>
          <w:instrText xml:space="preserve"> PAGEREF _Toc514832485 \h </w:instrText>
        </w:r>
        <w:r w:rsidR="007B1EC3">
          <w:rPr>
            <w:noProof/>
            <w:webHidden/>
          </w:rPr>
        </w:r>
        <w:r w:rsidR="007B1EC3">
          <w:rPr>
            <w:noProof/>
            <w:webHidden/>
          </w:rPr>
          <w:fldChar w:fldCharType="separate"/>
        </w:r>
        <w:r w:rsidR="007B1EC3">
          <w:rPr>
            <w:noProof/>
            <w:webHidden/>
          </w:rPr>
          <w:t>8</w:t>
        </w:r>
        <w:r w:rsidR="007B1EC3">
          <w:rPr>
            <w:noProof/>
            <w:webHidden/>
          </w:rPr>
          <w:fldChar w:fldCharType="end"/>
        </w:r>
      </w:hyperlink>
    </w:p>
    <w:p w:rsidR="007B1EC3" w:rsidRDefault="00B006A5" w:rsidP="007B1EC3">
      <w:pPr>
        <w:pStyle w:val="Verzeichnis4"/>
        <w:tabs>
          <w:tab w:val="left" w:pos="1540"/>
          <w:tab w:val="right" w:leader="underscore" w:pos="9062"/>
        </w:tabs>
        <w:spacing w:line="269" w:lineRule="auto"/>
        <w:rPr>
          <w:rFonts w:eastAsiaTheme="minorEastAsia"/>
          <w:noProof/>
          <w:sz w:val="22"/>
          <w:szCs w:val="22"/>
          <w:lang w:eastAsia="de-DE"/>
        </w:rPr>
      </w:pPr>
      <w:hyperlink w:anchor="_Toc514832486" w:history="1">
        <w:r w:rsidR="007B1EC3" w:rsidRPr="00D903C8">
          <w:rPr>
            <w:rStyle w:val="Hyperlink"/>
            <w:noProof/>
          </w:rPr>
          <w:t>2.2.3.3</w:t>
        </w:r>
        <w:r w:rsidR="007B1EC3">
          <w:rPr>
            <w:rFonts w:eastAsiaTheme="minorEastAsia"/>
            <w:noProof/>
            <w:sz w:val="22"/>
            <w:szCs w:val="22"/>
            <w:lang w:eastAsia="de-DE"/>
          </w:rPr>
          <w:tab/>
        </w:r>
        <w:r w:rsidR="007B1EC3" w:rsidRPr="00D903C8">
          <w:rPr>
            <w:rStyle w:val="Hyperlink"/>
            <w:noProof/>
          </w:rPr>
          <w:t>Implementierungskosten</w:t>
        </w:r>
        <w:r w:rsidR="007B1EC3">
          <w:rPr>
            <w:noProof/>
            <w:webHidden/>
          </w:rPr>
          <w:tab/>
        </w:r>
        <w:r w:rsidR="007B1EC3">
          <w:rPr>
            <w:noProof/>
            <w:webHidden/>
          </w:rPr>
          <w:fldChar w:fldCharType="begin"/>
        </w:r>
        <w:r w:rsidR="007B1EC3">
          <w:rPr>
            <w:noProof/>
            <w:webHidden/>
          </w:rPr>
          <w:instrText xml:space="preserve"> PAGEREF _Toc514832486 \h </w:instrText>
        </w:r>
        <w:r w:rsidR="007B1EC3">
          <w:rPr>
            <w:noProof/>
            <w:webHidden/>
          </w:rPr>
        </w:r>
        <w:r w:rsidR="007B1EC3">
          <w:rPr>
            <w:noProof/>
            <w:webHidden/>
          </w:rPr>
          <w:fldChar w:fldCharType="separate"/>
        </w:r>
        <w:r w:rsidR="007B1EC3">
          <w:rPr>
            <w:noProof/>
            <w:webHidden/>
          </w:rPr>
          <w:t>9</w:t>
        </w:r>
        <w:r w:rsidR="007B1EC3">
          <w:rPr>
            <w:noProof/>
            <w:webHidden/>
          </w:rPr>
          <w:fldChar w:fldCharType="end"/>
        </w:r>
      </w:hyperlink>
    </w:p>
    <w:p w:rsidR="007B1EC3" w:rsidRDefault="00B006A5" w:rsidP="007B1EC3">
      <w:pPr>
        <w:pStyle w:val="Verzeichnis3"/>
        <w:tabs>
          <w:tab w:val="left" w:pos="1100"/>
          <w:tab w:val="right" w:leader="underscore" w:pos="9062"/>
        </w:tabs>
        <w:spacing w:line="269" w:lineRule="auto"/>
        <w:rPr>
          <w:rFonts w:eastAsiaTheme="minorEastAsia"/>
          <w:noProof/>
          <w:sz w:val="22"/>
          <w:szCs w:val="22"/>
          <w:lang w:eastAsia="de-DE"/>
        </w:rPr>
      </w:pPr>
      <w:hyperlink w:anchor="_Toc514832487" w:history="1">
        <w:r w:rsidR="007B1EC3" w:rsidRPr="00D903C8">
          <w:rPr>
            <w:rStyle w:val="Hyperlink"/>
            <w:noProof/>
          </w:rPr>
          <w:t>2.2.4</w:t>
        </w:r>
        <w:r w:rsidR="007B1EC3">
          <w:rPr>
            <w:rFonts w:eastAsiaTheme="minorEastAsia"/>
            <w:noProof/>
            <w:sz w:val="22"/>
            <w:szCs w:val="22"/>
            <w:lang w:eastAsia="de-DE"/>
          </w:rPr>
          <w:tab/>
        </w:r>
        <w:r w:rsidR="007B1EC3" w:rsidRPr="00D903C8">
          <w:rPr>
            <w:rStyle w:val="Hyperlink"/>
            <w:noProof/>
          </w:rPr>
          <w:t>Umsetzung der Datenschutzgrundsätze</w:t>
        </w:r>
        <w:r w:rsidR="007B1EC3">
          <w:rPr>
            <w:noProof/>
            <w:webHidden/>
          </w:rPr>
          <w:tab/>
        </w:r>
        <w:r w:rsidR="007B1EC3">
          <w:rPr>
            <w:noProof/>
            <w:webHidden/>
          </w:rPr>
          <w:fldChar w:fldCharType="begin"/>
        </w:r>
        <w:r w:rsidR="007B1EC3">
          <w:rPr>
            <w:noProof/>
            <w:webHidden/>
          </w:rPr>
          <w:instrText xml:space="preserve"> PAGEREF _Toc514832487 \h </w:instrText>
        </w:r>
        <w:r w:rsidR="007B1EC3">
          <w:rPr>
            <w:noProof/>
            <w:webHidden/>
          </w:rPr>
        </w:r>
        <w:r w:rsidR="007B1EC3">
          <w:rPr>
            <w:noProof/>
            <w:webHidden/>
          </w:rPr>
          <w:fldChar w:fldCharType="separate"/>
        </w:r>
        <w:r w:rsidR="007B1EC3">
          <w:rPr>
            <w:noProof/>
            <w:webHidden/>
          </w:rPr>
          <w:t>9</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488" w:history="1">
        <w:r w:rsidR="007B1EC3" w:rsidRPr="00D903C8">
          <w:rPr>
            <w:rStyle w:val="Hyperlink"/>
            <w:noProof/>
          </w:rPr>
          <w:t>2.3</w:t>
        </w:r>
        <w:r w:rsidR="007B1EC3">
          <w:rPr>
            <w:rFonts w:eastAsiaTheme="minorEastAsia"/>
            <w:b w:val="0"/>
            <w:bCs w:val="0"/>
            <w:noProof/>
            <w:lang w:eastAsia="de-DE"/>
          </w:rPr>
          <w:tab/>
        </w:r>
        <w:r w:rsidR="007B1EC3" w:rsidRPr="00D903C8">
          <w:rPr>
            <w:rStyle w:val="Hyperlink"/>
            <w:noProof/>
          </w:rPr>
          <w:t>Weitergehende Anforderungen</w:t>
        </w:r>
        <w:r w:rsidR="007B1EC3">
          <w:rPr>
            <w:noProof/>
            <w:webHidden/>
          </w:rPr>
          <w:tab/>
        </w:r>
        <w:r w:rsidR="007B1EC3">
          <w:rPr>
            <w:noProof/>
            <w:webHidden/>
          </w:rPr>
          <w:fldChar w:fldCharType="begin"/>
        </w:r>
        <w:r w:rsidR="007B1EC3">
          <w:rPr>
            <w:noProof/>
            <w:webHidden/>
          </w:rPr>
          <w:instrText xml:space="preserve"> PAGEREF _Toc514832488 \h </w:instrText>
        </w:r>
        <w:r w:rsidR="007B1EC3">
          <w:rPr>
            <w:noProof/>
            <w:webHidden/>
          </w:rPr>
        </w:r>
        <w:r w:rsidR="007B1EC3">
          <w:rPr>
            <w:noProof/>
            <w:webHidden/>
          </w:rPr>
          <w:fldChar w:fldCharType="separate"/>
        </w:r>
        <w:r w:rsidR="007B1EC3">
          <w:rPr>
            <w:noProof/>
            <w:webHidden/>
          </w:rPr>
          <w:t>10</w:t>
        </w:r>
        <w:r w:rsidR="007B1EC3">
          <w:rPr>
            <w:noProof/>
            <w:webHidden/>
          </w:rPr>
          <w:fldChar w:fldCharType="end"/>
        </w:r>
      </w:hyperlink>
    </w:p>
    <w:p w:rsidR="007B1EC3" w:rsidRDefault="00B006A5" w:rsidP="007B1EC3">
      <w:pPr>
        <w:pStyle w:val="Verzeichnis3"/>
        <w:tabs>
          <w:tab w:val="left" w:pos="1100"/>
          <w:tab w:val="right" w:leader="underscore" w:pos="9062"/>
        </w:tabs>
        <w:spacing w:line="269" w:lineRule="auto"/>
        <w:rPr>
          <w:rFonts w:eastAsiaTheme="minorEastAsia"/>
          <w:noProof/>
          <w:sz w:val="22"/>
          <w:szCs w:val="22"/>
          <w:lang w:eastAsia="de-DE"/>
        </w:rPr>
      </w:pPr>
      <w:hyperlink w:anchor="_Toc514832489" w:history="1">
        <w:r w:rsidR="007B1EC3" w:rsidRPr="00D903C8">
          <w:rPr>
            <w:rStyle w:val="Hyperlink"/>
            <w:noProof/>
          </w:rPr>
          <w:t>2.3.1</w:t>
        </w:r>
        <w:r w:rsidR="007B1EC3">
          <w:rPr>
            <w:rFonts w:eastAsiaTheme="minorEastAsia"/>
            <w:noProof/>
            <w:sz w:val="22"/>
            <w:szCs w:val="22"/>
            <w:lang w:eastAsia="de-DE"/>
          </w:rPr>
          <w:tab/>
        </w:r>
        <w:r w:rsidR="007B1EC3" w:rsidRPr="00D903C8">
          <w:rPr>
            <w:rStyle w:val="Hyperlink"/>
            <w:noProof/>
          </w:rPr>
          <w:t>Garantien des Verantwortlichen: Gewährleistung Betroffenenrechte und Datenschutzkonzept</w:t>
        </w:r>
        <w:r w:rsidR="007B1EC3">
          <w:rPr>
            <w:noProof/>
            <w:webHidden/>
          </w:rPr>
          <w:tab/>
        </w:r>
        <w:r w:rsidR="007B1EC3">
          <w:rPr>
            <w:noProof/>
            <w:webHidden/>
          </w:rPr>
          <w:fldChar w:fldCharType="begin"/>
        </w:r>
        <w:r w:rsidR="007B1EC3">
          <w:rPr>
            <w:noProof/>
            <w:webHidden/>
          </w:rPr>
          <w:instrText xml:space="preserve"> PAGEREF _Toc514832489 \h </w:instrText>
        </w:r>
        <w:r w:rsidR="007B1EC3">
          <w:rPr>
            <w:noProof/>
            <w:webHidden/>
          </w:rPr>
        </w:r>
        <w:r w:rsidR="007B1EC3">
          <w:rPr>
            <w:noProof/>
            <w:webHidden/>
          </w:rPr>
          <w:fldChar w:fldCharType="separate"/>
        </w:r>
        <w:r w:rsidR="007B1EC3">
          <w:rPr>
            <w:noProof/>
            <w:webHidden/>
          </w:rPr>
          <w:t>10</w:t>
        </w:r>
        <w:r w:rsidR="007B1EC3">
          <w:rPr>
            <w:noProof/>
            <w:webHidden/>
          </w:rPr>
          <w:fldChar w:fldCharType="end"/>
        </w:r>
      </w:hyperlink>
    </w:p>
    <w:p w:rsidR="007B1EC3" w:rsidRDefault="00B006A5" w:rsidP="007B1EC3">
      <w:pPr>
        <w:pStyle w:val="Verzeichnis3"/>
        <w:tabs>
          <w:tab w:val="left" w:pos="1100"/>
          <w:tab w:val="right" w:leader="underscore" w:pos="9062"/>
        </w:tabs>
        <w:spacing w:line="269" w:lineRule="auto"/>
        <w:rPr>
          <w:rFonts w:eastAsiaTheme="minorEastAsia"/>
          <w:noProof/>
          <w:sz w:val="22"/>
          <w:szCs w:val="22"/>
          <w:lang w:eastAsia="de-DE"/>
        </w:rPr>
      </w:pPr>
      <w:hyperlink w:anchor="_Toc514832490" w:history="1">
        <w:r w:rsidR="007B1EC3" w:rsidRPr="00D903C8">
          <w:rPr>
            <w:rStyle w:val="Hyperlink"/>
            <w:noProof/>
          </w:rPr>
          <w:t>2.3.2</w:t>
        </w:r>
        <w:r w:rsidR="007B1EC3">
          <w:rPr>
            <w:rFonts w:eastAsiaTheme="minorEastAsia"/>
            <w:noProof/>
            <w:sz w:val="22"/>
            <w:szCs w:val="22"/>
            <w:lang w:eastAsia="de-DE"/>
          </w:rPr>
          <w:tab/>
        </w:r>
        <w:r w:rsidR="007B1EC3" w:rsidRPr="00D903C8">
          <w:rPr>
            <w:rStyle w:val="Hyperlink"/>
            <w:noProof/>
          </w:rPr>
          <w:t>Voreinstellung</w:t>
        </w:r>
        <w:r w:rsidR="007B1EC3">
          <w:rPr>
            <w:noProof/>
            <w:webHidden/>
          </w:rPr>
          <w:tab/>
        </w:r>
        <w:r w:rsidR="007B1EC3">
          <w:rPr>
            <w:noProof/>
            <w:webHidden/>
          </w:rPr>
          <w:fldChar w:fldCharType="begin"/>
        </w:r>
        <w:r w:rsidR="007B1EC3">
          <w:rPr>
            <w:noProof/>
            <w:webHidden/>
          </w:rPr>
          <w:instrText xml:space="preserve"> PAGEREF _Toc514832490 \h </w:instrText>
        </w:r>
        <w:r w:rsidR="007B1EC3">
          <w:rPr>
            <w:noProof/>
            <w:webHidden/>
          </w:rPr>
        </w:r>
        <w:r w:rsidR="007B1EC3">
          <w:rPr>
            <w:noProof/>
            <w:webHidden/>
          </w:rPr>
          <w:fldChar w:fldCharType="separate"/>
        </w:r>
        <w:r w:rsidR="007B1EC3">
          <w:rPr>
            <w:noProof/>
            <w:webHidden/>
          </w:rPr>
          <w:t>10</w:t>
        </w:r>
        <w:r w:rsidR="007B1EC3">
          <w:rPr>
            <w:noProof/>
            <w:webHidden/>
          </w:rPr>
          <w:fldChar w:fldCharType="end"/>
        </w:r>
      </w:hyperlink>
    </w:p>
    <w:p w:rsidR="007B1EC3" w:rsidRDefault="00B006A5" w:rsidP="007B1EC3">
      <w:pPr>
        <w:pStyle w:val="Verzeichnis3"/>
        <w:tabs>
          <w:tab w:val="left" w:pos="1100"/>
          <w:tab w:val="right" w:leader="underscore" w:pos="9062"/>
        </w:tabs>
        <w:spacing w:line="269" w:lineRule="auto"/>
        <w:rPr>
          <w:rFonts w:eastAsiaTheme="minorEastAsia"/>
          <w:noProof/>
          <w:sz w:val="22"/>
          <w:szCs w:val="22"/>
          <w:lang w:eastAsia="de-DE"/>
        </w:rPr>
      </w:pPr>
      <w:hyperlink w:anchor="_Toc514832491" w:history="1">
        <w:r w:rsidR="007B1EC3" w:rsidRPr="00D903C8">
          <w:rPr>
            <w:rStyle w:val="Hyperlink"/>
            <w:noProof/>
          </w:rPr>
          <w:t>2.3.3</w:t>
        </w:r>
        <w:r w:rsidR="007B1EC3">
          <w:rPr>
            <w:rFonts w:eastAsiaTheme="minorEastAsia"/>
            <w:noProof/>
            <w:sz w:val="22"/>
            <w:szCs w:val="22"/>
            <w:lang w:eastAsia="de-DE"/>
          </w:rPr>
          <w:tab/>
        </w:r>
        <w:r w:rsidR="007B1EC3" w:rsidRPr="00D903C8">
          <w:rPr>
            <w:rStyle w:val="Hyperlink"/>
            <w:noProof/>
          </w:rPr>
          <w:t>Genehmigte Zertifizierungsverfahren</w:t>
        </w:r>
        <w:r w:rsidR="007B1EC3">
          <w:rPr>
            <w:noProof/>
            <w:webHidden/>
          </w:rPr>
          <w:tab/>
        </w:r>
        <w:r w:rsidR="007B1EC3">
          <w:rPr>
            <w:noProof/>
            <w:webHidden/>
          </w:rPr>
          <w:fldChar w:fldCharType="begin"/>
        </w:r>
        <w:r w:rsidR="007B1EC3">
          <w:rPr>
            <w:noProof/>
            <w:webHidden/>
          </w:rPr>
          <w:instrText xml:space="preserve"> PAGEREF _Toc514832491 \h </w:instrText>
        </w:r>
        <w:r w:rsidR="007B1EC3">
          <w:rPr>
            <w:noProof/>
            <w:webHidden/>
          </w:rPr>
        </w:r>
        <w:r w:rsidR="007B1EC3">
          <w:rPr>
            <w:noProof/>
            <w:webHidden/>
          </w:rPr>
          <w:fldChar w:fldCharType="separate"/>
        </w:r>
        <w:r w:rsidR="007B1EC3">
          <w:rPr>
            <w:noProof/>
            <w:webHidden/>
          </w:rPr>
          <w:t>11</w:t>
        </w:r>
        <w:r w:rsidR="007B1EC3">
          <w:rPr>
            <w:noProof/>
            <w:webHidden/>
          </w:rPr>
          <w:fldChar w:fldCharType="end"/>
        </w:r>
      </w:hyperlink>
    </w:p>
    <w:p w:rsidR="007B1EC3" w:rsidRDefault="00B006A5" w:rsidP="007B1EC3">
      <w:pPr>
        <w:pStyle w:val="Verzeichnis3"/>
        <w:tabs>
          <w:tab w:val="left" w:pos="1100"/>
          <w:tab w:val="right" w:leader="underscore" w:pos="9062"/>
        </w:tabs>
        <w:spacing w:line="269" w:lineRule="auto"/>
        <w:rPr>
          <w:rFonts w:eastAsiaTheme="minorEastAsia"/>
          <w:noProof/>
          <w:sz w:val="22"/>
          <w:szCs w:val="22"/>
          <w:lang w:eastAsia="de-DE"/>
        </w:rPr>
      </w:pPr>
      <w:hyperlink w:anchor="_Toc514832492" w:history="1">
        <w:r w:rsidR="007B1EC3" w:rsidRPr="00D903C8">
          <w:rPr>
            <w:rStyle w:val="Hyperlink"/>
            <w:noProof/>
          </w:rPr>
          <w:t>2.3.4</w:t>
        </w:r>
        <w:r w:rsidR="007B1EC3">
          <w:rPr>
            <w:rFonts w:eastAsiaTheme="minorEastAsia"/>
            <w:noProof/>
            <w:sz w:val="22"/>
            <w:szCs w:val="22"/>
            <w:lang w:eastAsia="de-DE"/>
          </w:rPr>
          <w:tab/>
        </w:r>
        <w:r w:rsidR="007B1EC3" w:rsidRPr="00D903C8">
          <w:rPr>
            <w:rStyle w:val="Hyperlink"/>
            <w:noProof/>
          </w:rPr>
          <w:t>Verhaltensregeln gem. Art. 40 DS-GVO</w:t>
        </w:r>
        <w:r w:rsidR="007B1EC3">
          <w:rPr>
            <w:noProof/>
            <w:webHidden/>
          </w:rPr>
          <w:tab/>
        </w:r>
        <w:r w:rsidR="007B1EC3">
          <w:rPr>
            <w:noProof/>
            <w:webHidden/>
          </w:rPr>
          <w:fldChar w:fldCharType="begin"/>
        </w:r>
        <w:r w:rsidR="007B1EC3">
          <w:rPr>
            <w:noProof/>
            <w:webHidden/>
          </w:rPr>
          <w:instrText xml:space="preserve"> PAGEREF _Toc514832492 \h </w:instrText>
        </w:r>
        <w:r w:rsidR="007B1EC3">
          <w:rPr>
            <w:noProof/>
            <w:webHidden/>
          </w:rPr>
        </w:r>
        <w:r w:rsidR="007B1EC3">
          <w:rPr>
            <w:noProof/>
            <w:webHidden/>
          </w:rPr>
          <w:fldChar w:fldCharType="separate"/>
        </w:r>
        <w:r w:rsidR="007B1EC3">
          <w:rPr>
            <w:noProof/>
            <w:webHidden/>
          </w:rPr>
          <w:t>11</w:t>
        </w:r>
        <w:r w:rsidR="007B1EC3">
          <w:rPr>
            <w:noProof/>
            <w:webHidden/>
          </w:rPr>
          <w:fldChar w:fldCharType="end"/>
        </w:r>
      </w:hyperlink>
    </w:p>
    <w:p w:rsidR="007B1EC3" w:rsidRDefault="00B006A5" w:rsidP="007B1EC3">
      <w:pPr>
        <w:pStyle w:val="Verzeichnis3"/>
        <w:tabs>
          <w:tab w:val="left" w:pos="1100"/>
          <w:tab w:val="right" w:leader="underscore" w:pos="9062"/>
        </w:tabs>
        <w:spacing w:line="269" w:lineRule="auto"/>
        <w:rPr>
          <w:rFonts w:eastAsiaTheme="minorEastAsia"/>
          <w:noProof/>
          <w:sz w:val="22"/>
          <w:szCs w:val="22"/>
          <w:lang w:eastAsia="de-DE"/>
        </w:rPr>
      </w:pPr>
      <w:hyperlink w:anchor="_Toc514832493" w:history="1">
        <w:r w:rsidR="007B1EC3" w:rsidRPr="00D903C8">
          <w:rPr>
            <w:rStyle w:val="Hyperlink"/>
            <w:noProof/>
          </w:rPr>
          <w:t>2.3.5</w:t>
        </w:r>
        <w:r w:rsidR="007B1EC3">
          <w:rPr>
            <w:rFonts w:eastAsiaTheme="minorEastAsia"/>
            <w:noProof/>
            <w:sz w:val="22"/>
            <w:szCs w:val="22"/>
            <w:lang w:eastAsia="de-DE"/>
          </w:rPr>
          <w:tab/>
        </w:r>
        <w:r w:rsidR="007B1EC3" w:rsidRPr="00D903C8">
          <w:rPr>
            <w:rStyle w:val="Hyperlink"/>
            <w:noProof/>
          </w:rPr>
          <w:t>Binding Corporate Rules</w:t>
        </w:r>
        <w:r w:rsidR="007B1EC3">
          <w:rPr>
            <w:noProof/>
            <w:webHidden/>
          </w:rPr>
          <w:tab/>
        </w:r>
        <w:r w:rsidR="007B1EC3">
          <w:rPr>
            <w:noProof/>
            <w:webHidden/>
          </w:rPr>
          <w:fldChar w:fldCharType="begin"/>
        </w:r>
        <w:r w:rsidR="007B1EC3">
          <w:rPr>
            <w:noProof/>
            <w:webHidden/>
          </w:rPr>
          <w:instrText xml:space="preserve"> PAGEREF _Toc514832493 \h </w:instrText>
        </w:r>
        <w:r w:rsidR="007B1EC3">
          <w:rPr>
            <w:noProof/>
            <w:webHidden/>
          </w:rPr>
        </w:r>
        <w:r w:rsidR="007B1EC3">
          <w:rPr>
            <w:noProof/>
            <w:webHidden/>
          </w:rPr>
          <w:fldChar w:fldCharType="separate"/>
        </w:r>
        <w:r w:rsidR="007B1EC3">
          <w:rPr>
            <w:noProof/>
            <w:webHidden/>
          </w:rPr>
          <w:t>11</w:t>
        </w:r>
        <w:r w:rsidR="007B1EC3">
          <w:rPr>
            <w:noProof/>
            <w:webHidden/>
          </w:rPr>
          <w:fldChar w:fldCharType="end"/>
        </w:r>
      </w:hyperlink>
    </w:p>
    <w:p w:rsidR="007B1EC3" w:rsidRDefault="00B006A5" w:rsidP="007B1EC3">
      <w:pPr>
        <w:pStyle w:val="Verzeichnis3"/>
        <w:tabs>
          <w:tab w:val="left" w:pos="1100"/>
          <w:tab w:val="right" w:leader="underscore" w:pos="9062"/>
        </w:tabs>
        <w:spacing w:line="269" w:lineRule="auto"/>
        <w:rPr>
          <w:rFonts w:eastAsiaTheme="minorEastAsia"/>
          <w:noProof/>
          <w:sz w:val="22"/>
          <w:szCs w:val="22"/>
          <w:lang w:eastAsia="de-DE"/>
        </w:rPr>
      </w:pPr>
      <w:hyperlink w:anchor="_Toc514832494" w:history="1">
        <w:r w:rsidR="007B1EC3" w:rsidRPr="00D903C8">
          <w:rPr>
            <w:rStyle w:val="Hyperlink"/>
            <w:noProof/>
          </w:rPr>
          <w:t>2.3.6</w:t>
        </w:r>
        <w:r w:rsidR="007B1EC3">
          <w:rPr>
            <w:rFonts w:eastAsiaTheme="minorEastAsia"/>
            <w:noProof/>
            <w:sz w:val="22"/>
            <w:szCs w:val="22"/>
            <w:lang w:eastAsia="de-DE"/>
          </w:rPr>
          <w:tab/>
        </w:r>
        <w:r w:rsidR="007B1EC3" w:rsidRPr="00D903C8">
          <w:rPr>
            <w:rStyle w:val="Hyperlink"/>
            <w:noProof/>
          </w:rPr>
          <w:t>Berücksichtigung bei öffentlichen Ausschreibungen</w:t>
        </w:r>
        <w:r w:rsidR="007B1EC3">
          <w:rPr>
            <w:noProof/>
            <w:webHidden/>
          </w:rPr>
          <w:tab/>
        </w:r>
        <w:r w:rsidR="007B1EC3">
          <w:rPr>
            <w:noProof/>
            <w:webHidden/>
          </w:rPr>
          <w:fldChar w:fldCharType="begin"/>
        </w:r>
        <w:r w:rsidR="007B1EC3">
          <w:rPr>
            <w:noProof/>
            <w:webHidden/>
          </w:rPr>
          <w:instrText xml:space="preserve"> PAGEREF _Toc514832494 \h </w:instrText>
        </w:r>
        <w:r w:rsidR="007B1EC3">
          <w:rPr>
            <w:noProof/>
            <w:webHidden/>
          </w:rPr>
        </w:r>
        <w:r w:rsidR="007B1EC3">
          <w:rPr>
            <w:noProof/>
            <w:webHidden/>
          </w:rPr>
          <w:fldChar w:fldCharType="separate"/>
        </w:r>
        <w:r w:rsidR="007B1EC3">
          <w:rPr>
            <w:noProof/>
            <w:webHidden/>
          </w:rPr>
          <w:t>11</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495" w:history="1">
        <w:r w:rsidR="007B1EC3" w:rsidRPr="00D903C8">
          <w:rPr>
            <w:rStyle w:val="Hyperlink"/>
            <w:noProof/>
          </w:rPr>
          <w:t>2.4</w:t>
        </w:r>
        <w:r w:rsidR="007B1EC3">
          <w:rPr>
            <w:rFonts w:eastAsiaTheme="minorEastAsia"/>
            <w:b w:val="0"/>
            <w:bCs w:val="0"/>
            <w:noProof/>
            <w:lang w:eastAsia="de-DE"/>
          </w:rPr>
          <w:tab/>
        </w:r>
        <w:r w:rsidR="007B1EC3" w:rsidRPr="00D903C8">
          <w:rPr>
            <w:rStyle w:val="Hyperlink"/>
            <w:noProof/>
          </w:rPr>
          <w:t>Sanktionierung</w:t>
        </w:r>
        <w:r w:rsidR="007B1EC3">
          <w:rPr>
            <w:noProof/>
            <w:webHidden/>
          </w:rPr>
          <w:tab/>
        </w:r>
        <w:r w:rsidR="007B1EC3">
          <w:rPr>
            <w:noProof/>
            <w:webHidden/>
          </w:rPr>
          <w:fldChar w:fldCharType="begin"/>
        </w:r>
        <w:r w:rsidR="007B1EC3">
          <w:rPr>
            <w:noProof/>
            <w:webHidden/>
          </w:rPr>
          <w:instrText xml:space="preserve"> PAGEREF _Toc514832495 \h </w:instrText>
        </w:r>
        <w:r w:rsidR="007B1EC3">
          <w:rPr>
            <w:noProof/>
            <w:webHidden/>
          </w:rPr>
        </w:r>
        <w:r w:rsidR="007B1EC3">
          <w:rPr>
            <w:noProof/>
            <w:webHidden/>
          </w:rPr>
          <w:fldChar w:fldCharType="separate"/>
        </w:r>
        <w:r w:rsidR="007B1EC3">
          <w:rPr>
            <w:noProof/>
            <w:webHidden/>
          </w:rPr>
          <w:t>11</w:t>
        </w:r>
        <w:r w:rsidR="007B1EC3">
          <w:rPr>
            <w:noProof/>
            <w:webHidden/>
          </w:rPr>
          <w:fldChar w:fldCharType="end"/>
        </w:r>
      </w:hyperlink>
    </w:p>
    <w:p w:rsidR="007B1EC3" w:rsidRDefault="00B006A5" w:rsidP="007B1EC3">
      <w:pPr>
        <w:pStyle w:val="Verzeichnis1"/>
        <w:tabs>
          <w:tab w:val="left" w:pos="440"/>
          <w:tab w:val="right" w:leader="underscore" w:pos="9062"/>
        </w:tabs>
        <w:spacing w:line="269" w:lineRule="auto"/>
        <w:rPr>
          <w:rFonts w:eastAsiaTheme="minorEastAsia"/>
          <w:b w:val="0"/>
          <w:bCs w:val="0"/>
          <w:iCs w:val="0"/>
          <w:noProof/>
          <w:sz w:val="22"/>
          <w:szCs w:val="22"/>
          <w:lang w:eastAsia="de-DE"/>
        </w:rPr>
      </w:pPr>
      <w:hyperlink w:anchor="_Toc514832496" w:history="1">
        <w:r w:rsidR="007B1EC3" w:rsidRPr="00D903C8">
          <w:rPr>
            <w:rStyle w:val="Hyperlink"/>
            <w:noProof/>
          </w:rPr>
          <w:t>3</w:t>
        </w:r>
        <w:r w:rsidR="007B1EC3">
          <w:rPr>
            <w:rFonts w:eastAsiaTheme="minorEastAsia"/>
            <w:b w:val="0"/>
            <w:bCs w:val="0"/>
            <w:iCs w:val="0"/>
            <w:noProof/>
            <w:sz w:val="22"/>
            <w:szCs w:val="22"/>
            <w:lang w:eastAsia="de-DE"/>
          </w:rPr>
          <w:tab/>
        </w:r>
        <w:r w:rsidR="007B1EC3" w:rsidRPr="00D903C8">
          <w:rPr>
            <w:rStyle w:val="Hyperlink"/>
            <w:noProof/>
          </w:rPr>
          <w:t>Privacy by Design: Eine mögliche Vorgehensweise</w:t>
        </w:r>
        <w:r w:rsidR="007B1EC3">
          <w:rPr>
            <w:noProof/>
            <w:webHidden/>
          </w:rPr>
          <w:tab/>
        </w:r>
        <w:r w:rsidR="007B1EC3">
          <w:rPr>
            <w:noProof/>
            <w:webHidden/>
          </w:rPr>
          <w:fldChar w:fldCharType="begin"/>
        </w:r>
        <w:r w:rsidR="007B1EC3">
          <w:rPr>
            <w:noProof/>
            <w:webHidden/>
          </w:rPr>
          <w:instrText xml:space="preserve"> PAGEREF _Toc514832496 \h </w:instrText>
        </w:r>
        <w:r w:rsidR="007B1EC3">
          <w:rPr>
            <w:noProof/>
            <w:webHidden/>
          </w:rPr>
        </w:r>
        <w:r w:rsidR="007B1EC3">
          <w:rPr>
            <w:noProof/>
            <w:webHidden/>
          </w:rPr>
          <w:fldChar w:fldCharType="separate"/>
        </w:r>
        <w:r w:rsidR="007B1EC3">
          <w:rPr>
            <w:noProof/>
            <w:webHidden/>
          </w:rPr>
          <w:t>14</w:t>
        </w:r>
        <w:r w:rsidR="007B1EC3">
          <w:rPr>
            <w:noProof/>
            <w:webHidden/>
          </w:rPr>
          <w:fldChar w:fldCharType="end"/>
        </w:r>
      </w:hyperlink>
    </w:p>
    <w:p w:rsidR="007B1EC3" w:rsidRDefault="00B006A5" w:rsidP="007B1EC3">
      <w:pPr>
        <w:pStyle w:val="Verzeichnis1"/>
        <w:tabs>
          <w:tab w:val="left" w:pos="440"/>
          <w:tab w:val="right" w:leader="underscore" w:pos="9062"/>
        </w:tabs>
        <w:spacing w:line="269" w:lineRule="auto"/>
        <w:rPr>
          <w:rFonts w:eastAsiaTheme="minorEastAsia"/>
          <w:b w:val="0"/>
          <w:bCs w:val="0"/>
          <w:iCs w:val="0"/>
          <w:noProof/>
          <w:sz w:val="22"/>
          <w:szCs w:val="22"/>
          <w:lang w:eastAsia="de-DE"/>
        </w:rPr>
      </w:pPr>
      <w:hyperlink w:anchor="_Toc514832497" w:history="1">
        <w:r w:rsidR="007B1EC3" w:rsidRPr="00D903C8">
          <w:rPr>
            <w:rStyle w:val="Hyperlink"/>
            <w:noProof/>
          </w:rPr>
          <w:t>4</w:t>
        </w:r>
        <w:r w:rsidR="007B1EC3">
          <w:rPr>
            <w:rFonts w:eastAsiaTheme="minorEastAsia"/>
            <w:b w:val="0"/>
            <w:bCs w:val="0"/>
            <w:iCs w:val="0"/>
            <w:noProof/>
            <w:sz w:val="22"/>
            <w:szCs w:val="22"/>
            <w:lang w:eastAsia="de-DE"/>
          </w:rPr>
          <w:tab/>
        </w:r>
        <w:r w:rsidR="007B1EC3" w:rsidRPr="00D903C8">
          <w:rPr>
            <w:rStyle w:val="Hyperlink"/>
            <w:noProof/>
          </w:rPr>
          <w:t>Rechenschaftspflicht und Dokumentation</w:t>
        </w:r>
        <w:r w:rsidR="007B1EC3">
          <w:rPr>
            <w:noProof/>
            <w:webHidden/>
          </w:rPr>
          <w:tab/>
        </w:r>
        <w:r w:rsidR="007B1EC3">
          <w:rPr>
            <w:noProof/>
            <w:webHidden/>
          </w:rPr>
          <w:fldChar w:fldCharType="begin"/>
        </w:r>
        <w:r w:rsidR="007B1EC3">
          <w:rPr>
            <w:noProof/>
            <w:webHidden/>
          </w:rPr>
          <w:instrText xml:space="preserve"> PAGEREF _Toc514832497 \h </w:instrText>
        </w:r>
        <w:r w:rsidR="007B1EC3">
          <w:rPr>
            <w:noProof/>
            <w:webHidden/>
          </w:rPr>
        </w:r>
        <w:r w:rsidR="007B1EC3">
          <w:rPr>
            <w:noProof/>
            <w:webHidden/>
          </w:rPr>
          <w:fldChar w:fldCharType="separate"/>
        </w:r>
        <w:r w:rsidR="007B1EC3">
          <w:rPr>
            <w:noProof/>
            <w:webHidden/>
          </w:rPr>
          <w:t>14</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498" w:history="1">
        <w:r w:rsidR="007B1EC3" w:rsidRPr="00D903C8">
          <w:rPr>
            <w:rStyle w:val="Hyperlink"/>
            <w:noProof/>
          </w:rPr>
          <w:t>4.1</w:t>
        </w:r>
        <w:r w:rsidR="007B1EC3">
          <w:rPr>
            <w:rFonts w:eastAsiaTheme="minorEastAsia"/>
            <w:b w:val="0"/>
            <w:bCs w:val="0"/>
            <w:noProof/>
            <w:lang w:eastAsia="de-DE"/>
          </w:rPr>
          <w:tab/>
        </w:r>
        <w:r w:rsidR="007B1EC3" w:rsidRPr="00D903C8">
          <w:rPr>
            <w:rStyle w:val="Hyperlink"/>
            <w:noProof/>
          </w:rPr>
          <w:t>Was mindestens dokumentiert werden sollte</w:t>
        </w:r>
        <w:r w:rsidR="007B1EC3">
          <w:rPr>
            <w:noProof/>
            <w:webHidden/>
          </w:rPr>
          <w:tab/>
        </w:r>
        <w:r w:rsidR="007B1EC3">
          <w:rPr>
            <w:noProof/>
            <w:webHidden/>
          </w:rPr>
          <w:fldChar w:fldCharType="begin"/>
        </w:r>
        <w:r w:rsidR="007B1EC3">
          <w:rPr>
            <w:noProof/>
            <w:webHidden/>
          </w:rPr>
          <w:instrText xml:space="preserve"> PAGEREF _Toc514832498 \h </w:instrText>
        </w:r>
        <w:r w:rsidR="007B1EC3">
          <w:rPr>
            <w:noProof/>
            <w:webHidden/>
          </w:rPr>
        </w:r>
        <w:r w:rsidR="007B1EC3">
          <w:rPr>
            <w:noProof/>
            <w:webHidden/>
          </w:rPr>
          <w:fldChar w:fldCharType="separate"/>
        </w:r>
        <w:r w:rsidR="007B1EC3">
          <w:rPr>
            <w:noProof/>
            <w:webHidden/>
          </w:rPr>
          <w:t>14</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499" w:history="1">
        <w:r w:rsidR="007B1EC3" w:rsidRPr="00D903C8">
          <w:rPr>
            <w:rStyle w:val="Hyperlink"/>
            <w:noProof/>
          </w:rPr>
          <w:t>4.2</w:t>
        </w:r>
        <w:r w:rsidR="007B1EC3">
          <w:rPr>
            <w:rFonts w:eastAsiaTheme="minorEastAsia"/>
            <w:b w:val="0"/>
            <w:bCs w:val="0"/>
            <w:noProof/>
            <w:lang w:eastAsia="de-DE"/>
          </w:rPr>
          <w:tab/>
        </w:r>
        <w:r w:rsidR="007B1EC3" w:rsidRPr="00D903C8">
          <w:rPr>
            <w:rStyle w:val="Hyperlink"/>
            <w:noProof/>
          </w:rPr>
          <w:t>Welche Fragen muss die Dokumentation mindestens beantworten?</w:t>
        </w:r>
        <w:r w:rsidR="007B1EC3">
          <w:rPr>
            <w:noProof/>
            <w:webHidden/>
          </w:rPr>
          <w:tab/>
        </w:r>
        <w:r w:rsidR="007B1EC3">
          <w:rPr>
            <w:noProof/>
            <w:webHidden/>
          </w:rPr>
          <w:fldChar w:fldCharType="begin"/>
        </w:r>
        <w:r w:rsidR="007B1EC3">
          <w:rPr>
            <w:noProof/>
            <w:webHidden/>
          </w:rPr>
          <w:instrText xml:space="preserve"> PAGEREF _Toc514832499 \h </w:instrText>
        </w:r>
        <w:r w:rsidR="007B1EC3">
          <w:rPr>
            <w:noProof/>
            <w:webHidden/>
          </w:rPr>
        </w:r>
        <w:r w:rsidR="007B1EC3">
          <w:rPr>
            <w:noProof/>
            <w:webHidden/>
          </w:rPr>
          <w:fldChar w:fldCharType="separate"/>
        </w:r>
        <w:r w:rsidR="007B1EC3">
          <w:rPr>
            <w:noProof/>
            <w:webHidden/>
          </w:rPr>
          <w:t>17</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500" w:history="1">
        <w:r w:rsidR="007B1EC3" w:rsidRPr="00D903C8">
          <w:rPr>
            <w:rStyle w:val="Hyperlink"/>
            <w:noProof/>
          </w:rPr>
          <w:t>4.3</w:t>
        </w:r>
        <w:r w:rsidR="007B1EC3">
          <w:rPr>
            <w:rFonts w:eastAsiaTheme="minorEastAsia"/>
            <w:b w:val="0"/>
            <w:bCs w:val="0"/>
            <w:noProof/>
            <w:lang w:eastAsia="de-DE"/>
          </w:rPr>
          <w:tab/>
        </w:r>
        <w:r w:rsidR="007B1EC3" w:rsidRPr="00D903C8">
          <w:rPr>
            <w:rStyle w:val="Hyperlink"/>
            <w:noProof/>
          </w:rPr>
          <w:t>Was wird wo dokumentiert?</w:t>
        </w:r>
        <w:r w:rsidR="007B1EC3">
          <w:rPr>
            <w:noProof/>
            <w:webHidden/>
          </w:rPr>
          <w:tab/>
        </w:r>
        <w:r w:rsidR="007B1EC3">
          <w:rPr>
            <w:noProof/>
            <w:webHidden/>
          </w:rPr>
          <w:fldChar w:fldCharType="begin"/>
        </w:r>
        <w:r w:rsidR="007B1EC3">
          <w:rPr>
            <w:noProof/>
            <w:webHidden/>
          </w:rPr>
          <w:instrText xml:space="preserve"> PAGEREF _Toc514832500 \h </w:instrText>
        </w:r>
        <w:r w:rsidR="007B1EC3">
          <w:rPr>
            <w:noProof/>
            <w:webHidden/>
          </w:rPr>
        </w:r>
        <w:r w:rsidR="007B1EC3">
          <w:rPr>
            <w:noProof/>
            <w:webHidden/>
          </w:rPr>
          <w:fldChar w:fldCharType="separate"/>
        </w:r>
        <w:r w:rsidR="007B1EC3">
          <w:rPr>
            <w:noProof/>
            <w:webHidden/>
          </w:rPr>
          <w:t>19</w:t>
        </w:r>
        <w:r w:rsidR="007B1EC3">
          <w:rPr>
            <w:noProof/>
            <w:webHidden/>
          </w:rPr>
          <w:fldChar w:fldCharType="end"/>
        </w:r>
      </w:hyperlink>
    </w:p>
    <w:p w:rsidR="007B1EC3" w:rsidRDefault="00B006A5" w:rsidP="007B1EC3">
      <w:pPr>
        <w:pStyle w:val="Verzeichnis1"/>
        <w:tabs>
          <w:tab w:val="left" w:pos="440"/>
          <w:tab w:val="right" w:leader="underscore" w:pos="9062"/>
        </w:tabs>
        <w:spacing w:line="269" w:lineRule="auto"/>
        <w:rPr>
          <w:rFonts w:eastAsiaTheme="minorEastAsia"/>
          <w:b w:val="0"/>
          <w:bCs w:val="0"/>
          <w:iCs w:val="0"/>
          <w:noProof/>
          <w:sz w:val="22"/>
          <w:szCs w:val="22"/>
          <w:lang w:eastAsia="de-DE"/>
        </w:rPr>
      </w:pPr>
      <w:hyperlink w:anchor="_Toc514832501" w:history="1">
        <w:r w:rsidR="007B1EC3" w:rsidRPr="00D903C8">
          <w:rPr>
            <w:rStyle w:val="Hyperlink"/>
            <w:noProof/>
          </w:rPr>
          <w:t>5</w:t>
        </w:r>
        <w:r w:rsidR="007B1EC3">
          <w:rPr>
            <w:rFonts w:eastAsiaTheme="minorEastAsia"/>
            <w:b w:val="0"/>
            <w:bCs w:val="0"/>
            <w:iCs w:val="0"/>
            <w:noProof/>
            <w:sz w:val="22"/>
            <w:szCs w:val="22"/>
            <w:lang w:eastAsia="de-DE"/>
          </w:rPr>
          <w:tab/>
        </w:r>
        <w:r w:rsidR="007B1EC3" w:rsidRPr="00D903C8">
          <w:rPr>
            <w:rStyle w:val="Hyperlink"/>
            <w:noProof/>
          </w:rPr>
          <w:t>Checkliste</w:t>
        </w:r>
        <w:r w:rsidR="007B1EC3">
          <w:rPr>
            <w:noProof/>
            <w:webHidden/>
          </w:rPr>
          <w:tab/>
        </w:r>
        <w:r w:rsidR="007B1EC3">
          <w:rPr>
            <w:noProof/>
            <w:webHidden/>
          </w:rPr>
          <w:fldChar w:fldCharType="begin"/>
        </w:r>
        <w:r w:rsidR="007B1EC3">
          <w:rPr>
            <w:noProof/>
            <w:webHidden/>
          </w:rPr>
          <w:instrText xml:space="preserve"> PAGEREF _Toc514832501 \h </w:instrText>
        </w:r>
        <w:r w:rsidR="007B1EC3">
          <w:rPr>
            <w:noProof/>
            <w:webHidden/>
          </w:rPr>
        </w:r>
        <w:r w:rsidR="007B1EC3">
          <w:rPr>
            <w:noProof/>
            <w:webHidden/>
          </w:rPr>
          <w:fldChar w:fldCharType="separate"/>
        </w:r>
        <w:r w:rsidR="007B1EC3">
          <w:rPr>
            <w:noProof/>
            <w:webHidden/>
          </w:rPr>
          <w:t>20</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502" w:history="1">
        <w:r w:rsidR="007B1EC3" w:rsidRPr="00D903C8">
          <w:rPr>
            <w:rStyle w:val="Hyperlink"/>
            <w:noProof/>
          </w:rPr>
          <w:t>5.1</w:t>
        </w:r>
        <w:r w:rsidR="007B1EC3">
          <w:rPr>
            <w:rFonts w:eastAsiaTheme="minorEastAsia"/>
            <w:b w:val="0"/>
            <w:bCs w:val="0"/>
            <w:noProof/>
            <w:lang w:eastAsia="de-DE"/>
          </w:rPr>
          <w:tab/>
        </w:r>
        <w:r w:rsidR="007B1EC3" w:rsidRPr="00D903C8">
          <w:rPr>
            <w:rStyle w:val="Hyperlink"/>
            <w:noProof/>
          </w:rPr>
          <w:t>Datenschutz durch Technikgestaltung (Privacy by Design)</w:t>
        </w:r>
        <w:r w:rsidR="007B1EC3">
          <w:rPr>
            <w:noProof/>
            <w:webHidden/>
          </w:rPr>
          <w:tab/>
        </w:r>
        <w:r w:rsidR="007B1EC3">
          <w:rPr>
            <w:noProof/>
            <w:webHidden/>
          </w:rPr>
          <w:fldChar w:fldCharType="begin"/>
        </w:r>
        <w:r w:rsidR="007B1EC3">
          <w:rPr>
            <w:noProof/>
            <w:webHidden/>
          </w:rPr>
          <w:instrText xml:space="preserve"> PAGEREF _Toc514832502 \h </w:instrText>
        </w:r>
        <w:r w:rsidR="007B1EC3">
          <w:rPr>
            <w:noProof/>
            <w:webHidden/>
          </w:rPr>
        </w:r>
        <w:r w:rsidR="007B1EC3">
          <w:rPr>
            <w:noProof/>
            <w:webHidden/>
          </w:rPr>
          <w:fldChar w:fldCharType="separate"/>
        </w:r>
        <w:r w:rsidR="007B1EC3">
          <w:rPr>
            <w:noProof/>
            <w:webHidden/>
          </w:rPr>
          <w:t>20</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503" w:history="1">
        <w:r w:rsidR="007B1EC3" w:rsidRPr="00D903C8">
          <w:rPr>
            <w:rStyle w:val="Hyperlink"/>
            <w:noProof/>
          </w:rPr>
          <w:t>5.2</w:t>
        </w:r>
        <w:r w:rsidR="007B1EC3">
          <w:rPr>
            <w:rFonts w:eastAsiaTheme="minorEastAsia"/>
            <w:b w:val="0"/>
            <w:bCs w:val="0"/>
            <w:noProof/>
            <w:lang w:eastAsia="de-DE"/>
          </w:rPr>
          <w:tab/>
        </w:r>
        <w:r w:rsidR="007B1EC3" w:rsidRPr="00D903C8">
          <w:rPr>
            <w:rStyle w:val="Hyperlink"/>
            <w:noProof/>
          </w:rPr>
          <w:t>Datenschutz durch datenschutzfreundliche Voreinstellungen (Privacy by Default)</w:t>
        </w:r>
        <w:r w:rsidR="007B1EC3">
          <w:rPr>
            <w:noProof/>
            <w:webHidden/>
          </w:rPr>
          <w:tab/>
        </w:r>
        <w:r w:rsidR="007B1EC3">
          <w:rPr>
            <w:noProof/>
            <w:webHidden/>
          </w:rPr>
          <w:fldChar w:fldCharType="begin"/>
        </w:r>
        <w:r w:rsidR="007B1EC3">
          <w:rPr>
            <w:noProof/>
            <w:webHidden/>
          </w:rPr>
          <w:instrText xml:space="preserve"> PAGEREF _Toc514832503 \h </w:instrText>
        </w:r>
        <w:r w:rsidR="007B1EC3">
          <w:rPr>
            <w:noProof/>
            <w:webHidden/>
          </w:rPr>
        </w:r>
        <w:r w:rsidR="007B1EC3">
          <w:rPr>
            <w:noProof/>
            <w:webHidden/>
          </w:rPr>
          <w:fldChar w:fldCharType="separate"/>
        </w:r>
        <w:r w:rsidR="007B1EC3">
          <w:rPr>
            <w:noProof/>
            <w:webHidden/>
          </w:rPr>
          <w:t>20</w:t>
        </w:r>
        <w:r w:rsidR="007B1EC3">
          <w:rPr>
            <w:noProof/>
            <w:webHidden/>
          </w:rPr>
          <w:fldChar w:fldCharType="end"/>
        </w:r>
      </w:hyperlink>
    </w:p>
    <w:p w:rsidR="007B1EC3" w:rsidRDefault="00B006A5" w:rsidP="007B1EC3">
      <w:pPr>
        <w:pStyle w:val="Verzeichnis1"/>
        <w:tabs>
          <w:tab w:val="left" w:pos="440"/>
          <w:tab w:val="right" w:leader="underscore" w:pos="9062"/>
        </w:tabs>
        <w:spacing w:line="269" w:lineRule="auto"/>
        <w:rPr>
          <w:rFonts w:eastAsiaTheme="minorEastAsia"/>
          <w:b w:val="0"/>
          <w:bCs w:val="0"/>
          <w:iCs w:val="0"/>
          <w:noProof/>
          <w:sz w:val="22"/>
          <w:szCs w:val="22"/>
          <w:lang w:eastAsia="de-DE"/>
        </w:rPr>
      </w:pPr>
      <w:hyperlink w:anchor="_Toc514832504" w:history="1">
        <w:r w:rsidR="007B1EC3" w:rsidRPr="00D903C8">
          <w:rPr>
            <w:rStyle w:val="Hyperlink"/>
            <w:noProof/>
          </w:rPr>
          <w:t>6</w:t>
        </w:r>
        <w:r w:rsidR="007B1EC3">
          <w:rPr>
            <w:rFonts w:eastAsiaTheme="minorEastAsia"/>
            <w:b w:val="0"/>
            <w:bCs w:val="0"/>
            <w:iCs w:val="0"/>
            <w:noProof/>
            <w:sz w:val="22"/>
            <w:szCs w:val="22"/>
            <w:lang w:eastAsia="de-DE"/>
          </w:rPr>
          <w:tab/>
        </w:r>
        <w:r w:rsidR="007B1EC3" w:rsidRPr="00D903C8">
          <w:rPr>
            <w:rStyle w:val="Hyperlink"/>
            <w:noProof/>
          </w:rPr>
          <w:t>Abkürzungen</w:t>
        </w:r>
        <w:r w:rsidR="007B1EC3">
          <w:rPr>
            <w:noProof/>
            <w:webHidden/>
          </w:rPr>
          <w:tab/>
        </w:r>
        <w:r w:rsidR="007B1EC3">
          <w:rPr>
            <w:noProof/>
            <w:webHidden/>
          </w:rPr>
          <w:fldChar w:fldCharType="begin"/>
        </w:r>
        <w:r w:rsidR="007B1EC3">
          <w:rPr>
            <w:noProof/>
            <w:webHidden/>
          </w:rPr>
          <w:instrText xml:space="preserve"> PAGEREF _Toc514832504 \h </w:instrText>
        </w:r>
        <w:r w:rsidR="007B1EC3">
          <w:rPr>
            <w:noProof/>
            <w:webHidden/>
          </w:rPr>
        </w:r>
        <w:r w:rsidR="007B1EC3">
          <w:rPr>
            <w:noProof/>
            <w:webHidden/>
          </w:rPr>
          <w:fldChar w:fldCharType="separate"/>
        </w:r>
        <w:r w:rsidR="007B1EC3">
          <w:rPr>
            <w:noProof/>
            <w:webHidden/>
          </w:rPr>
          <w:t>21</w:t>
        </w:r>
        <w:r w:rsidR="007B1EC3">
          <w:rPr>
            <w:noProof/>
            <w:webHidden/>
          </w:rPr>
          <w:fldChar w:fldCharType="end"/>
        </w:r>
      </w:hyperlink>
    </w:p>
    <w:p w:rsidR="007B1EC3" w:rsidRDefault="00B006A5" w:rsidP="007B1EC3">
      <w:pPr>
        <w:pStyle w:val="Verzeichnis1"/>
        <w:tabs>
          <w:tab w:val="left" w:pos="440"/>
          <w:tab w:val="right" w:leader="underscore" w:pos="9062"/>
        </w:tabs>
        <w:spacing w:line="269" w:lineRule="auto"/>
        <w:rPr>
          <w:rFonts w:eastAsiaTheme="minorEastAsia"/>
          <w:b w:val="0"/>
          <w:bCs w:val="0"/>
          <w:iCs w:val="0"/>
          <w:noProof/>
          <w:sz w:val="22"/>
          <w:szCs w:val="22"/>
          <w:lang w:eastAsia="de-DE"/>
        </w:rPr>
      </w:pPr>
      <w:hyperlink w:anchor="_Toc514832505" w:history="1">
        <w:r w:rsidR="007B1EC3" w:rsidRPr="00D903C8">
          <w:rPr>
            <w:rStyle w:val="Hyperlink"/>
            <w:noProof/>
          </w:rPr>
          <w:t>7</w:t>
        </w:r>
        <w:r w:rsidR="007B1EC3">
          <w:rPr>
            <w:rFonts w:eastAsiaTheme="minorEastAsia"/>
            <w:b w:val="0"/>
            <w:bCs w:val="0"/>
            <w:iCs w:val="0"/>
            <w:noProof/>
            <w:sz w:val="22"/>
            <w:szCs w:val="22"/>
            <w:lang w:eastAsia="de-DE"/>
          </w:rPr>
          <w:tab/>
        </w:r>
        <w:r w:rsidR="007B1EC3" w:rsidRPr="00D903C8">
          <w:rPr>
            <w:rStyle w:val="Hyperlink"/>
            <w:noProof/>
          </w:rPr>
          <w:t>Literatur</w:t>
        </w:r>
        <w:r w:rsidR="007B1EC3">
          <w:rPr>
            <w:noProof/>
            <w:webHidden/>
          </w:rPr>
          <w:tab/>
        </w:r>
        <w:r w:rsidR="007B1EC3">
          <w:rPr>
            <w:noProof/>
            <w:webHidden/>
          </w:rPr>
          <w:fldChar w:fldCharType="begin"/>
        </w:r>
        <w:r w:rsidR="007B1EC3">
          <w:rPr>
            <w:noProof/>
            <w:webHidden/>
          </w:rPr>
          <w:instrText xml:space="preserve"> PAGEREF _Toc514832505 \h </w:instrText>
        </w:r>
        <w:r w:rsidR="007B1EC3">
          <w:rPr>
            <w:noProof/>
            <w:webHidden/>
          </w:rPr>
        </w:r>
        <w:r w:rsidR="007B1EC3">
          <w:rPr>
            <w:noProof/>
            <w:webHidden/>
          </w:rPr>
          <w:fldChar w:fldCharType="separate"/>
        </w:r>
        <w:r w:rsidR="007B1EC3">
          <w:rPr>
            <w:noProof/>
            <w:webHidden/>
          </w:rPr>
          <w:t>22</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506" w:history="1">
        <w:r w:rsidR="007B1EC3" w:rsidRPr="00D903C8">
          <w:rPr>
            <w:rStyle w:val="Hyperlink"/>
            <w:noProof/>
          </w:rPr>
          <w:t>7.1</w:t>
        </w:r>
        <w:r w:rsidR="007B1EC3">
          <w:rPr>
            <w:rFonts w:eastAsiaTheme="minorEastAsia"/>
            <w:b w:val="0"/>
            <w:bCs w:val="0"/>
            <w:noProof/>
            <w:lang w:eastAsia="de-DE"/>
          </w:rPr>
          <w:tab/>
        </w:r>
        <w:r w:rsidR="007B1EC3" w:rsidRPr="00D903C8">
          <w:rPr>
            <w:rStyle w:val="Hyperlink"/>
            <w:noProof/>
          </w:rPr>
          <w:t>Fachzeitschriften</w:t>
        </w:r>
        <w:r w:rsidR="007B1EC3">
          <w:rPr>
            <w:noProof/>
            <w:webHidden/>
          </w:rPr>
          <w:tab/>
        </w:r>
        <w:r w:rsidR="007B1EC3">
          <w:rPr>
            <w:noProof/>
            <w:webHidden/>
          </w:rPr>
          <w:fldChar w:fldCharType="begin"/>
        </w:r>
        <w:r w:rsidR="007B1EC3">
          <w:rPr>
            <w:noProof/>
            <w:webHidden/>
          </w:rPr>
          <w:instrText xml:space="preserve"> PAGEREF _Toc514832506 \h </w:instrText>
        </w:r>
        <w:r w:rsidR="007B1EC3">
          <w:rPr>
            <w:noProof/>
            <w:webHidden/>
          </w:rPr>
        </w:r>
        <w:r w:rsidR="007B1EC3">
          <w:rPr>
            <w:noProof/>
            <w:webHidden/>
          </w:rPr>
          <w:fldChar w:fldCharType="separate"/>
        </w:r>
        <w:r w:rsidR="007B1EC3">
          <w:rPr>
            <w:noProof/>
            <w:webHidden/>
          </w:rPr>
          <w:t>22</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507" w:history="1">
        <w:r w:rsidR="007B1EC3" w:rsidRPr="00D903C8">
          <w:rPr>
            <w:rStyle w:val="Hyperlink"/>
            <w:noProof/>
          </w:rPr>
          <w:t>7.2</w:t>
        </w:r>
        <w:r w:rsidR="007B1EC3">
          <w:rPr>
            <w:rFonts w:eastAsiaTheme="minorEastAsia"/>
            <w:b w:val="0"/>
            <w:bCs w:val="0"/>
            <w:noProof/>
            <w:lang w:eastAsia="de-DE"/>
          </w:rPr>
          <w:tab/>
        </w:r>
        <w:r w:rsidR="007B1EC3" w:rsidRPr="00D903C8">
          <w:rPr>
            <w:rStyle w:val="Hyperlink"/>
            <w:noProof/>
          </w:rPr>
          <w:t>Internet</w:t>
        </w:r>
        <w:r w:rsidR="007B1EC3">
          <w:rPr>
            <w:noProof/>
            <w:webHidden/>
          </w:rPr>
          <w:tab/>
        </w:r>
        <w:r w:rsidR="007B1EC3">
          <w:rPr>
            <w:noProof/>
            <w:webHidden/>
          </w:rPr>
          <w:fldChar w:fldCharType="begin"/>
        </w:r>
        <w:r w:rsidR="007B1EC3">
          <w:rPr>
            <w:noProof/>
            <w:webHidden/>
          </w:rPr>
          <w:instrText xml:space="preserve"> PAGEREF _Toc514832507 \h </w:instrText>
        </w:r>
        <w:r w:rsidR="007B1EC3">
          <w:rPr>
            <w:noProof/>
            <w:webHidden/>
          </w:rPr>
        </w:r>
        <w:r w:rsidR="007B1EC3">
          <w:rPr>
            <w:noProof/>
            <w:webHidden/>
          </w:rPr>
          <w:fldChar w:fldCharType="separate"/>
        </w:r>
        <w:r w:rsidR="007B1EC3">
          <w:rPr>
            <w:noProof/>
            <w:webHidden/>
          </w:rPr>
          <w:t>22</w:t>
        </w:r>
        <w:r w:rsidR="007B1EC3">
          <w:rPr>
            <w:noProof/>
            <w:webHidden/>
          </w:rPr>
          <w:fldChar w:fldCharType="end"/>
        </w:r>
      </w:hyperlink>
    </w:p>
    <w:p w:rsidR="007B1EC3" w:rsidRDefault="00B006A5" w:rsidP="007B1EC3">
      <w:pPr>
        <w:pStyle w:val="Verzeichnis2"/>
        <w:tabs>
          <w:tab w:val="left" w:pos="880"/>
          <w:tab w:val="right" w:leader="underscore" w:pos="9062"/>
        </w:tabs>
        <w:spacing w:line="269" w:lineRule="auto"/>
        <w:rPr>
          <w:rFonts w:eastAsiaTheme="minorEastAsia"/>
          <w:b w:val="0"/>
          <w:bCs w:val="0"/>
          <w:noProof/>
          <w:lang w:eastAsia="de-DE"/>
        </w:rPr>
      </w:pPr>
      <w:hyperlink w:anchor="_Toc514832508" w:history="1">
        <w:r w:rsidR="007B1EC3" w:rsidRPr="00D903C8">
          <w:rPr>
            <w:rStyle w:val="Hyperlink"/>
            <w:noProof/>
          </w:rPr>
          <w:t>7.3</w:t>
        </w:r>
        <w:r w:rsidR="007B1EC3">
          <w:rPr>
            <w:rFonts w:eastAsiaTheme="minorEastAsia"/>
            <w:b w:val="0"/>
            <w:bCs w:val="0"/>
            <w:noProof/>
            <w:lang w:eastAsia="de-DE"/>
          </w:rPr>
          <w:tab/>
        </w:r>
        <w:r w:rsidR="007B1EC3" w:rsidRPr="00D903C8">
          <w:rPr>
            <w:rStyle w:val="Hyperlink"/>
            <w:noProof/>
          </w:rPr>
          <w:t>Bücher</w:t>
        </w:r>
        <w:r w:rsidR="007B1EC3">
          <w:rPr>
            <w:noProof/>
            <w:webHidden/>
          </w:rPr>
          <w:tab/>
        </w:r>
        <w:r w:rsidR="007B1EC3">
          <w:rPr>
            <w:noProof/>
            <w:webHidden/>
          </w:rPr>
          <w:fldChar w:fldCharType="begin"/>
        </w:r>
        <w:r w:rsidR="007B1EC3">
          <w:rPr>
            <w:noProof/>
            <w:webHidden/>
          </w:rPr>
          <w:instrText xml:space="preserve"> PAGEREF _Toc514832508 \h </w:instrText>
        </w:r>
        <w:r w:rsidR="007B1EC3">
          <w:rPr>
            <w:noProof/>
            <w:webHidden/>
          </w:rPr>
        </w:r>
        <w:r w:rsidR="007B1EC3">
          <w:rPr>
            <w:noProof/>
            <w:webHidden/>
          </w:rPr>
          <w:fldChar w:fldCharType="separate"/>
        </w:r>
        <w:r w:rsidR="007B1EC3">
          <w:rPr>
            <w:noProof/>
            <w:webHidden/>
          </w:rPr>
          <w:t>24</w:t>
        </w:r>
        <w:r w:rsidR="007B1EC3">
          <w:rPr>
            <w:noProof/>
            <w:webHidden/>
          </w:rPr>
          <w:fldChar w:fldCharType="end"/>
        </w:r>
      </w:hyperlink>
    </w:p>
    <w:p w:rsidR="00A40957" w:rsidRPr="001B07E2" w:rsidRDefault="005E2265" w:rsidP="007B1EC3">
      <w:pPr>
        <w:spacing w:line="269" w:lineRule="auto"/>
        <w:rPr>
          <w:rFonts w:asciiTheme="majorHAnsi" w:eastAsiaTheme="majorEastAsia" w:hAnsiTheme="majorHAnsi" w:cstheme="majorBidi"/>
          <w:b/>
          <w:bCs/>
          <w:color w:val="365F91" w:themeColor="accent1" w:themeShade="BF"/>
          <w:sz w:val="28"/>
          <w:szCs w:val="28"/>
        </w:rPr>
      </w:pPr>
      <w:r w:rsidRPr="001B07E2">
        <w:fldChar w:fldCharType="end"/>
      </w:r>
      <w:r w:rsidR="00A40957" w:rsidRPr="001B07E2">
        <w:br w:type="page"/>
      </w:r>
    </w:p>
    <w:p w:rsidR="005C3859" w:rsidRPr="001B07E2" w:rsidRDefault="005C3859" w:rsidP="00A40957">
      <w:pPr>
        <w:pStyle w:val="berschrift1"/>
        <w:numPr>
          <w:ilvl w:val="0"/>
          <w:numId w:val="0"/>
        </w:numPr>
      </w:pPr>
      <w:bookmarkStart w:id="87" w:name="_Toc514832474"/>
      <w:r w:rsidRPr="001B07E2">
        <w:lastRenderedPageBreak/>
        <w:t>Zusammenfassung</w:t>
      </w:r>
      <w:bookmarkEnd w:id="87"/>
    </w:p>
    <w:p w:rsidR="005C3859" w:rsidRPr="001B07E2" w:rsidRDefault="00A40957" w:rsidP="005C3859">
      <w:r w:rsidRPr="001B07E2">
        <w:t xml:space="preserve">Privacy </w:t>
      </w:r>
      <w:proofErr w:type="spellStart"/>
      <w:r w:rsidRPr="001B07E2">
        <w:t>by</w:t>
      </w:r>
      <w:proofErr w:type="spellEnd"/>
      <w:r w:rsidRPr="001B07E2">
        <w:t xml:space="preserve"> Design/</w:t>
      </w:r>
      <w:proofErr w:type="spellStart"/>
      <w:r w:rsidRPr="001B07E2">
        <w:t>by</w:t>
      </w:r>
      <w:proofErr w:type="spellEnd"/>
      <w:r w:rsidRPr="001B07E2">
        <w:t xml:space="preserve"> Default betrifft sowohl technische als auch organisatorische Komponenten, also Anforderungen an IT-Systeme als auch Organisationsabläufe. Die Anforderungen müssen sowohl bei der Planung als auch bei der Durchführung einer Verarbeitung berücksichtigt werden.</w:t>
      </w:r>
      <w:r w:rsidR="00D02A66" w:rsidRPr="001B07E2">
        <w:t xml:space="preserve"> Da der Begriff der „Verarbeitung“ in</w:t>
      </w:r>
      <w:r w:rsidR="006C02A2" w:rsidRPr="001B07E2">
        <w:t xml:space="preserve"> Art. </w:t>
      </w:r>
      <w:r w:rsidR="00D02A66" w:rsidRPr="001B07E2">
        <w:t xml:space="preserve">4 </w:t>
      </w:r>
      <w:r w:rsidR="00C94108" w:rsidRPr="001B07E2">
        <w:t>Ziff. </w:t>
      </w:r>
      <w:r w:rsidR="00D02A66" w:rsidRPr="001B07E2">
        <w:t>2 DS-GVO sehr weit gefasst ist, müssen die Maßnahmen für den gesamten Lebenszyklus der Daten gewährleistet werden.</w:t>
      </w:r>
      <w:r w:rsidR="004B6DD9" w:rsidRPr="001B07E2">
        <w:t xml:space="preserve"> Da sich im zeitlichen Verlauf die Anforderungen bzgl. der Geeignetheit der Maßnahmen ändern können, handelt es sich bei Priv</w:t>
      </w:r>
      <w:r w:rsidR="00A11FFB" w:rsidRPr="001B07E2">
        <w:t>a</w:t>
      </w:r>
      <w:r w:rsidR="004B6DD9" w:rsidRPr="001B07E2">
        <w:t xml:space="preserve">cy </w:t>
      </w:r>
      <w:proofErr w:type="spellStart"/>
      <w:r w:rsidR="004B6DD9" w:rsidRPr="001B07E2">
        <w:t>by</w:t>
      </w:r>
      <w:proofErr w:type="spellEnd"/>
      <w:r w:rsidR="004B6DD9" w:rsidRPr="001B07E2">
        <w:t xml:space="preserve"> Design/Default nicht um einen einmaligen Vorgang, sondern vielmehr um einen fortlaufenden Prozess.</w:t>
      </w:r>
    </w:p>
    <w:p w:rsidR="00360A3A" w:rsidRPr="001B07E2" w:rsidRDefault="00360A3A" w:rsidP="007E0E5C">
      <w:r w:rsidRPr="001B07E2">
        <w:t>Dabei werden zwei Aspekte adressiert. Einerseits muss der Verantwortliche sowohl bei der Planung, also zum Zeitpunkt der Festlegung der Zwecke und Mittel der Verarbeitung, als auch zum „</w:t>
      </w:r>
      <w:r w:rsidR="00A11FFB" w:rsidRPr="001B07E2">
        <w:t>Zei</w:t>
      </w:r>
      <w:r w:rsidRPr="001B07E2">
        <w:t>tpunkt der eigentlichen Verarbeitung“ geeignete Maßnahmen ergreifen („Datenschutz durch Technikgestaltung“). Andererseits ist die Verarbeitung mit „datenschutzfreundliche Voreinstellungen“ durchzuführen.</w:t>
      </w:r>
    </w:p>
    <w:p w:rsidR="00A40957" w:rsidRPr="001B07E2" w:rsidRDefault="00A40957" w:rsidP="00A40957">
      <w:pPr>
        <w:spacing w:after="0"/>
      </w:pPr>
      <w:r w:rsidRPr="001B07E2">
        <w:t xml:space="preserve">Dabei müssen die </w:t>
      </w:r>
      <w:r w:rsidR="00360A3A" w:rsidRPr="001B07E2">
        <w:t xml:space="preserve">getroffenen </w:t>
      </w:r>
      <w:r w:rsidRPr="001B07E2">
        <w:t>technischen und organisatorischen Maßnahmen geeignet sein,</w:t>
      </w:r>
    </w:p>
    <w:p w:rsidR="00A40957" w:rsidRPr="001B07E2" w:rsidRDefault="00A40957" w:rsidP="00A40957">
      <w:pPr>
        <w:pStyle w:val="Listenabsatz"/>
        <w:numPr>
          <w:ilvl w:val="0"/>
          <w:numId w:val="12"/>
        </w:numPr>
      </w:pPr>
      <w:r w:rsidRPr="001B07E2">
        <w:t xml:space="preserve">die Datenschutzgrundsätze wirksam umzusetzen und </w:t>
      </w:r>
    </w:p>
    <w:p w:rsidR="00A40957" w:rsidRPr="001B07E2" w:rsidRDefault="00A40957" w:rsidP="00A40957">
      <w:pPr>
        <w:pStyle w:val="Listenabsatz"/>
        <w:numPr>
          <w:ilvl w:val="0"/>
          <w:numId w:val="12"/>
        </w:numPr>
      </w:pPr>
      <w:r w:rsidRPr="001B07E2">
        <w:t xml:space="preserve">die notwendigen Garantien bieten, um den Anforderungen dieser Verordnung zu genügen und </w:t>
      </w:r>
    </w:p>
    <w:p w:rsidR="00A40957" w:rsidRPr="001B07E2" w:rsidRDefault="00A40957" w:rsidP="00A40957">
      <w:pPr>
        <w:pStyle w:val="Listenabsatz"/>
        <w:numPr>
          <w:ilvl w:val="0"/>
          <w:numId w:val="12"/>
        </w:numPr>
      </w:pPr>
      <w:r w:rsidRPr="001B07E2">
        <w:t>die Rechte der betroffenen Personen schützen.</w:t>
      </w:r>
    </w:p>
    <w:p w:rsidR="00A40957" w:rsidRPr="001B07E2" w:rsidRDefault="00A40957" w:rsidP="005C3859">
      <w:r w:rsidRPr="001B07E2">
        <w:t>Dabei kann eine betriebswirtschaftliche Abwägung zwischen verschiedenen gleichermaßen geeigneten Maßnahmen bzgl. der Implementierungskosten erfolgen, nicht jedoch der Durchführungs- oder Folgekosten.</w:t>
      </w:r>
    </w:p>
    <w:p w:rsidR="00A40957" w:rsidRPr="001B07E2" w:rsidRDefault="00F2196A" w:rsidP="005C3859">
      <w:r w:rsidRPr="001B07E2">
        <w:t xml:space="preserve">Weiterhin ist der „Stand der Technik“ zu berücksichtigen, was im Kontext dieses Themas wohl bedeutet, dass die von Ann </w:t>
      </w:r>
      <w:proofErr w:type="spellStart"/>
      <w:r w:rsidRPr="001B07E2">
        <w:t>Cavoukian</w:t>
      </w:r>
      <w:proofErr w:type="spellEnd"/>
      <w:r w:rsidRPr="001B07E2">
        <w:t xml:space="preserve"> aufgestellten „The 7 </w:t>
      </w:r>
      <w:proofErr w:type="spellStart"/>
      <w:r w:rsidRPr="001B07E2">
        <w:t>Foundational</w:t>
      </w:r>
      <w:proofErr w:type="spellEnd"/>
      <w:r w:rsidRPr="001B07E2">
        <w:t xml:space="preserve"> </w:t>
      </w:r>
      <w:proofErr w:type="spellStart"/>
      <w:r w:rsidR="001B07E2">
        <w:t>Principles</w:t>
      </w:r>
      <w:proofErr w:type="spellEnd"/>
      <w:r w:rsidRPr="001B07E2">
        <w:t>“ berücksichtigt werden müssen.</w:t>
      </w:r>
    </w:p>
    <w:p w:rsidR="006C02A2" w:rsidRPr="001B07E2" w:rsidRDefault="001B07E2" w:rsidP="005C3859">
      <w:r>
        <w:t xml:space="preserve">Auch für die Anforderungen von Art. 25 DS-GVO, also den Anforderungen bzgl. </w:t>
      </w:r>
      <w:r w:rsidRPr="001B07E2">
        <w:t xml:space="preserve">Privacy </w:t>
      </w:r>
      <w:proofErr w:type="spellStart"/>
      <w:r w:rsidRPr="001B07E2">
        <w:t>by</w:t>
      </w:r>
      <w:proofErr w:type="spellEnd"/>
      <w:r w:rsidRPr="001B07E2">
        <w:t xml:space="preserve"> Design</w:t>
      </w:r>
      <w:r>
        <w:t xml:space="preserve"> und Privacy </w:t>
      </w:r>
      <w:proofErr w:type="spellStart"/>
      <w:r>
        <w:t>by</w:t>
      </w:r>
      <w:proofErr w:type="spellEnd"/>
      <w:r>
        <w:t xml:space="preserve"> </w:t>
      </w:r>
      <w:r w:rsidRPr="001B07E2">
        <w:t>Default</w:t>
      </w:r>
      <w:r>
        <w:t xml:space="preserve">, bestehen </w:t>
      </w:r>
      <w:r w:rsidR="005E47AB">
        <w:t xml:space="preserve">für den Verantwortlichen </w:t>
      </w:r>
      <w:r>
        <w:t>Nachweispflichten.</w:t>
      </w:r>
      <w:r w:rsidRPr="001B07E2">
        <w:t xml:space="preserve"> </w:t>
      </w:r>
      <w:r w:rsidR="005E47AB">
        <w:t>D</w:t>
      </w:r>
      <w:r w:rsidR="006C02A2" w:rsidRPr="001B07E2">
        <w:t xml:space="preserve">aher muss </w:t>
      </w:r>
      <w:r w:rsidR="005E47AB">
        <w:t xml:space="preserve">der Verantwortliche bei </w:t>
      </w:r>
      <w:r w:rsidR="006C02A2" w:rsidRPr="001B07E2">
        <w:t>d</w:t>
      </w:r>
      <w:r w:rsidR="005E47AB">
        <w:t>er</w:t>
      </w:r>
      <w:r w:rsidR="006C02A2" w:rsidRPr="001B07E2">
        <w:t xml:space="preserve"> Dokumentation der Verarbeitung </w:t>
      </w:r>
      <w:r w:rsidR="005E47AB">
        <w:t xml:space="preserve">stets auch </w:t>
      </w:r>
      <w:r w:rsidR="006C02A2" w:rsidRPr="001B07E2">
        <w:t xml:space="preserve">die aus Art. 25 DS-GVO resultierenden Anforderungen adressieren und </w:t>
      </w:r>
      <w:r w:rsidR="005E47AB">
        <w:t>deren Erfüllung darstellen</w:t>
      </w:r>
      <w:r w:rsidR="006C02A2" w:rsidRPr="001B07E2">
        <w:t>.</w:t>
      </w:r>
    </w:p>
    <w:p w:rsidR="00F2196A" w:rsidRPr="001B07E2" w:rsidRDefault="00F2196A" w:rsidP="005C3859"/>
    <w:p w:rsidR="00A40957" w:rsidRPr="001B07E2" w:rsidRDefault="00A40957">
      <w:pPr>
        <w:rPr>
          <w:rFonts w:asciiTheme="majorHAnsi" w:eastAsiaTheme="majorEastAsia" w:hAnsiTheme="majorHAnsi" w:cstheme="majorBidi"/>
          <w:b/>
          <w:bCs/>
          <w:color w:val="365F91" w:themeColor="accent1" w:themeShade="BF"/>
          <w:sz w:val="28"/>
          <w:szCs w:val="28"/>
        </w:rPr>
      </w:pPr>
      <w:r w:rsidRPr="001B07E2">
        <w:br w:type="page"/>
      </w:r>
    </w:p>
    <w:p w:rsidR="00B8254E" w:rsidRPr="001B07E2" w:rsidRDefault="005C3859" w:rsidP="00B23A62">
      <w:pPr>
        <w:pStyle w:val="berschrift1"/>
      </w:pPr>
      <w:bookmarkStart w:id="88" w:name="_Toc514832475"/>
      <w:r w:rsidRPr="001B07E2">
        <w:lastRenderedPageBreak/>
        <w:t>Einführung</w:t>
      </w:r>
      <w:bookmarkEnd w:id="83"/>
      <w:bookmarkEnd w:id="88"/>
    </w:p>
    <w:p w:rsidR="00B8254E" w:rsidRPr="001B07E2" w:rsidRDefault="00B8254E" w:rsidP="00B8254E">
      <w:r w:rsidRPr="001B07E2">
        <w:t xml:space="preserve">Der Begriff „Privacy </w:t>
      </w:r>
      <w:proofErr w:type="spellStart"/>
      <w:r w:rsidRPr="001B07E2">
        <w:t>by</w:t>
      </w:r>
      <w:proofErr w:type="spellEnd"/>
      <w:r w:rsidRPr="001B07E2">
        <w:t xml:space="preserve"> Design“ oder deutsch „Datenschutz durch Technikgestaltung“ wurde zum ersten Mal von Ann </w:t>
      </w:r>
      <w:proofErr w:type="spellStart"/>
      <w:r w:rsidRPr="001B07E2">
        <w:t>Cavoukian</w:t>
      </w:r>
      <w:proofErr w:type="spellEnd"/>
      <w:r w:rsidRPr="001B07E2">
        <w:t xml:space="preserve"> verwendet</w:t>
      </w:r>
      <w:r w:rsidRPr="001B07E2">
        <w:rPr>
          <w:rStyle w:val="Funotenzeichen"/>
        </w:rPr>
        <w:footnoteReference w:id="1"/>
      </w:r>
      <w:r w:rsidRPr="001B07E2">
        <w:t xml:space="preserve">. Danach stellt Privacy </w:t>
      </w:r>
      <w:proofErr w:type="spellStart"/>
      <w:r w:rsidRPr="001B07E2">
        <w:t>by</w:t>
      </w:r>
      <w:proofErr w:type="spellEnd"/>
      <w:r w:rsidRPr="001B07E2">
        <w:t xml:space="preserve"> Design ein Konzept dar, welches auf IT-Systeme, Geschäftspraktiken, physikalisches Design und auch auf Netzwerkarchitekturen anwendbar ist. Die Zielsetzung von Privacy </w:t>
      </w:r>
      <w:proofErr w:type="spellStart"/>
      <w:r w:rsidRPr="001B07E2">
        <w:t>by</w:t>
      </w:r>
      <w:proofErr w:type="spellEnd"/>
      <w:r w:rsidRPr="001B07E2">
        <w:t xml:space="preserve"> Design ist – wie es der Name schon ausdrückt - </w:t>
      </w:r>
      <w:r w:rsidR="005E47AB">
        <w:t xml:space="preserve">die ganzheitliche </w:t>
      </w:r>
      <w:r w:rsidRPr="001B07E2">
        <w:t>Gewährleistung von Datenschutz und die persönliche Kontrolle über die eigenen Daten. Um dies zu erreichen, muss eine Berücksichtigung von Datenschutzaspekten schon während der Designphase erfolgen, denn hinterher kann man nur Vorhandenes anpassen, was i.d.R. nicht so erfolgreich bzw. deutlich aufwändiger umzusetzen ist, als wenn man es von Anfang an berücksichtigt.</w:t>
      </w:r>
    </w:p>
    <w:p w:rsidR="00B8254E" w:rsidRPr="001B07E2" w:rsidRDefault="006C02A2" w:rsidP="00B8254E">
      <w:r w:rsidRPr="001B07E2">
        <w:t xml:space="preserve">Art. </w:t>
      </w:r>
      <w:r w:rsidR="00B8254E" w:rsidRPr="001B07E2">
        <w:t xml:space="preserve">25 DS-GVO adressiert die für die </w:t>
      </w:r>
      <w:r w:rsidR="005E47AB">
        <w:t xml:space="preserve">Verarbeitung der </w:t>
      </w:r>
      <w:r w:rsidR="00B8254E" w:rsidRPr="001B07E2">
        <w:t>Daten Verantwortlichen, nicht jedoch die Hersteller bzw. Anbieter von Systemen bzw. Lösungen</w:t>
      </w:r>
      <w:r w:rsidR="005E47AB">
        <w:t xml:space="preserve"> (außer sie sind selbst die Verantwortlichen für die Datenverarbeitung)</w:t>
      </w:r>
      <w:r w:rsidR="00B8254E" w:rsidRPr="001B07E2">
        <w:t>. Jedoch heißt es in</w:t>
      </w:r>
      <w:r w:rsidRPr="001B07E2">
        <w:t xml:space="preserve"> </w:t>
      </w:r>
      <w:r w:rsidR="00C94108" w:rsidRPr="001B07E2">
        <w:t>ErwGr. </w:t>
      </w:r>
      <w:r w:rsidR="00B8254E" w:rsidRPr="001B07E2">
        <w:t xml:space="preserve">78 DS-GVO: „sollten die Hersteller der Produkte, Dienste und Anwendungen ermutigt werden, das Recht auf Datenschutz bei der Entwicklung und Auslegung der Produkte, Dienste und Anwendungen zu berücksichtigen“. Demnach muss der Verantwortliche in Ausschreibungen, bei Anschaffungen usw. Privacy </w:t>
      </w:r>
      <w:proofErr w:type="spellStart"/>
      <w:r w:rsidR="00B8254E" w:rsidRPr="001B07E2">
        <w:t>by</w:t>
      </w:r>
      <w:proofErr w:type="spellEnd"/>
      <w:r w:rsidR="00B8254E" w:rsidRPr="001B07E2">
        <w:t xml:space="preserve"> Design als auch Privacy </w:t>
      </w:r>
      <w:proofErr w:type="spellStart"/>
      <w:r w:rsidR="00B8254E" w:rsidRPr="001B07E2">
        <w:t>by</w:t>
      </w:r>
      <w:proofErr w:type="spellEnd"/>
      <w:r w:rsidR="00B8254E" w:rsidRPr="001B07E2">
        <w:t xml:space="preserve"> Default vom Anbieter/Hersteller einfordern.</w:t>
      </w:r>
    </w:p>
    <w:p w:rsidR="007373E2" w:rsidRPr="001B07E2" w:rsidRDefault="00AB780B" w:rsidP="00AB780B">
      <w:pPr>
        <w:pStyle w:val="berschrift2"/>
      </w:pPr>
      <w:bookmarkStart w:id="89" w:name="_Toc514832476"/>
      <w:bookmarkStart w:id="90" w:name="_Toc500395765"/>
      <w:r w:rsidRPr="001B07E2">
        <w:t>Entwicklungsgeschichte der Regelung</w:t>
      </w:r>
      <w:bookmarkEnd w:id="89"/>
    </w:p>
    <w:p w:rsidR="005E47AB" w:rsidRDefault="007E3928" w:rsidP="007373E2">
      <w:r w:rsidRPr="001B07E2">
        <w:t>Bereits</w:t>
      </w:r>
      <w:r w:rsidR="006C02A2" w:rsidRPr="001B07E2">
        <w:t xml:space="preserve"> Art. </w:t>
      </w:r>
      <w:r w:rsidR="00304E4F" w:rsidRPr="001B07E2">
        <w:t>17</w:t>
      </w:r>
      <w:r w:rsidR="006C02A2" w:rsidRPr="001B07E2">
        <w:t xml:space="preserve"> Abs. </w:t>
      </w:r>
      <w:r w:rsidR="00304E4F" w:rsidRPr="001B07E2">
        <w:t xml:space="preserve">1 </w:t>
      </w:r>
      <w:r w:rsidRPr="001B07E2">
        <w:t>RL 95/46/EG</w:t>
      </w:r>
      <w:r w:rsidRPr="001B07E2">
        <w:rPr>
          <w:rStyle w:val="Funotenzeichen"/>
        </w:rPr>
        <w:footnoteReference w:id="2"/>
      </w:r>
      <w:r w:rsidRPr="001B07E2">
        <w:t xml:space="preserve"> verlangte, dass „geeignete technische und organisatorische Maßnahmen“ ergriffen werden müssen, „die für den Schutz gegen die zufällige oder unrechtmäßige Zerstörung, den zufälligen Verlust, die unberechtigte Änderung, die unberechtigte Weitergabe oder den unberechtigten Zugang […] und gegen jede andere Form der unrechtmäßigen Verarbeitung personenbezogener Daten“ erforderlich sind. Diese Regelung richtete sich in erster Linie an die Sicherheit der Daten</w:t>
      </w:r>
      <w:r w:rsidR="002B7F2D" w:rsidRPr="001B07E2">
        <w:rPr>
          <w:rStyle w:val="Funotenzeichen"/>
        </w:rPr>
        <w:footnoteReference w:id="3"/>
      </w:r>
      <w:r w:rsidRPr="001B07E2">
        <w:t>.</w:t>
      </w:r>
      <w:r w:rsidR="006C02A2" w:rsidRPr="001B07E2">
        <w:t xml:space="preserve"> </w:t>
      </w:r>
    </w:p>
    <w:p w:rsidR="007373E2" w:rsidRPr="001B07E2" w:rsidRDefault="006C02A2" w:rsidP="007373E2">
      <w:r w:rsidRPr="001B07E2">
        <w:t>Art. </w:t>
      </w:r>
      <w:r w:rsidR="00304E4F" w:rsidRPr="001B07E2">
        <w:t xml:space="preserve">25 DS-GVO </w:t>
      </w:r>
      <w:r w:rsidR="007E3928" w:rsidRPr="001B07E2">
        <w:t xml:space="preserve">geht über </w:t>
      </w:r>
      <w:r w:rsidR="005E47AB">
        <w:t xml:space="preserve">diese Zielsetzung </w:t>
      </w:r>
      <w:r w:rsidR="007E3928" w:rsidRPr="001B07E2">
        <w:t>hinaus: Nu</w:t>
      </w:r>
      <w:r w:rsidR="002B7F2D" w:rsidRPr="001B07E2">
        <w:t>n</w:t>
      </w:r>
      <w:r w:rsidR="007E3928" w:rsidRPr="001B07E2">
        <w:t>mehr muss der Verantwortliche die in</w:t>
      </w:r>
      <w:r w:rsidRPr="001B07E2">
        <w:t xml:space="preserve"> Art. </w:t>
      </w:r>
      <w:r w:rsidR="00304E4F" w:rsidRPr="001B07E2">
        <w:t xml:space="preserve">5 DS-GVO </w:t>
      </w:r>
      <w:r w:rsidR="007E3928" w:rsidRPr="001B07E2">
        <w:t xml:space="preserve">beschriebenen Datenschutzgrundsätze </w:t>
      </w:r>
      <w:r w:rsidR="005E47AB">
        <w:t xml:space="preserve">schon in der Planungsphase berücksichtigen und </w:t>
      </w:r>
      <w:r w:rsidR="007E3928" w:rsidRPr="001B07E2">
        <w:t xml:space="preserve">technische und organisatorische Maßnahmen </w:t>
      </w:r>
      <w:r w:rsidR="005E47AB">
        <w:t>vorsehen (</w:t>
      </w:r>
      <w:proofErr w:type="spellStart"/>
      <w:r w:rsidR="005E47AB">
        <w:t>by</w:t>
      </w:r>
      <w:proofErr w:type="spellEnd"/>
      <w:r w:rsidR="005E47AB">
        <w:t xml:space="preserve"> Design), </w:t>
      </w:r>
      <w:r w:rsidR="007E3928" w:rsidRPr="001B07E2">
        <w:t xml:space="preserve">umsetzen </w:t>
      </w:r>
      <w:r w:rsidR="005E47AB">
        <w:t>(</w:t>
      </w:r>
      <w:proofErr w:type="spellStart"/>
      <w:r w:rsidR="005E47AB">
        <w:t>by</w:t>
      </w:r>
      <w:proofErr w:type="spellEnd"/>
      <w:r w:rsidR="005E47AB">
        <w:t xml:space="preserve"> Default) </w:t>
      </w:r>
      <w:r w:rsidR="007E3928" w:rsidRPr="001B07E2">
        <w:t>und deren Einhaltung gewährleisten.</w:t>
      </w:r>
    </w:p>
    <w:p w:rsidR="00AB780B" w:rsidRPr="001B07E2" w:rsidRDefault="00AB780B" w:rsidP="00AB780B">
      <w:pPr>
        <w:pStyle w:val="berschrift2"/>
      </w:pPr>
      <w:bookmarkStart w:id="91" w:name="_Toc514832477"/>
      <w:r w:rsidRPr="001B07E2">
        <w:t>Intention des europäischen Gesetzgebers</w:t>
      </w:r>
      <w:bookmarkEnd w:id="91"/>
    </w:p>
    <w:p w:rsidR="00E9509D" w:rsidRPr="001B07E2" w:rsidRDefault="00E9509D" w:rsidP="007373E2">
      <w:r w:rsidRPr="001B07E2">
        <w:t>Sinn und Zweck der in</w:t>
      </w:r>
      <w:r w:rsidR="006C02A2" w:rsidRPr="001B07E2">
        <w:t xml:space="preserve"> Art. </w:t>
      </w:r>
      <w:r w:rsidR="00304E4F" w:rsidRPr="001B07E2">
        <w:t xml:space="preserve">25 DS-GVO </w:t>
      </w:r>
      <w:r w:rsidRPr="001B07E2">
        <w:t xml:space="preserve">enthaltenen Regelung ist, </w:t>
      </w:r>
      <w:r w:rsidR="002326BB" w:rsidRPr="001B07E2">
        <w:t>den Datenschutz zu einem frühestmöglichen Zeitpunkt zu berücksichtigen und über den gesamten Lebenszyklus der Verarbeitung personenbezogener Daten zu gewährleisten.</w:t>
      </w:r>
    </w:p>
    <w:p w:rsidR="00AB780B" w:rsidRPr="001B07E2" w:rsidRDefault="00AB780B" w:rsidP="007373E2"/>
    <w:p w:rsidR="00AB780B" w:rsidRPr="001B07E2" w:rsidRDefault="00AB780B">
      <w:pPr>
        <w:rPr>
          <w:rFonts w:asciiTheme="majorHAnsi" w:eastAsiaTheme="majorEastAsia" w:hAnsiTheme="majorHAnsi" w:cstheme="majorBidi"/>
          <w:b/>
          <w:bCs/>
          <w:color w:val="365F91" w:themeColor="accent1" w:themeShade="BF"/>
          <w:sz w:val="28"/>
          <w:szCs w:val="28"/>
        </w:rPr>
      </w:pPr>
      <w:r w:rsidRPr="001B07E2">
        <w:br w:type="page"/>
      </w:r>
    </w:p>
    <w:p w:rsidR="007373E2" w:rsidRPr="001B07E2" w:rsidRDefault="007373E2" w:rsidP="007373E2">
      <w:pPr>
        <w:pStyle w:val="berschrift1"/>
      </w:pPr>
      <w:bookmarkStart w:id="92" w:name="_Toc514832478"/>
      <w:r w:rsidRPr="001B07E2">
        <w:lastRenderedPageBreak/>
        <w:t>Erläuterungen zum rechtlichen Hintergrund</w:t>
      </w:r>
      <w:bookmarkEnd w:id="92"/>
    </w:p>
    <w:p w:rsidR="007373E2" w:rsidRPr="001B07E2" w:rsidRDefault="00AB780B" w:rsidP="007373E2">
      <w:pPr>
        <w:pStyle w:val="berschrift2"/>
      </w:pPr>
      <w:bookmarkStart w:id="93" w:name="_Toc514832479"/>
      <w:r w:rsidRPr="001B07E2">
        <w:t>An wen wendet sich die Norm? („Normadressat“)</w:t>
      </w:r>
      <w:bookmarkEnd w:id="93"/>
    </w:p>
    <w:p w:rsidR="00487918" w:rsidRPr="001B07E2" w:rsidRDefault="00487918" w:rsidP="00487918">
      <w:r w:rsidRPr="001B07E2">
        <w:t>Der europäische Gesetzgeber verpflichtet mit</w:t>
      </w:r>
      <w:r w:rsidR="006C02A2" w:rsidRPr="001B07E2">
        <w:t xml:space="preserve"> Art. </w:t>
      </w:r>
      <w:r w:rsidR="00304E4F" w:rsidRPr="001B07E2">
        <w:t xml:space="preserve">25 DS-GVO </w:t>
      </w:r>
      <w:r w:rsidRPr="001B07E2">
        <w:t xml:space="preserve">ausschließlich </w:t>
      </w:r>
      <w:r w:rsidR="005E47AB">
        <w:t xml:space="preserve">die oder </w:t>
      </w:r>
      <w:r w:rsidRPr="001B07E2">
        <w:t xml:space="preserve">den Verantwortlichen zur </w:t>
      </w:r>
      <w:r w:rsidR="005E47AB">
        <w:t xml:space="preserve">Beachtung und </w:t>
      </w:r>
      <w:r w:rsidRPr="001B07E2">
        <w:t>Einhaltung der Pflicht</w:t>
      </w:r>
      <w:r w:rsidR="005E47AB">
        <w:t>en von Art. 25 DS-GVO</w:t>
      </w:r>
      <w:r w:rsidRPr="001B07E2">
        <w:t>; Hersteller von Produkten, Diensten und Anwendungen sind grundsätzlich</w:t>
      </w:r>
      <w:r w:rsidR="0051779C" w:rsidRPr="001B07E2">
        <w:t xml:space="preserve"> </w:t>
      </w:r>
      <w:r w:rsidRPr="001B07E2">
        <w:t xml:space="preserve">nicht den Pflichten unterworfen. </w:t>
      </w:r>
      <w:r w:rsidR="005E47AB">
        <w:t>Gemäß</w:t>
      </w:r>
      <w:r w:rsidR="006C02A2" w:rsidRPr="001B07E2">
        <w:t xml:space="preserve"> </w:t>
      </w:r>
      <w:r w:rsidR="00C94108" w:rsidRPr="001B07E2">
        <w:t>ErwGr. </w:t>
      </w:r>
      <w:r w:rsidRPr="001B07E2">
        <w:t xml:space="preserve">78 sollen </w:t>
      </w:r>
      <w:r w:rsidR="005E47AB">
        <w:t xml:space="preserve">Hersteller, wenn sie keine Verantwortlichen sind, </w:t>
      </w:r>
      <w:r w:rsidRPr="001B07E2">
        <w:t xml:space="preserve"> vom Verantwortlichen „ermutigt werden, das Recht auf Datenschutz bei der Entwicklung und Gestaltung der Produkte, Diensten und Anwendungen zu berücksichtigen“. Der Grundgedanke bei der Regelung von</w:t>
      </w:r>
      <w:r w:rsidR="006C02A2" w:rsidRPr="001B07E2">
        <w:t xml:space="preserve"> Art. </w:t>
      </w:r>
      <w:r w:rsidR="00304E4F" w:rsidRPr="001B07E2">
        <w:t xml:space="preserve">25 DS-GVO </w:t>
      </w:r>
      <w:r w:rsidRPr="001B07E2">
        <w:t xml:space="preserve">geht dahin, dass die Pflichten des Verantwortlichen </w:t>
      </w:r>
      <w:r w:rsidR="005E47AB">
        <w:t>ihn zur</w:t>
      </w:r>
      <w:r w:rsidRPr="001B07E2">
        <w:t xml:space="preserve"> Nachfrage nach entsprechenden Produkte, Diensten und Anwendungen</w:t>
      </w:r>
      <w:r w:rsidR="0051779C" w:rsidRPr="001B07E2">
        <w:t xml:space="preserve"> Hersteller zu entsprechendem Handeln zwingen.</w:t>
      </w:r>
      <w:r w:rsidR="005E47AB">
        <w:t xml:space="preserve"> Mithin soll auf die Hersteller ein mittelbarer Marktdruck entstehen, nur noch datenschutzfreundliche Produkte anzubieten.</w:t>
      </w:r>
    </w:p>
    <w:p w:rsidR="0051779C" w:rsidRPr="001B07E2" w:rsidRDefault="005E47AB" w:rsidP="00487918">
      <w:r>
        <w:t xml:space="preserve">Da sich Art. 25 DS-GVO nur an Verantwortliche richtet, werden auch </w:t>
      </w:r>
      <w:r w:rsidR="0051779C" w:rsidRPr="001B07E2">
        <w:t>Auftragsverarbeiter nicht direkt von</w:t>
      </w:r>
      <w:r w:rsidR="006C02A2" w:rsidRPr="001B07E2">
        <w:t xml:space="preserve"> </w:t>
      </w:r>
      <w:r>
        <w:t>dieser Regelung adressiert</w:t>
      </w:r>
      <w:r w:rsidR="0051779C" w:rsidRPr="001B07E2">
        <w:t xml:space="preserve">. </w:t>
      </w:r>
      <w:r>
        <w:t>Jedoch darf e</w:t>
      </w:r>
      <w:r w:rsidR="0051779C" w:rsidRPr="001B07E2">
        <w:t>ntsprechend</w:t>
      </w:r>
      <w:r w:rsidR="006C02A2" w:rsidRPr="001B07E2">
        <w:t xml:space="preserve"> Art. </w:t>
      </w:r>
      <w:r w:rsidR="00304E4F" w:rsidRPr="001B07E2">
        <w:t>28</w:t>
      </w:r>
      <w:r w:rsidR="006C02A2" w:rsidRPr="001B07E2">
        <w:t xml:space="preserve"> Abs. </w:t>
      </w:r>
      <w:r w:rsidR="00304E4F" w:rsidRPr="001B07E2">
        <w:t xml:space="preserve">1 DS-GVO </w:t>
      </w:r>
      <w:r w:rsidR="0051779C" w:rsidRPr="001B07E2">
        <w:t>der Verantwortliche nur solche Auftragsverarbeiter beauftragen, die auch</w:t>
      </w:r>
      <w:r w:rsidR="006C02A2" w:rsidRPr="001B07E2">
        <w:t xml:space="preserve"> Art. </w:t>
      </w:r>
      <w:r w:rsidR="00304E4F" w:rsidRPr="001B07E2">
        <w:t xml:space="preserve">25 DS-GVO </w:t>
      </w:r>
      <w:r w:rsidR="0051779C" w:rsidRPr="001B07E2">
        <w:t>erfüllen: „[…] so arbeitet dieser nur mit Auftragsverarbeitern, die hinreichend Garantien dafür bieten, dass geeignete technische und organisatorische Maßnahmen so durchgeführt werden, dass die Verarbeitung im Einklang mit den Anforderungen dieser Verordnung erfolgt […]“.</w:t>
      </w:r>
      <w:r>
        <w:t xml:space="preserve">Mithin muss ein Verantwortlicher zur Gewährleistung der gesetzlichen Anforderungen von einem Auftragsverarbeiter verlangen, dass er „Privacy </w:t>
      </w:r>
      <w:proofErr w:type="spellStart"/>
      <w:r>
        <w:t>by</w:t>
      </w:r>
      <w:proofErr w:type="spellEnd"/>
      <w:r>
        <w:t xml:space="preserve"> Design“ als auch „Privacy </w:t>
      </w:r>
      <w:proofErr w:type="spellStart"/>
      <w:r>
        <w:t>by</w:t>
      </w:r>
      <w:proofErr w:type="spellEnd"/>
      <w:r>
        <w:t xml:space="preserve"> Default“ bei sich im erforderlichen Maße umgesetzt hat, damit „seine“ Daten ausreichend geschützt sind. Denn es darf niemals zu einer Verschlechterung des Schutzniveaus in der Lieferkette kommen.</w:t>
      </w:r>
    </w:p>
    <w:p w:rsidR="00B8254E" w:rsidRPr="001B07E2" w:rsidRDefault="00B8254E" w:rsidP="005C3859">
      <w:pPr>
        <w:pStyle w:val="berschrift2"/>
      </w:pPr>
      <w:bookmarkStart w:id="94" w:name="_Toc514832480"/>
      <w:r w:rsidRPr="001B07E2">
        <w:t>Inhalte der Pflicht</w:t>
      </w:r>
      <w:bookmarkEnd w:id="90"/>
      <w:bookmarkEnd w:id="94"/>
    </w:p>
    <w:p w:rsidR="00B8254E" w:rsidRPr="001B07E2" w:rsidRDefault="00B8254E" w:rsidP="00B8254E">
      <w:pPr>
        <w:spacing w:after="0"/>
      </w:pPr>
      <w:r w:rsidRPr="001B07E2">
        <w:t>Die Inhalte der aus</w:t>
      </w:r>
      <w:r w:rsidR="006C02A2" w:rsidRPr="001B07E2">
        <w:t xml:space="preserve"> Art. </w:t>
      </w:r>
      <w:r w:rsidRPr="001B07E2">
        <w:t xml:space="preserve">25 DS-GVO resultierenden Pflichten bestehen insbesondere im Treffen </w:t>
      </w:r>
      <w:r w:rsidRPr="001B07E2">
        <w:rPr>
          <w:u w:val="single"/>
        </w:rPr>
        <w:t>geeigneter</w:t>
      </w:r>
      <w:r w:rsidRPr="001B07E2">
        <w:t xml:space="preserve"> technisch-organisatorische Maßnahmen (</w:t>
      </w:r>
      <w:r w:rsidR="006C02A2" w:rsidRPr="001B07E2">
        <w:t xml:space="preserve"> Art. </w:t>
      </w:r>
      <w:r w:rsidRPr="001B07E2">
        <w:t>25</w:t>
      </w:r>
      <w:r w:rsidR="006C02A2" w:rsidRPr="001B07E2">
        <w:t xml:space="preserve"> Abs. </w:t>
      </w:r>
      <w:r w:rsidRPr="001B07E2">
        <w:t>2)</w:t>
      </w:r>
    </w:p>
    <w:p w:rsidR="00B8254E" w:rsidRPr="001B07E2" w:rsidRDefault="00B8254E" w:rsidP="00B8254E">
      <w:pPr>
        <w:pStyle w:val="Listenabsatz"/>
        <w:numPr>
          <w:ilvl w:val="0"/>
          <w:numId w:val="2"/>
        </w:numPr>
      </w:pPr>
      <w:r w:rsidRPr="001B07E2">
        <w:t xml:space="preserve">zur </w:t>
      </w:r>
      <w:r w:rsidRPr="001B07E2">
        <w:rPr>
          <w:b/>
        </w:rPr>
        <w:t>Umsetzung der Datenschutzgrundsätze</w:t>
      </w:r>
      <w:r w:rsidR="007E3928" w:rsidRPr="001B07E2">
        <w:t xml:space="preserve"> (</w:t>
      </w:r>
      <w:r w:rsidR="006C02A2" w:rsidRPr="001B07E2">
        <w:t xml:space="preserve"> Art. </w:t>
      </w:r>
      <w:r w:rsidR="007E3928" w:rsidRPr="001B07E2">
        <w:t>5 DS-GVO)</w:t>
      </w:r>
    </w:p>
    <w:p w:rsidR="00B8254E" w:rsidRPr="001B07E2" w:rsidRDefault="00B8254E" w:rsidP="00B8254E">
      <w:pPr>
        <w:pStyle w:val="Listenabsatz"/>
        <w:numPr>
          <w:ilvl w:val="0"/>
          <w:numId w:val="2"/>
        </w:numPr>
        <w:spacing w:after="0"/>
        <w:ind w:left="714" w:hanging="357"/>
      </w:pPr>
      <w:r w:rsidRPr="001B07E2">
        <w:t xml:space="preserve">zur </w:t>
      </w:r>
      <w:r w:rsidRPr="001B07E2">
        <w:rPr>
          <w:b/>
        </w:rPr>
        <w:t>Durchsetzung der Betroffenenrechte</w:t>
      </w:r>
      <w:r w:rsidR="007E3928" w:rsidRPr="001B07E2">
        <w:t xml:space="preserve"> (Kap. 3,</w:t>
      </w:r>
      <w:r w:rsidR="006C02A2" w:rsidRPr="001B07E2">
        <w:t xml:space="preserve"> Artt. </w:t>
      </w:r>
      <w:r w:rsidR="007E3928" w:rsidRPr="001B07E2">
        <w:t>12-22 DS-GVO)</w:t>
      </w:r>
    </w:p>
    <w:p w:rsidR="00B8254E" w:rsidRPr="001B07E2" w:rsidRDefault="00B8254E" w:rsidP="00B8254E">
      <w:pPr>
        <w:spacing w:after="0"/>
      </w:pPr>
      <w:r w:rsidRPr="001B07E2">
        <w:t>unter Berücksichtigung (</w:t>
      </w:r>
      <w:r w:rsidR="006C02A2" w:rsidRPr="001B07E2">
        <w:t xml:space="preserve"> Art. </w:t>
      </w:r>
      <w:r w:rsidRPr="001B07E2">
        <w:t>25</w:t>
      </w:r>
      <w:r w:rsidR="006C02A2" w:rsidRPr="001B07E2">
        <w:t xml:space="preserve"> Abs. </w:t>
      </w:r>
      <w:r w:rsidRPr="001B07E2">
        <w:t>1)</w:t>
      </w:r>
    </w:p>
    <w:p w:rsidR="00B8254E" w:rsidRPr="001B07E2" w:rsidRDefault="00B8254E" w:rsidP="00B8254E">
      <w:pPr>
        <w:pStyle w:val="Listenabsatz"/>
        <w:numPr>
          <w:ilvl w:val="0"/>
          <w:numId w:val="3"/>
        </w:numPr>
      </w:pPr>
      <w:r w:rsidRPr="001B07E2">
        <w:t>des Stands der Technik</w:t>
      </w:r>
    </w:p>
    <w:p w:rsidR="00B8254E" w:rsidRPr="001B07E2" w:rsidRDefault="00B8254E" w:rsidP="00B8254E">
      <w:pPr>
        <w:pStyle w:val="Listenabsatz"/>
        <w:numPr>
          <w:ilvl w:val="0"/>
          <w:numId w:val="3"/>
        </w:numPr>
      </w:pPr>
      <w:r w:rsidRPr="001B07E2">
        <w:t>der Implementierungskosten</w:t>
      </w:r>
    </w:p>
    <w:p w:rsidR="00B8254E" w:rsidRPr="001B07E2" w:rsidRDefault="00B8254E" w:rsidP="00B8254E">
      <w:pPr>
        <w:pStyle w:val="Listenabsatz"/>
        <w:numPr>
          <w:ilvl w:val="0"/>
          <w:numId w:val="3"/>
        </w:numPr>
      </w:pPr>
      <w:r w:rsidRPr="001B07E2">
        <w:t>der Art, Umfang, Umstände und Zwecke</w:t>
      </w:r>
    </w:p>
    <w:p w:rsidR="00B8254E" w:rsidRPr="001B07E2" w:rsidRDefault="00B8254E" w:rsidP="00B8254E">
      <w:pPr>
        <w:pStyle w:val="Listenabsatz"/>
        <w:numPr>
          <w:ilvl w:val="0"/>
          <w:numId w:val="3"/>
        </w:numPr>
        <w:spacing w:after="0"/>
        <w:ind w:left="714" w:hanging="357"/>
      </w:pPr>
      <w:r w:rsidRPr="001B07E2">
        <w:t>der Eintrittswahrscheinlichkeiten und Schwere der Risiken für die Rechte und Freiheiten natürlicher Personen.</w:t>
      </w:r>
    </w:p>
    <w:p w:rsidR="00B8254E" w:rsidRPr="001B07E2" w:rsidRDefault="00B8254E" w:rsidP="00B8254E">
      <w:r w:rsidRPr="001B07E2">
        <w:t>Dabei kann ein genehmigtes Zertifizierungsverfahren gemäß</w:t>
      </w:r>
      <w:r w:rsidR="006C02A2" w:rsidRPr="001B07E2">
        <w:t xml:space="preserve"> Art. </w:t>
      </w:r>
      <w:r w:rsidRPr="001B07E2">
        <w:t xml:space="preserve">42 DS-GVO die Möglichkeit </w:t>
      </w:r>
      <w:r w:rsidR="005F7B11" w:rsidRPr="001B07E2">
        <w:t xml:space="preserve">bieten, </w:t>
      </w:r>
      <w:r w:rsidRPr="001B07E2">
        <w:t>diese Anforderungen nachzuweisen.</w:t>
      </w:r>
    </w:p>
    <w:p w:rsidR="00B8254E" w:rsidRPr="001B07E2" w:rsidRDefault="00B8254E" w:rsidP="00B8254E">
      <w:pPr>
        <w:spacing w:after="0"/>
      </w:pPr>
      <w:r w:rsidRPr="001B07E2">
        <w:t>Weiterhin heißt es in</w:t>
      </w:r>
      <w:r w:rsidR="006C02A2" w:rsidRPr="001B07E2">
        <w:t xml:space="preserve"> Art. </w:t>
      </w:r>
      <w:r w:rsidRPr="001B07E2">
        <w:t>25</w:t>
      </w:r>
      <w:r w:rsidR="006C02A2" w:rsidRPr="001B07E2">
        <w:t xml:space="preserve"> Abs. </w:t>
      </w:r>
      <w:r w:rsidRPr="001B07E2">
        <w:t>1 DS-GVO: „[…] trifft der Verantwortliche sowohl</w:t>
      </w:r>
    </w:p>
    <w:p w:rsidR="00B8254E" w:rsidRPr="001B07E2" w:rsidRDefault="00B8254E" w:rsidP="00B8254E">
      <w:pPr>
        <w:pStyle w:val="Listenabsatz"/>
        <w:numPr>
          <w:ilvl w:val="0"/>
          <w:numId w:val="4"/>
        </w:numPr>
      </w:pPr>
      <w:r w:rsidRPr="001B07E2">
        <w:t xml:space="preserve">zum </w:t>
      </w:r>
      <w:r w:rsidRPr="001B07E2">
        <w:rPr>
          <w:b/>
        </w:rPr>
        <w:t>Zeitpunkt der Festlegung der Mittel</w:t>
      </w:r>
      <w:r w:rsidRPr="001B07E2">
        <w:t xml:space="preserve"> für die Verarbeitung als auch</w:t>
      </w:r>
    </w:p>
    <w:p w:rsidR="00B8254E" w:rsidRPr="001B07E2" w:rsidRDefault="00B8254E" w:rsidP="00B8254E">
      <w:pPr>
        <w:pStyle w:val="Listenabsatz"/>
        <w:numPr>
          <w:ilvl w:val="0"/>
          <w:numId w:val="4"/>
        </w:numPr>
        <w:spacing w:after="0"/>
        <w:ind w:left="714" w:hanging="357"/>
      </w:pPr>
      <w:r w:rsidRPr="001B07E2">
        <w:t xml:space="preserve">zum </w:t>
      </w:r>
      <w:r w:rsidRPr="001B07E2">
        <w:rPr>
          <w:b/>
        </w:rPr>
        <w:t>Zeitpunkt der eigentlichen Verarbeitung</w:t>
      </w:r>
    </w:p>
    <w:p w:rsidR="00B8254E" w:rsidRPr="001B07E2" w:rsidRDefault="00B8254E" w:rsidP="00B8254E">
      <w:pPr>
        <w:spacing w:after="0"/>
      </w:pPr>
      <w:r w:rsidRPr="001B07E2">
        <w:t xml:space="preserve">geeignete technische und organisatorische Maßnahmen [...], die dafür ausgelegt sind, </w:t>
      </w:r>
    </w:p>
    <w:p w:rsidR="00B8254E" w:rsidRPr="001B07E2" w:rsidRDefault="00B8254E" w:rsidP="00B8254E">
      <w:pPr>
        <w:pStyle w:val="Listenabsatz"/>
        <w:numPr>
          <w:ilvl w:val="0"/>
          <w:numId w:val="5"/>
        </w:numPr>
      </w:pPr>
      <w:r w:rsidRPr="001B07E2">
        <w:t xml:space="preserve">die Datenschutzgrundsätze </w:t>
      </w:r>
      <w:r w:rsidRPr="001B07E2">
        <w:rPr>
          <w:i/>
        </w:rPr>
        <w:t>(siehe</w:t>
      </w:r>
      <w:r w:rsidR="006C02A2" w:rsidRPr="001B07E2">
        <w:rPr>
          <w:i/>
        </w:rPr>
        <w:t xml:space="preserve"> Art. </w:t>
      </w:r>
      <w:r w:rsidRPr="001B07E2">
        <w:rPr>
          <w:i/>
        </w:rPr>
        <w:t>5 DS-GVO</w:t>
      </w:r>
      <w:r w:rsidRPr="001B07E2">
        <w:rPr>
          <w:rStyle w:val="Funotenzeichen"/>
          <w:i/>
        </w:rPr>
        <w:footnoteReference w:id="4"/>
      </w:r>
      <w:r w:rsidRPr="001B07E2">
        <w:rPr>
          <w:i/>
        </w:rPr>
        <w:t>)</w:t>
      </w:r>
      <w:r w:rsidRPr="001B07E2">
        <w:t xml:space="preserve"> [...] wirksam umzusetzen und</w:t>
      </w:r>
    </w:p>
    <w:p w:rsidR="00B8254E" w:rsidRPr="001B07E2" w:rsidRDefault="00B8254E" w:rsidP="00B8254E">
      <w:pPr>
        <w:pStyle w:val="Listenabsatz"/>
        <w:numPr>
          <w:ilvl w:val="0"/>
          <w:numId w:val="5"/>
        </w:numPr>
      </w:pPr>
      <w:r w:rsidRPr="001B07E2">
        <w:lastRenderedPageBreak/>
        <w:t>die notwendigen Garantien in die Verarbeitung aufzunehmen, um den Anforderungen dieser Verordnung zu genügen und</w:t>
      </w:r>
    </w:p>
    <w:p w:rsidR="00B8254E" w:rsidRPr="001B07E2" w:rsidRDefault="00B8254E" w:rsidP="00B8254E">
      <w:pPr>
        <w:pStyle w:val="Listenabsatz"/>
        <w:numPr>
          <w:ilvl w:val="0"/>
          <w:numId w:val="5"/>
        </w:numPr>
        <w:spacing w:after="0"/>
        <w:ind w:left="714" w:hanging="357"/>
      </w:pPr>
      <w:r w:rsidRPr="001B07E2">
        <w:t>die Rechte der betroffenen Personen zu schützen.“</w:t>
      </w:r>
    </w:p>
    <w:p w:rsidR="00B8254E" w:rsidRPr="001B07E2" w:rsidRDefault="00B8254E" w:rsidP="00B8254E">
      <w:r w:rsidRPr="001B07E2">
        <w:t xml:space="preserve">Dementsprechend müssen die Prinzipien </w:t>
      </w:r>
      <w:r w:rsidR="00120B15">
        <w:t xml:space="preserve">„Privacy </w:t>
      </w:r>
      <w:proofErr w:type="spellStart"/>
      <w:r w:rsidR="00120B15">
        <w:t>by</w:t>
      </w:r>
      <w:proofErr w:type="spellEnd"/>
      <w:r w:rsidR="00120B15">
        <w:t xml:space="preserve"> Design“ und „Privacy </w:t>
      </w:r>
      <w:proofErr w:type="spellStart"/>
      <w:r w:rsidR="00120B15">
        <w:t>by</w:t>
      </w:r>
      <w:proofErr w:type="spellEnd"/>
      <w:r w:rsidR="00120B15">
        <w:t xml:space="preserve"> Default“ </w:t>
      </w:r>
      <w:r w:rsidRPr="001B07E2">
        <w:t>sowohl bei der Planung als auch bei der Durchführung der Verarbeitung berücksichtigt werden. Dabei enthält</w:t>
      </w:r>
      <w:r w:rsidR="006C02A2" w:rsidRPr="001B07E2">
        <w:t xml:space="preserve"> Art. </w:t>
      </w:r>
      <w:r w:rsidRPr="001B07E2">
        <w:t>25 DS-GVO im Gegensatz zu</w:t>
      </w:r>
      <w:r w:rsidR="006C02A2" w:rsidRPr="001B07E2">
        <w:t xml:space="preserve"> Art. </w:t>
      </w:r>
      <w:r w:rsidRPr="001B07E2">
        <w:t>32 DS-GVO keine Beschränkung bzgl. „Angemessenheit“ der Maßnahmen</w:t>
      </w:r>
      <w:r w:rsidR="00120B15">
        <w:t>; die Maßnahmen müssen „geeignet“ sein, um den Ansprüchen der Regelungen von Art. 25 DS-GVO zu genügen.</w:t>
      </w:r>
      <w:r w:rsidRPr="001B07E2">
        <w:t xml:space="preserve"> </w:t>
      </w:r>
      <w:r w:rsidR="00120B15">
        <w:t>D</w:t>
      </w:r>
      <w:r w:rsidRPr="001B07E2">
        <w:t xml:space="preserve">. h. </w:t>
      </w:r>
      <w:r w:rsidR="00120B15">
        <w:t xml:space="preserve">wird </w:t>
      </w:r>
      <w:r w:rsidRPr="001B07E2">
        <w:t xml:space="preserve">diesen Anforderungen </w:t>
      </w:r>
      <w:r w:rsidR="00120B15">
        <w:t>nicht</w:t>
      </w:r>
      <w:r w:rsidRPr="001B07E2">
        <w:t xml:space="preserve"> genügt</w:t>
      </w:r>
      <w:r w:rsidR="00120B15">
        <w:t>,</w:t>
      </w:r>
      <w:r w:rsidRPr="001B07E2">
        <w:t xml:space="preserve"> </w:t>
      </w:r>
      <w:r w:rsidR="00120B15">
        <w:t xml:space="preserve">darf </w:t>
      </w:r>
      <w:r w:rsidRPr="001B07E2">
        <w:t>die Verarbeitung nicht durchgeführt werden.</w:t>
      </w:r>
    </w:p>
    <w:p w:rsidR="00C257CB" w:rsidRPr="001B07E2" w:rsidRDefault="00C257CB" w:rsidP="00C257CB">
      <w:bookmarkStart w:id="95" w:name="_Toc500395766"/>
      <w:r w:rsidRPr="001B07E2">
        <w:t>Entsprechend de</w:t>
      </w:r>
      <w:r w:rsidR="00120B15">
        <w:t>s</w:t>
      </w:r>
      <w:r w:rsidRPr="001B07E2">
        <w:t xml:space="preserve"> Gesetzeswortlaut</w:t>
      </w:r>
      <w:r w:rsidR="00120B15">
        <w:t>s</w:t>
      </w:r>
      <w:r w:rsidRPr="001B07E2">
        <w:t xml:space="preserve"> sind die Forderungen des europäischen Gesetzgebers bzgl. Technikgestaltung und datenschutzfreundliche Voreinstellungen aber nicht absolut.</w:t>
      </w:r>
      <w:r w:rsidR="006C02A2" w:rsidRPr="001B07E2">
        <w:t xml:space="preserve"> </w:t>
      </w:r>
      <w:r w:rsidR="00120B15">
        <w:t xml:space="preserve">So beinhaltet </w:t>
      </w:r>
      <w:r w:rsidR="006C02A2" w:rsidRPr="001B07E2">
        <w:t>Art. </w:t>
      </w:r>
      <w:r w:rsidR="00304E4F" w:rsidRPr="001B07E2">
        <w:t>25</w:t>
      </w:r>
      <w:r w:rsidR="006C02A2" w:rsidRPr="001B07E2">
        <w:t xml:space="preserve"> Abs. </w:t>
      </w:r>
      <w:r w:rsidR="00304E4F" w:rsidRPr="001B07E2">
        <w:t xml:space="preserve">1 </w:t>
      </w:r>
      <w:r w:rsidRPr="001B07E2">
        <w:t>einige Abwägungsfaktoren, die bei der Implementierung zu berücksichtigen sind</w:t>
      </w:r>
      <w:r w:rsidR="00120B15" w:rsidRPr="00120B15">
        <w:t xml:space="preserve"> </w:t>
      </w:r>
      <w:r w:rsidR="00120B15">
        <w:t>und die „Spielraum“ für Argumentationen eröffnen</w:t>
      </w:r>
      <w:r w:rsidRPr="001B07E2">
        <w:t>.</w:t>
      </w:r>
    </w:p>
    <w:p w:rsidR="00C257CB" w:rsidRPr="001B07E2" w:rsidRDefault="00C257CB" w:rsidP="00C257CB">
      <w:pPr>
        <w:pStyle w:val="berschrift3"/>
      </w:pPr>
      <w:bookmarkStart w:id="96" w:name="_Ref506365353"/>
      <w:bookmarkStart w:id="97" w:name="_Toc514832481"/>
      <w:r w:rsidRPr="001B07E2">
        <w:t>Geeignetheit der Maßnahmen</w:t>
      </w:r>
      <w:bookmarkEnd w:id="96"/>
      <w:bookmarkEnd w:id="97"/>
    </w:p>
    <w:p w:rsidR="00C257CB" w:rsidRPr="001B07E2" w:rsidRDefault="00C257CB" w:rsidP="00C257CB">
      <w:pPr>
        <w:spacing w:after="0"/>
      </w:pPr>
      <w:r w:rsidRPr="001B07E2">
        <w:t>Es müssen</w:t>
      </w:r>
      <w:r w:rsidR="00120B15">
        <w:t xml:space="preserve"> immer</w:t>
      </w:r>
      <w:r w:rsidRPr="001B07E2">
        <w:t xml:space="preserve"> </w:t>
      </w:r>
      <w:r w:rsidRPr="001B07E2">
        <w:rPr>
          <w:b/>
        </w:rPr>
        <w:t>geeignete</w:t>
      </w:r>
      <w:r w:rsidRPr="001B07E2">
        <w:t xml:space="preserve"> technische und organisatorische Maßnahmen getroffen werden, welche</w:t>
      </w:r>
    </w:p>
    <w:p w:rsidR="00C257CB" w:rsidRPr="001B07E2" w:rsidRDefault="00C257CB" w:rsidP="00C257CB">
      <w:pPr>
        <w:pStyle w:val="Listenabsatz"/>
        <w:numPr>
          <w:ilvl w:val="0"/>
          <w:numId w:val="12"/>
        </w:numPr>
      </w:pPr>
      <w:r w:rsidRPr="001B07E2">
        <w:t xml:space="preserve">die Datenschutzgrundsätze wirksam umzusetzen und </w:t>
      </w:r>
    </w:p>
    <w:p w:rsidR="00C257CB" w:rsidRPr="001B07E2" w:rsidRDefault="00C257CB" w:rsidP="00C257CB">
      <w:pPr>
        <w:pStyle w:val="Listenabsatz"/>
        <w:numPr>
          <w:ilvl w:val="0"/>
          <w:numId w:val="12"/>
        </w:numPr>
      </w:pPr>
      <w:r w:rsidRPr="001B07E2">
        <w:t xml:space="preserve">die notwendigen Garantien bieten, um den Anforderungen dieser Verordnung zu genügen und </w:t>
      </w:r>
    </w:p>
    <w:p w:rsidR="00C257CB" w:rsidRPr="001B07E2" w:rsidRDefault="00C257CB" w:rsidP="00C257CB">
      <w:pPr>
        <w:pStyle w:val="Listenabsatz"/>
        <w:numPr>
          <w:ilvl w:val="0"/>
          <w:numId w:val="12"/>
        </w:numPr>
      </w:pPr>
      <w:r w:rsidRPr="001B07E2">
        <w:t>die Rechte der betroffenen Personen schützen.</w:t>
      </w:r>
    </w:p>
    <w:p w:rsidR="00C257CB" w:rsidRPr="001B07E2" w:rsidRDefault="00C257CB" w:rsidP="00C257CB">
      <w:r w:rsidRPr="001B07E2">
        <w:t xml:space="preserve">Unabhängig von allen anderen Abwägungen </w:t>
      </w:r>
      <w:r w:rsidRPr="001B07E2">
        <w:rPr>
          <w:b/>
        </w:rPr>
        <w:t>müssen</w:t>
      </w:r>
      <w:r w:rsidRPr="001B07E2">
        <w:t xml:space="preserve"> die technischen und organisatorischen Maßnahmen </w:t>
      </w:r>
      <w:r w:rsidR="00120B15">
        <w:t xml:space="preserve">daher immer </w:t>
      </w:r>
      <w:r w:rsidRPr="001B07E2">
        <w:t>diesen drei Bedingungen genügen, ansonsten darf die Verarbeitung nicht durchgeführt werden.</w:t>
      </w:r>
    </w:p>
    <w:p w:rsidR="00D02A66" w:rsidRPr="001B07E2" w:rsidRDefault="00D02A66" w:rsidP="00D02A66">
      <w:pPr>
        <w:pStyle w:val="berschrift3"/>
      </w:pPr>
      <w:bookmarkStart w:id="98" w:name="_Toc514832482"/>
      <w:r w:rsidRPr="001B07E2">
        <w:t>Zeitpunkt</w:t>
      </w:r>
      <w:bookmarkEnd w:id="98"/>
    </w:p>
    <w:p w:rsidR="00D02A66" w:rsidRPr="001B07E2" w:rsidRDefault="00D02A66" w:rsidP="00C257CB">
      <w:r w:rsidRPr="001B07E2">
        <w:t>Die Maßnahmen sind entsprechend</w:t>
      </w:r>
      <w:r w:rsidR="006C02A2" w:rsidRPr="001B07E2">
        <w:t xml:space="preserve"> Art. </w:t>
      </w:r>
      <w:r w:rsidR="00304E4F" w:rsidRPr="001B07E2">
        <w:t>25</w:t>
      </w:r>
      <w:r w:rsidR="006C02A2" w:rsidRPr="001B07E2">
        <w:t xml:space="preserve"> Abs. </w:t>
      </w:r>
      <w:r w:rsidR="00304E4F" w:rsidRPr="001B07E2">
        <w:t xml:space="preserve">1 </w:t>
      </w:r>
      <w:r w:rsidRPr="001B07E2">
        <w:t xml:space="preserve">DS-GVO bereits zum Zeitpunkt der Festlegung der Mittel für die Verarbeitung zu treffen. Somit sind die zu treffenden Datenschutzmaßnahmen bereits </w:t>
      </w:r>
      <w:r w:rsidR="00120B15">
        <w:t>in der Planungsphase</w:t>
      </w:r>
      <w:r w:rsidRPr="001B07E2">
        <w:t xml:space="preserve"> zu berücksichtigen.</w:t>
      </w:r>
    </w:p>
    <w:p w:rsidR="00D02A66" w:rsidRPr="001B07E2" w:rsidRDefault="00120B15" w:rsidP="00C257CB">
      <w:r>
        <w:t>Darüber hinaus gelten d</w:t>
      </w:r>
      <w:r w:rsidR="00D02A66" w:rsidRPr="001B07E2">
        <w:t xml:space="preserve">ie Pflichten </w:t>
      </w:r>
      <w:r>
        <w:t xml:space="preserve">bzgl. Privacy </w:t>
      </w:r>
      <w:proofErr w:type="spellStart"/>
      <w:r>
        <w:t>By</w:t>
      </w:r>
      <w:proofErr w:type="spellEnd"/>
      <w:r>
        <w:t xml:space="preserve"> Design / </w:t>
      </w:r>
      <w:proofErr w:type="spellStart"/>
      <w:r>
        <w:t>by</w:t>
      </w:r>
      <w:proofErr w:type="spellEnd"/>
      <w:r>
        <w:t xml:space="preserve"> Default jedoch immer </w:t>
      </w:r>
      <w:r w:rsidR="00D02A66" w:rsidRPr="001B07E2">
        <w:t>auch für den Zeitpunkt der Verarbeitung. Da der Begriff der „Verarbeitung“ in</w:t>
      </w:r>
      <w:r w:rsidR="006C02A2" w:rsidRPr="001B07E2">
        <w:t xml:space="preserve"> Art. </w:t>
      </w:r>
      <w:r w:rsidR="00304E4F" w:rsidRPr="001B07E2">
        <w:t xml:space="preserve">4 </w:t>
      </w:r>
      <w:r w:rsidR="00C94108" w:rsidRPr="001B07E2">
        <w:t>Ziff. </w:t>
      </w:r>
      <w:r w:rsidR="00304E4F" w:rsidRPr="001B07E2">
        <w:t xml:space="preserve">2 DS-GVO </w:t>
      </w:r>
      <w:r w:rsidR="00D02A66" w:rsidRPr="001B07E2">
        <w:t xml:space="preserve">sehr weit gefasst ist, müssen die </w:t>
      </w:r>
      <w:r>
        <w:t xml:space="preserve">zur Gewährleistung dieser Prinzipien erforderlichen </w:t>
      </w:r>
      <w:r w:rsidR="00D02A66" w:rsidRPr="001B07E2">
        <w:t>Maßnahmen für den gesamten Lebenszyklus der Daten gewährleistet werden.</w:t>
      </w:r>
    </w:p>
    <w:p w:rsidR="00D02A66" w:rsidRPr="001B07E2" w:rsidRDefault="00D02A66" w:rsidP="00C257CB">
      <w:r w:rsidRPr="001B07E2">
        <w:t xml:space="preserve">Da sich im zeitlichen Verlauf die Anforderungen bzgl. der Geeignetheit der Maßnahmen (z. B. </w:t>
      </w:r>
      <w:r w:rsidR="004B6DD9" w:rsidRPr="001B07E2">
        <w:t xml:space="preserve">hinsichtlich der </w:t>
      </w:r>
      <w:r w:rsidRPr="001B07E2">
        <w:t>eingesetzte</w:t>
      </w:r>
      <w:r w:rsidR="004B6DD9" w:rsidRPr="001B07E2">
        <w:t>n</w:t>
      </w:r>
      <w:r w:rsidRPr="001B07E2">
        <w:t xml:space="preserve"> kryptographische</w:t>
      </w:r>
      <w:r w:rsidR="004B6DD9" w:rsidRPr="001B07E2">
        <w:t>n</w:t>
      </w:r>
      <w:r w:rsidRPr="001B07E2">
        <w:t xml:space="preserve"> </w:t>
      </w:r>
      <w:r w:rsidR="004B6DD9" w:rsidRPr="001B07E2">
        <w:t>Methoden</w:t>
      </w:r>
      <w:r w:rsidRPr="001B07E2">
        <w:t xml:space="preserve">) ändern können, handelt es sich bei </w:t>
      </w:r>
      <w:proofErr w:type="spellStart"/>
      <w:r w:rsidRPr="001B07E2">
        <w:t>Privcy</w:t>
      </w:r>
      <w:proofErr w:type="spellEnd"/>
      <w:r w:rsidRPr="001B07E2">
        <w:t xml:space="preserve"> </w:t>
      </w:r>
      <w:proofErr w:type="spellStart"/>
      <w:r w:rsidRPr="001B07E2">
        <w:t>by</w:t>
      </w:r>
      <w:proofErr w:type="spellEnd"/>
      <w:r w:rsidRPr="001B07E2">
        <w:t xml:space="preserve"> Design/Default nicht um einen einmaligen Vorgang</w:t>
      </w:r>
      <w:r w:rsidR="001166CB" w:rsidRPr="001B07E2">
        <w:rPr>
          <w:rStyle w:val="Funotenzeichen"/>
        </w:rPr>
        <w:footnoteReference w:id="5"/>
      </w:r>
      <w:r w:rsidRPr="001B07E2">
        <w:t>, sondern vielmehr um einen andauernden PDCA-Prozess</w:t>
      </w:r>
      <w:r w:rsidRPr="001B07E2">
        <w:rPr>
          <w:rStyle w:val="Funotenzeichen"/>
        </w:rPr>
        <w:footnoteReference w:id="6"/>
      </w:r>
      <w:r w:rsidRPr="001B07E2">
        <w:t>, der einer regelmäßigen Sichtung und ggf. Anpassung der Maßnahmen erfordert.</w:t>
      </w:r>
    </w:p>
    <w:p w:rsidR="00C50C49" w:rsidRPr="001B07E2" w:rsidRDefault="00C50C49" w:rsidP="00C50C49">
      <w:pPr>
        <w:pStyle w:val="berschrift3"/>
      </w:pPr>
      <w:bookmarkStart w:id="99" w:name="_Toc514832483"/>
      <w:r w:rsidRPr="001B07E2">
        <w:lastRenderedPageBreak/>
        <w:t>Abwägungs</w:t>
      </w:r>
      <w:r w:rsidR="00002229" w:rsidRPr="001B07E2">
        <w:t>kriterien</w:t>
      </w:r>
      <w:bookmarkEnd w:id="99"/>
    </w:p>
    <w:p w:rsidR="00C50C49" w:rsidRPr="001B07E2" w:rsidRDefault="00C50C49" w:rsidP="00C50C49">
      <w:pPr>
        <w:pStyle w:val="berschrift4"/>
      </w:pPr>
      <w:bookmarkStart w:id="100" w:name="_Toc514832484"/>
      <w:r w:rsidRPr="001B07E2">
        <w:t>Art, Umfang, Umstände und Zwecke der Verarbeitung, Eintrittswahrscheinlichkeit und Schwere der Risiken</w:t>
      </w:r>
      <w:bookmarkEnd w:id="100"/>
    </w:p>
    <w:p w:rsidR="00120B15" w:rsidRDefault="006C02A2" w:rsidP="00C50C49">
      <w:r w:rsidRPr="001B07E2">
        <w:t>Art. </w:t>
      </w:r>
      <w:r w:rsidR="00304E4F" w:rsidRPr="001B07E2">
        <w:t xml:space="preserve">25 </w:t>
      </w:r>
      <w:r w:rsidR="00C50C49" w:rsidRPr="001B07E2">
        <w:t>DS-GVO adressiert nicht nur riskante Verarbeitungen, wie andere Regelungen der DS-GVO, sondern alle</w:t>
      </w:r>
      <w:r w:rsidR="00120B15">
        <w:t xml:space="preserve"> Verarbeitungen und alle</w:t>
      </w:r>
      <w:r w:rsidR="00C50C49" w:rsidRPr="001B07E2">
        <w:t xml:space="preserve"> Risiken</w:t>
      </w:r>
      <w:r w:rsidR="00120B15">
        <w:t>, die mit einer Datenverarbeitung einhergehen</w:t>
      </w:r>
      <w:r w:rsidR="00C50C49" w:rsidRPr="001B07E2">
        <w:t xml:space="preserve">. </w:t>
      </w:r>
    </w:p>
    <w:p w:rsidR="00C50C49" w:rsidRPr="001B07E2" w:rsidRDefault="00C50C49" w:rsidP="00C50C49">
      <w:r w:rsidRPr="001B07E2">
        <w:t xml:space="preserve">Damit die </w:t>
      </w:r>
      <w:r w:rsidR="00120B15">
        <w:t xml:space="preserve">zu ergreifenden </w:t>
      </w:r>
      <w:r w:rsidRPr="001B07E2">
        <w:t xml:space="preserve">Maßnahmen „geeignet“ sind, müssen </w:t>
      </w:r>
      <w:r w:rsidR="00002229" w:rsidRPr="001B07E2">
        <w:t>entsprechend</w:t>
      </w:r>
      <w:r w:rsidR="006C02A2" w:rsidRPr="001B07E2">
        <w:t xml:space="preserve"> Art. </w:t>
      </w:r>
      <w:r w:rsidR="00304E4F" w:rsidRPr="001B07E2">
        <w:t>25</w:t>
      </w:r>
      <w:r w:rsidR="006C02A2" w:rsidRPr="001B07E2">
        <w:t xml:space="preserve"> Abs. </w:t>
      </w:r>
      <w:r w:rsidR="00304E4F" w:rsidRPr="001B07E2">
        <w:t>1</w:t>
      </w:r>
      <w:r w:rsidR="00002229" w:rsidRPr="001B07E2">
        <w:t xml:space="preserve">DS-GVO </w:t>
      </w:r>
      <w:r w:rsidRPr="001B07E2">
        <w:t>einerseits Art, Umfang, Umstände und Zwecke der Verarbeitung berücksichtigt werden</w:t>
      </w:r>
      <w:r w:rsidR="00120B15">
        <w:t>.</w:t>
      </w:r>
      <w:r w:rsidRPr="001B07E2">
        <w:t xml:space="preserve"> </w:t>
      </w:r>
      <w:r w:rsidR="00120B15">
        <w:t>A</w:t>
      </w:r>
      <w:r w:rsidRPr="001B07E2">
        <w:t xml:space="preserve">ndererseits </w:t>
      </w:r>
      <w:r w:rsidR="00120B15">
        <w:t xml:space="preserve">anderen gilt es bei der Auswahl der Maßnahmen </w:t>
      </w:r>
      <w:r w:rsidRPr="001B07E2">
        <w:t xml:space="preserve">auch </w:t>
      </w:r>
      <w:r w:rsidR="00120B15">
        <w:t xml:space="preserve">die </w:t>
      </w:r>
      <w:r w:rsidRPr="001B07E2">
        <w:t xml:space="preserve">Eintrittswahrscheinlichkeit und </w:t>
      </w:r>
      <w:r w:rsidR="00120B15">
        <w:t xml:space="preserve">die </w:t>
      </w:r>
      <w:r w:rsidRPr="001B07E2">
        <w:t>Schwere der Risiken einfließen</w:t>
      </w:r>
      <w:r w:rsidR="00120B15">
        <w:t xml:space="preserve"> zu lassen</w:t>
      </w:r>
      <w:r w:rsidRPr="001B07E2">
        <w:t>.</w:t>
      </w:r>
      <w:r w:rsidR="00002229" w:rsidRPr="001B07E2">
        <w:t xml:space="preserve"> Dabei handelt es sich hierbei um unbestimmte Rechtsbegriffe</w:t>
      </w:r>
      <w:r w:rsidR="00120B15">
        <w:t>, die maßgeblichen Kriterien werden im Nachfolgenden näher erläutert</w:t>
      </w:r>
      <w:r w:rsidR="00002229" w:rsidRPr="001B07E2">
        <w:t>.</w:t>
      </w:r>
    </w:p>
    <w:p w:rsidR="00002229" w:rsidRPr="001B07E2" w:rsidRDefault="00002229" w:rsidP="00002229">
      <w:pPr>
        <w:pStyle w:val="berschrift5"/>
      </w:pPr>
      <w:r w:rsidRPr="001B07E2">
        <w:t>Art</w:t>
      </w:r>
      <w:r w:rsidR="008B79F5" w:rsidRPr="001B07E2">
        <w:t xml:space="preserve"> und </w:t>
      </w:r>
      <w:r w:rsidRPr="001B07E2">
        <w:t>Umfang, der Verarbeitung</w:t>
      </w:r>
    </w:p>
    <w:p w:rsidR="00304E4F" w:rsidRPr="001B07E2" w:rsidRDefault="00002229" w:rsidP="00304E4F">
      <w:r w:rsidRPr="001B07E2">
        <w:t xml:space="preserve">Je mehr Daten verarbeitet werden und </w:t>
      </w:r>
      <w:r w:rsidR="00AF5A49">
        <w:t>um so</w:t>
      </w:r>
      <w:r w:rsidRPr="001B07E2">
        <w:t xml:space="preserve"> schützenswerter/sensibler die Art der Daten sind, desto wirksamer müssen die Maßnahmen zum Schutz dieser Daten sein. Der Hinweis bzgl. </w:t>
      </w:r>
      <w:r w:rsidR="00304E4F" w:rsidRPr="001B07E2">
        <w:t>Sensitivität der Daten gilt natürlich insbesondere für die in</w:t>
      </w:r>
      <w:r w:rsidR="006C02A2" w:rsidRPr="001B07E2">
        <w:t xml:space="preserve"> Art. </w:t>
      </w:r>
      <w:r w:rsidR="00304E4F" w:rsidRPr="001B07E2">
        <w:t>9</w:t>
      </w:r>
      <w:r w:rsidR="006C02A2" w:rsidRPr="001B07E2">
        <w:t xml:space="preserve"> Abs. </w:t>
      </w:r>
      <w:r w:rsidR="00304E4F" w:rsidRPr="001B07E2">
        <w:t>1 DS-GVO genannten besonderen Arten/Kategorien personenbezogener Daten; bei diesen Datenarten ist der Schutzbedarf sicherlich mit am größten.</w:t>
      </w:r>
    </w:p>
    <w:p w:rsidR="00304E4F" w:rsidRPr="001B07E2" w:rsidRDefault="00304E4F" w:rsidP="00304E4F">
      <w:pPr>
        <w:spacing w:after="0"/>
      </w:pPr>
      <w:r w:rsidRPr="001B07E2">
        <w:t>Aus</w:t>
      </w:r>
      <w:r w:rsidR="006C02A2" w:rsidRPr="001B07E2">
        <w:t xml:space="preserve"> </w:t>
      </w:r>
      <w:r w:rsidR="00C94108" w:rsidRPr="001B07E2">
        <w:t>ErwGr. </w:t>
      </w:r>
      <w:r w:rsidRPr="001B07E2">
        <w:t>75 bzw. 91 DS-GVO wird ersichtlich, dass im Bereich des „Umfangs der Datenverarbeitung“ als Einflussgrößen einerseits die Anzahl der betroffenen Personen zu berücksichtigen ist, andererseits die Menge der verarbeiteten Daten selbst. Hier gilt:</w:t>
      </w:r>
    </w:p>
    <w:p w:rsidR="00304E4F" w:rsidRPr="001B07E2" w:rsidRDefault="00304E4F" w:rsidP="00304E4F">
      <w:pPr>
        <w:pStyle w:val="Listenabsatz"/>
        <w:numPr>
          <w:ilvl w:val="0"/>
          <w:numId w:val="20"/>
        </w:numPr>
      </w:pPr>
      <w:r w:rsidRPr="001B07E2">
        <w:t>Je mehr Daten zu einer Person vorhanden sind, desto weitreichendere Aussagen sind über diese Person möglich und desto größer ist das Risiko für diese Person.</w:t>
      </w:r>
    </w:p>
    <w:p w:rsidR="00304E4F" w:rsidRPr="001B07E2" w:rsidRDefault="00304E4F" w:rsidP="00304E4F">
      <w:pPr>
        <w:pStyle w:val="Listenabsatz"/>
        <w:numPr>
          <w:ilvl w:val="0"/>
          <w:numId w:val="20"/>
        </w:numPr>
      </w:pPr>
      <w:r w:rsidRPr="001B07E2">
        <w:t xml:space="preserve">Je höher die Anzahl der von der Verarbeitung betroffenen Personen ist, desto mehr und desto bessere/genauere Aussagen sind über diese Personengruppe, aber ggf. auch über Einzelpersonen möglich. Z. B. könnten etwaige Verbindungen zwischen diesen Personen </w:t>
      </w:r>
      <w:r w:rsidR="00AF5A49">
        <w:t>hergestellt</w:t>
      </w:r>
      <w:r w:rsidRPr="001B07E2">
        <w:t xml:space="preserve"> werden, woraus ggf. wiederum weitere Schlüsse über die betroffene Person gezogen werden könnten. Daraus leiten sich wiederum höhere Risiken hinsichtlich der informationellen Selbstbestimmung für die betroffenen Personen ab.</w:t>
      </w:r>
    </w:p>
    <w:p w:rsidR="00304E4F" w:rsidRPr="001B07E2" w:rsidRDefault="00304E4F" w:rsidP="00304E4F">
      <w:r w:rsidRPr="001B07E2">
        <w:t>Zugleich erhöht sich mit einem größeren Verarbeitungsumfang auch die Eintrittswahrscheinlichkeit etwaiger Risiken</w:t>
      </w:r>
      <w:r w:rsidRPr="001B07E2">
        <w:rPr>
          <w:rStyle w:val="Funotenzeichen"/>
        </w:rPr>
        <w:footnoteReference w:id="7"/>
      </w:r>
      <w:r w:rsidRPr="001B07E2">
        <w:t>.</w:t>
      </w:r>
    </w:p>
    <w:p w:rsidR="00304E4F" w:rsidRPr="001B07E2" w:rsidRDefault="00304E4F" w:rsidP="00304E4F">
      <w:pPr>
        <w:pStyle w:val="berschrift5"/>
      </w:pPr>
      <w:r w:rsidRPr="001B07E2">
        <w:t>Zwecke der Verarbeitung</w:t>
      </w:r>
    </w:p>
    <w:p w:rsidR="00304E4F" w:rsidRPr="001B07E2" w:rsidRDefault="00304E4F" w:rsidP="00304E4F">
      <w:r w:rsidRPr="001B07E2">
        <w:t>Entsprechend</w:t>
      </w:r>
      <w:r w:rsidR="006C02A2" w:rsidRPr="001B07E2">
        <w:t xml:space="preserve"> Art. </w:t>
      </w:r>
      <w:r w:rsidRPr="001B07E2">
        <w:t>25</w:t>
      </w:r>
      <w:r w:rsidR="006C02A2" w:rsidRPr="001B07E2">
        <w:t xml:space="preserve"> Abs. </w:t>
      </w:r>
      <w:r w:rsidRPr="001B07E2">
        <w:t>1 DS-GVO müssen die Zwecke der Verarbeitung berücksichtigt werden. Die Norm DIN CEN ISO/TS 14265 „Klassifikation des Zwecks zur Verarbeitung von persönlichen Gesundheitsinformationen“ bietet Anhalt</w:t>
      </w:r>
      <w:r w:rsidR="00AF5A49">
        <w:t>spunkte</w:t>
      </w:r>
      <w:r w:rsidRPr="001B07E2">
        <w:t>, wie der Zweck</w:t>
      </w:r>
      <w:r w:rsidR="00AF5A49">
        <w:t xml:space="preserve"> / bzw. die Zwecke</w:t>
      </w:r>
      <w:r w:rsidRPr="001B07E2">
        <w:t xml:space="preserve"> der Verarbeitung entsprechend dem, Stand der Technik klassifiziert werden können</w:t>
      </w:r>
      <w:r w:rsidRPr="001B07E2">
        <w:rPr>
          <w:rStyle w:val="Funotenzeichen"/>
        </w:rPr>
        <w:footnoteReference w:id="8"/>
      </w:r>
      <w:r w:rsidRPr="001B07E2">
        <w:t>.</w:t>
      </w:r>
    </w:p>
    <w:p w:rsidR="00AF5A49" w:rsidRDefault="00304E4F" w:rsidP="00304E4F">
      <w:r w:rsidRPr="001B07E2">
        <w:t>Grundsätzlich gibt die DS-GVO nicht vor, wie detailliert der Verarbeitungszweck dargestellt werden muss.</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 xml:space="preserve">b DS-GVO gibt vor, dass personenbezogene Daten nur </w:t>
      </w:r>
      <w:r w:rsidR="00AF5A49">
        <w:t xml:space="preserve">zu </w:t>
      </w:r>
      <w:r w:rsidRPr="001B07E2">
        <w:t>festgelegte</w:t>
      </w:r>
      <w:r w:rsidR="00AF5A49">
        <w:t>n</w:t>
      </w:r>
      <w:r w:rsidRPr="001B07E2">
        <w:t>, eindeutige</w:t>
      </w:r>
      <w:r w:rsidR="00AF5A49">
        <w:t>n</w:t>
      </w:r>
      <w:r w:rsidRPr="001B07E2">
        <w:t xml:space="preserve"> und legitime</w:t>
      </w:r>
      <w:r w:rsidR="00AF5A49">
        <w:t>n</w:t>
      </w:r>
      <w:r w:rsidRPr="001B07E2">
        <w:t xml:space="preserve"> Zwecke</w:t>
      </w:r>
      <w:r w:rsidR="00AF5A49">
        <w:t>n</w:t>
      </w:r>
      <w:r w:rsidRPr="001B07E2">
        <w:t xml:space="preserve"> verarbeitet werden dürfen. D. h., der Verarbeitungszweck muss </w:t>
      </w:r>
      <w:r w:rsidRPr="001B07E2">
        <w:lastRenderedPageBreak/>
        <w:t xml:space="preserve">derart </w:t>
      </w:r>
      <w:r w:rsidR="00AF5A49">
        <w:t xml:space="preserve">umfassend </w:t>
      </w:r>
      <w:r w:rsidRPr="001B07E2">
        <w:t xml:space="preserve">beschrieben werden, dass die Zwecke eindeutig erkennbar sind und somit keine Deutungsmöglichkeiten bzgl. des beabsichtigten Verarbeitungszweckes bestehen. </w:t>
      </w:r>
    </w:p>
    <w:p w:rsidR="008B79F5" w:rsidRPr="001B07E2" w:rsidRDefault="00304E4F" w:rsidP="00304E4F">
      <w:r w:rsidRPr="001B07E2">
        <w:t>Auch aus</w:t>
      </w:r>
      <w:r w:rsidR="006C02A2" w:rsidRPr="001B07E2">
        <w:t xml:space="preserve"> Artt. </w:t>
      </w:r>
      <w:r w:rsidRPr="001B07E2">
        <w:t xml:space="preserve">13 und 14 DS-GVO ist zu ersehen, dass der </w:t>
      </w:r>
      <w:r w:rsidR="00AF5A49">
        <w:t>Verarbeitungsz</w:t>
      </w:r>
      <w:r w:rsidRPr="001B07E2">
        <w:t>weck bzw. die Zwecke derart genau beschrieben sein müssen, da</w:t>
      </w:r>
      <w:r w:rsidR="00AF5A49">
        <w:t>mit darau</w:t>
      </w:r>
      <w:r w:rsidRPr="001B07E2">
        <w:t>s die betroffenen Personen erkennen können, wie und wozu der Verantwortliche die sie betreffenden Daten verarbeiten will</w:t>
      </w:r>
      <w:r w:rsidR="00AF5A49" w:rsidRPr="00AF5A49">
        <w:t xml:space="preserve"> </w:t>
      </w:r>
      <w:r w:rsidR="00AF5A49">
        <w:t>bzw. verarbeitet</w:t>
      </w:r>
      <w:r w:rsidRPr="001B07E2">
        <w:t>.</w:t>
      </w:r>
    </w:p>
    <w:p w:rsidR="008B79F5" w:rsidRPr="001B07E2" w:rsidRDefault="008B79F5" w:rsidP="008B79F5">
      <w:r w:rsidRPr="001B07E2">
        <w:t xml:space="preserve">Der Verantwortliche muss die Notwendigkeit der </w:t>
      </w:r>
      <w:r w:rsidR="00AF5A49">
        <w:t xml:space="preserve">von ihm verwendeten </w:t>
      </w:r>
      <w:r w:rsidRPr="001B07E2">
        <w:t>Daten zur Erreichung des Verarbeitungszweckes nachweisen</w:t>
      </w:r>
      <w:r w:rsidR="00AF5A49">
        <w:t>. Das gleiche gilt für die</w:t>
      </w:r>
      <w:r w:rsidRPr="001B07E2">
        <w:t xml:space="preserve"> Verhältnismäßigkeit der Verarbeitungsvorgänge in Bezug auf den Zweck. </w:t>
      </w:r>
      <w:r w:rsidR="00AF5A49">
        <w:t>Ein solcher Nachweis</w:t>
      </w:r>
      <w:r w:rsidRPr="001B07E2">
        <w:t xml:space="preserve"> ist </w:t>
      </w:r>
      <w:r w:rsidR="00AF5A49">
        <w:t xml:space="preserve">jedoch </w:t>
      </w:r>
      <w:r w:rsidRPr="001B07E2">
        <w:t>nur möglich, wenn der Zweck hinreichend genau dargestellt ist.</w:t>
      </w:r>
    </w:p>
    <w:p w:rsidR="008B79F5" w:rsidRPr="001B07E2" w:rsidRDefault="008B79F5" w:rsidP="008B79F5">
      <w:r w:rsidRPr="001B07E2">
        <w:t xml:space="preserve">Somit liegt die Detailliertheit der Zweckangabe beim Verantwortlichen, dem die schwierige Aufgabe </w:t>
      </w:r>
      <w:r w:rsidR="00AF5A49">
        <w:t>zukommt</w:t>
      </w:r>
      <w:r w:rsidRPr="001B07E2">
        <w:t>, einerseits den Zweck hinreichend konkret anzugeben, andererseits den Grad der Detailliertheit aber nicht so tief zu setzen, dass die daraus resultierenden administrativen Aufgaben nicht mehr zu bewältigen sind.</w:t>
      </w:r>
    </w:p>
    <w:p w:rsidR="00002229" w:rsidRPr="001B07E2" w:rsidRDefault="00002229" w:rsidP="00002229">
      <w:pPr>
        <w:pStyle w:val="berschrift5"/>
      </w:pPr>
      <w:r w:rsidRPr="001B07E2">
        <w:t>Risiken der Verarbeitung</w:t>
      </w:r>
    </w:p>
    <w:p w:rsidR="000F3C6F" w:rsidRPr="001B07E2" w:rsidRDefault="000F3C6F" w:rsidP="000F3C6F">
      <w:r w:rsidRPr="001B07E2">
        <w:t>Die DS-GVO definiert nicht den Begriff „Risiko“</w:t>
      </w:r>
      <w:r w:rsidR="00AF5A49">
        <w:t>, sondern umschreibt ihn vielmehr. So ist gem.</w:t>
      </w:r>
      <w:r w:rsidR="006C02A2" w:rsidRPr="001B07E2">
        <w:t xml:space="preserve"> </w:t>
      </w:r>
      <w:r w:rsidR="00C94108" w:rsidRPr="001B07E2">
        <w:t>ErwGr. </w:t>
      </w:r>
      <w:r w:rsidRPr="001B07E2">
        <w:t>75 DS-GVO darunter die Einschätzung zu verstehen, ob eine Verarbeitung personenbezogener Daten „zu einem physischen, materiellen oder immateriellen Schaden“ bei de</w:t>
      </w:r>
      <w:r w:rsidR="00AF5A49">
        <w:t>r</w:t>
      </w:r>
      <w:r w:rsidRPr="001B07E2">
        <w:t xml:space="preserve"> von der Verarbeitung betroffenen Person führen k</w:t>
      </w:r>
      <w:r w:rsidR="00AF5A49">
        <w:t>a</w:t>
      </w:r>
      <w:r w:rsidRPr="001B07E2">
        <w:t>nn, wobei die</w:t>
      </w:r>
      <w:r w:rsidR="00AF5A49">
        <w:t>se</w:t>
      </w:r>
      <w:r w:rsidRPr="001B07E2">
        <w:t xml:space="preserve"> Betrachtung die „unterschiedliche Eintrittswahrscheinlichkeit und Schwere“ berücksichtigen muss. Die Höhe des Risikos für die Rechte und Freiheiten natürlicher Personen ist bzgl. der von</w:t>
      </w:r>
      <w:r w:rsidR="006C02A2" w:rsidRPr="001B07E2">
        <w:t xml:space="preserve"> Art. </w:t>
      </w:r>
      <w:r w:rsidR="00304E4F" w:rsidRPr="001B07E2">
        <w:t>25</w:t>
      </w:r>
      <w:r w:rsidR="006C02A2" w:rsidRPr="001B07E2">
        <w:t xml:space="preserve"> Abs. </w:t>
      </w:r>
      <w:r w:rsidR="00304E4F" w:rsidRPr="001B07E2">
        <w:t xml:space="preserve">1 DS-GVO </w:t>
      </w:r>
      <w:r w:rsidRPr="001B07E2">
        <w:t>geforderten zu treffenden Schutzmaßnahmen somit in Abhängigkeit der beiden Größen „Eintrittswahrscheinlichkeit“ und „Schadensschwere“ darzustellen</w:t>
      </w:r>
      <w:r w:rsidRPr="001B07E2">
        <w:rPr>
          <w:rStyle w:val="Funotenzeichen"/>
        </w:rPr>
        <w:footnoteReference w:id="9"/>
      </w:r>
      <w:r w:rsidRPr="001B07E2">
        <w:t>: ein „hohes“ Risiko erfordert umfangreichere und wirksamere Schutzmaßnahmen als ein „normales“ (im Sinne des „Lebensrisikos“</w:t>
      </w:r>
      <w:r w:rsidRPr="001B07E2">
        <w:rPr>
          <w:rStyle w:val="Funotenzeichen"/>
        </w:rPr>
        <w:footnoteReference w:id="10"/>
      </w:r>
      <w:r w:rsidRPr="001B07E2">
        <w:t>) Risiko.</w:t>
      </w:r>
    </w:p>
    <w:p w:rsidR="00AF5A49" w:rsidRDefault="000F3C6F" w:rsidP="000F3C6F">
      <w:r w:rsidRPr="001B07E2">
        <w:t>Gemäß</w:t>
      </w:r>
      <w:r w:rsidR="006C02A2" w:rsidRPr="001B07E2">
        <w:t xml:space="preserve"> </w:t>
      </w:r>
      <w:r w:rsidR="00C94108" w:rsidRPr="001B07E2">
        <w:t>ErwGr. </w:t>
      </w:r>
      <w:r w:rsidRPr="001B07E2">
        <w:t>76 DS-GVO soll die Eintrittswahrscheinlichkeit und die Schwere des Risikos für die Rechte und Freiheiten der betroffenen Person „in Bezug auf die Art, den Umfang, die Umstände und die Zwecke der Verarbeitung“ bestimmt werden.“ Weiterhin soll das Risiko anhand einer objektiven Bewertung beurteilt werden.</w:t>
      </w:r>
      <w:r w:rsidR="00217641" w:rsidRPr="001B07E2">
        <w:t xml:space="preserve"> Dabei gibt d</w:t>
      </w:r>
      <w:r w:rsidRPr="001B07E2">
        <w:t xml:space="preserve">ie DS-GVO </w:t>
      </w:r>
      <w:r w:rsidR="00AF5A49">
        <w:t xml:space="preserve">jedoch </w:t>
      </w:r>
      <w:r w:rsidRPr="001B07E2">
        <w:t xml:space="preserve">nicht </w:t>
      </w:r>
      <w:r w:rsidR="00217641" w:rsidRPr="001B07E2">
        <w:t>vor</w:t>
      </w:r>
      <w:r w:rsidRPr="001B07E2">
        <w:t xml:space="preserve">, wann das Risiko einer Verarbeitung „hoch“ ist. </w:t>
      </w:r>
    </w:p>
    <w:p w:rsidR="000F3C6F" w:rsidRPr="001B07E2" w:rsidRDefault="000F3C6F" w:rsidP="000F3C6F">
      <w:r w:rsidRPr="001B07E2">
        <w:t xml:space="preserve">Ein Risiko ist zumindest </w:t>
      </w:r>
      <w:r w:rsidR="00AF5A49">
        <w:t xml:space="preserve">immer </w:t>
      </w:r>
      <w:r w:rsidRPr="001B07E2">
        <w:t>dann als „hoch“ einzustufen, wenn mit „hoher Wahrscheinlichkeit ein Schaden für die Rechte und Freiheiten natürlicher Personen“ anzunehmen ist.</w:t>
      </w:r>
      <w:r w:rsidRPr="001B07E2">
        <w:rPr>
          <w:rStyle w:val="Funotenzeichen"/>
        </w:rPr>
        <w:footnoteReference w:id="11"/>
      </w:r>
      <w:r w:rsidRPr="001B07E2">
        <w:t xml:space="preserve"> Eine hohe </w:t>
      </w:r>
      <w:r w:rsidR="00AF5A49">
        <w:t>Schadensw</w:t>
      </w:r>
      <w:r w:rsidRPr="001B07E2">
        <w:t xml:space="preserve">ahrscheinlichkeit kann sowohl aus einer hohen Eintrittswahrscheinlichkeit als auch aus einem hohen Schaden resultieren. </w:t>
      </w:r>
      <w:r w:rsidR="00217641" w:rsidRPr="001B07E2">
        <w:t>We</w:t>
      </w:r>
      <w:r w:rsidRPr="001B07E2">
        <w:t>iterhin ergibt sich aus</w:t>
      </w:r>
      <w:r w:rsidR="006C02A2" w:rsidRPr="001B07E2">
        <w:t xml:space="preserve"> </w:t>
      </w:r>
      <w:r w:rsidR="00C94108" w:rsidRPr="001B07E2">
        <w:t>ErwGr. </w:t>
      </w:r>
      <w:r w:rsidRPr="001B07E2">
        <w:t>91</w:t>
      </w:r>
      <w:r w:rsidR="00217641" w:rsidRPr="001B07E2">
        <w:t xml:space="preserve"> DS-GVO</w:t>
      </w:r>
      <w:r w:rsidRPr="001B07E2">
        <w:t xml:space="preserve">, dass insbesondere </w:t>
      </w:r>
      <w:r w:rsidR="006F7164">
        <w:t xml:space="preserve">auch </w:t>
      </w:r>
      <w:r w:rsidRPr="001B07E2">
        <w:t xml:space="preserve">die Sensibilität der </w:t>
      </w:r>
      <w:r w:rsidR="006F7164">
        <w:t xml:space="preserve">zu verarbeitenden </w:t>
      </w:r>
      <w:r w:rsidRPr="001B07E2">
        <w:t>Daten die Wahrscheinlichkeit eines „hohen“ Risikos vermuten lässt.</w:t>
      </w:r>
    </w:p>
    <w:p w:rsidR="000F3C6F" w:rsidRPr="001B07E2" w:rsidRDefault="000F3C6F" w:rsidP="006E7439">
      <w:pPr>
        <w:spacing w:after="0"/>
      </w:pPr>
      <w:r w:rsidRPr="001B07E2">
        <w:lastRenderedPageBreak/>
        <w:t>Laut</w:t>
      </w:r>
      <w:r w:rsidR="006C02A2" w:rsidRPr="001B07E2">
        <w:t xml:space="preserve"> </w:t>
      </w:r>
      <w:r w:rsidR="00C94108" w:rsidRPr="001B07E2">
        <w:t>ErwGr. </w:t>
      </w:r>
      <w:r w:rsidRPr="001B07E2">
        <w:t xml:space="preserve">75 </w:t>
      </w:r>
      <w:r w:rsidR="00217641" w:rsidRPr="001B07E2">
        <w:t xml:space="preserve">DS-GVO </w:t>
      </w:r>
      <w:r w:rsidRPr="001B07E2">
        <w:t>ist von „hohen“ Risiken für die Rechte und Freiheiten natürlicher Personen insbesondere dann auszugehen ist, wenn die Verarbeitung zu</w:t>
      </w:r>
    </w:p>
    <w:p w:rsidR="000F3C6F" w:rsidRPr="001B07E2" w:rsidRDefault="000F3C6F" w:rsidP="006E7439">
      <w:pPr>
        <w:pStyle w:val="Listenabsatz"/>
        <w:numPr>
          <w:ilvl w:val="0"/>
          <w:numId w:val="21"/>
        </w:numPr>
        <w:tabs>
          <w:tab w:val="clear" w:pos="1559"/>
        </w:tabs>
        <w:spacing w:after="80"/>
        <w:ind w:left="714" w:hanging="357"/>
        <w:jc w:val="left"/>
      </w:pPr>
      <w:r w:rsidRPr="001B07E2">
        <w:t>einer Diskriminierung,</w:t>
      </w:r>
    </w:p>
    <w:p w:rsidR="000F3C6F" w:rsidRPr="001B07E2" w:rsidRDefault="000F3C6F" w:rsidP="000F3C6F">
      <w:pPr>
        <w:pStyle w:val="Listenabsatz"/>
        <w:numPr>
          <w:ilvl w:val="0"/>
          <w:numId w:val="21"/>
        </w:numPr>
        <w:tabs>
          <w:tab w:val="clear" w:pos="1559"/>
        </w:tabs>
        <w:spacing w:before="40" w:after="80"/>
        <w:jc w:val="left"/>
      </w:pPr>
      <w:r w:rsidRPr="001B07E2">
        <w:t>einem Identitätsdiebstahl oder -betrug,</w:t>
      </w:r>
    </w:p>
    <w:p w:rsidR="000F3C6F" w:rsidRPr="001B07E2" w:rsidRDefault="000F3C6F" w:rsidP="000F3C6F">
      <w:pPr>
        <w:pStyle w:val="Listenabsatz"/>
        <w:numPr>
          <w:ilvl w:val="0"/>
          <w:numId w:val="21"/>
        </w:numPr>
        <w:tabs>
          <w:tab w:val="clear" w:pos="1559"/>
        </w:tabs>
        <w:spacing w:before="40" w:after="80"/>
        <w:jc w:val="left"/>
      </w:pPr>
      <w:r w:rsidRPr="001B07E2">
        <w:t>einem finanziellen Verlust,</w:t>
      </w:r>
    </w:p>
    <w:p w:rsidR="000F3C6F" w:rsidRPr="001B07E2" w:rsidRDefault="000F3C6F" w:rsidP="000F3C6F">
      <w:pPr>
        <w:pStyle w:val="Listenabsatz"/>
        <w:numPr>
          <w:ilvl w:val="0"/>
          <w:numId w:val="21"/>
        </w:numPr>
        <w:tabs>
          <w:tab w:val="clear" w:pos="1559"/>
        </w:tabs>
        <w:spacing w:before="40" w:after="80"/>
        <w:jc w:val="left"/>
      </w:pPr>
      <w:r w:rsidRPr="001B07E2">
        <w:t>einer Rufschädigung,</w:t>
      </w:r>
    </w:p>
    <w:p w:rsidR="000F3C6F" w:rsidRPr="001B07E2" w:rsidRDefault="000F3C6F" w:rsidP="000F3C6F">
      <w:pPr>
        <w:pStyle w:val="Listenabsatz"/>
        <w:numPr>
          <w:ilvl w:val="0"/>
          <w:numId w:val="21"/>
        </w:numPr>
        <w:tabs>
          <w:tab w:val="clear" w:pos="1559"/>
        </w:tabs>
        <w:spacing w:before="40" w:after="80"/>
        <w:jc w:val="left"/>
      </w:pPr>
      <w:r w:rsidRPr="001B07E2">
        <w:t>einem Verlust der Vertraulichkeit von dem Berufsgeheimnis unterliegenden personenbezogenen Daten,</w:t>
      </w:r>
    </w:p>
    <w:p w:rsidR="000F3C6F" w:rsidRPr="001B07E2" w:rsidRDefault="000F3C6F" w:rsidP="006E7439">
      <w:pPr>
        <w:pStyle w:val="Listenabsatz"/>
        <w:numPr>
          <w:ilvl w:val="0"/>
          <w:numId w:val="21"/>
        </w:numPr>
        <w:tabs>
          <w:tab w:val="clear" w:pos="1559"/>
        </w:tabs>
        <w:spacing w:before="40" w:after="0"/>
        <w:ind w:left="714" w:hanging="357"/>
        <w:jc w:val="left"/>
      </w:pPr>
      <w:r w:rsidRPr="001B07E2">
        <w:t>der unbefugten Aufhebung der Pseudonymisierung</w:t>
      </w:r>
    </w:p>
    <w:p w:rsidR="000F3C6F" w:rsidRPr="001B07E2" w:rsidRDefault="000F3C6F" w:rsidP="006E7439">
      <w:r w:rsidRPr="001B07E2">
        <w:t>oder anderen erheblichen wirtschaftlichen oder gesellschaftlichen Nachteilen führen kann. Desgleichen, wenn die betroffenen Personen um ihre Rechte und Freiheiten gebracht oder daran gehindert werden, die sie betreffenden personenbezogenen Daten zu kontrollieren. Insbesondere wenn personenbezogene Daten verarbeitet werden, die zu den besonderen Kategorien von Daten gemäß</w:t>
      </w:r>
      <w:r w:rsidR="006C02A2" w:rsidRPr="001B07E2">
        <w:t xml:space="preserve"> Art. </w:t>
      </w:r>
      <w:r w:rsidR="00304E4F" w:rsidRPr="001B07E2">
        <w:t xml:space="preserve">9 DS-GVO </w:t>
      </w:r>
      <w:r w:rsidRPr="001B07E2">
        <w:t>gehören, muss von hohen Risiken ausgegangen werden.</w:t>
      </w:r>
    </w:p>
    <w:p w:rsidR="00B8254E" w:rsidRPr="001B07E2" w:rsidRDefault="00B8254E" w:rsidP="00C50C49">
      <w:pPr>
        <w:pStyle w:val="berschrift4"/>
      </w:pPr>
      <w:bookmarkStart w:id="101" w:name="_Toc514832485"/>
      <w:r w:rsidRPr="001B07E2">
        <w:t>Stand der Technik</w:t>
      </w:r>
      <w:bookmarkEnd w:id="95"/>
      <w:bookmarkEnd w:id="101"/>
    </w:p>
    <w:p w:rsidR="00B8254E" w:rsidRPr="001B07E2" w:rsidRDefault="00B8254E" w:rsidP="00B8254E">
      <w:pPr>
        <w:spacing w:after="0"/>
      </w:pPr>
      <w:r w:rsidRPr="001B07E2">
        <w:t>Der in</w:t>
      </w:r>
      <w:r w:rsidR="006C02A2" w:rsidRPr="001B07E2">
        <w:t xml:space="preserve"> Art. </w:t>
      </w:r>
      <w:r w:rsidRPr="001B07E2">
        <w:t>25 DS-GVO geforderte „Stand der Technik“ beinhaltet u.a. die Anforderung, fortschrittliche Verfahren, Einrichtungen oder Betriebsweisen mit praktischer Eignung bzgl. Maßnahmen zum Schutz der Funktionsfähigkeit (i.S.v.</w:t>
      </w:r>
      <w:r w:rsidR="006C02A2" w:rsidRPr="001B07E2">
        <w:t xml:space="preserve"> Art. </w:t>
      </w:r>
      <w:r w:rsidRPr="001B07E2">
        <w:t>25 DS-GVO der Schutz der Rechte und Freiheiten natürlicher Personen) einzusetzen. D</w:t>
      </w:r>
      <w:r w:rsidR="006F7164">
        <w:t>ie konkreten Anforderungen an d</w:t>
      </w:r>
      <w:r w:rsidRPr="001B07E2">
        <w:t xml:space="preserve">en Stand der Technik bzgl. Privacy </w:t>
      </w:r>
      <w:proofErr w:type="spellStart"/>
      <w:r w:rsidRPr="001B07E2">
        <w:t>by</w:t>
      </w:r>
      <w:proofErr w:type="spellEnd"/>
      <w:r w:rsidRPr="001B07E2">
        <w:t xml:space="preserve"> Design </w:t>
      </w:r>
      <w:r w:rsidR="006F7164">
        <w:t>lassen sic</w:t>
      </w:r>
      <w:r w:rsidR="003761A8">
        <w:t>h</w:t>
      </w:r>
      <w:r w:rsidR="006F7164">
        <w:t xml:space="preserve"> aus den</w:t>
      </w:r>
      <w:r w:rsidRPr="001B07E2">
        <w:t xml:space="preserve"> von Ann </w:t>
      </w:r>
      <w:proofErr w:type="spellStart"/>
      <w:r w:rsidRPr="001B07E2">
        <w:t>Cavoukian</w:t>
      </w:r>
      <w:proofErr w:type="spellEnd"/>
      <w:r w:rsidRPr="001B07E2">
        <w:t xml:space="preserve"> aufgestellten „The 7 </w:t>
      </w:r>
      <w:proofErr w:type="spellStart"/>
      <w:r w:rsidRPr="001B07E2">
        <w:t>Foundational</w:t>
      </w:r>
      <w:proofErr w:type="spellEnd"/>
      <w:r w:rsidRPr="001B07E2">
        <w:t xml:space="preserve"> </w:t>
      </w:r>
      <w:proofErr w:type="spellStart"/>
      <w:r w:rsidRPr="001B07E2">
        <w:t>Principles</w:t>
      </w:r>
      <w:proofErr w:type="spellEnd"/>
      <w:r w:rsidRPr="001B07E2">
        <w:t xml:space="preserve">“ </w:t>
      </w:r>
      <w:r w:rsidR="006F7164">
        <w:t>ableiten, die da sind</w:t>
      </w:r>
      <w:r w:rsidRPr="001B07E2">
        <w:rPr>
          <w:rStyle w:val="Funotenzeichen"/>
        </w:rPr>
        <w:footnoteReference w:id="12"/>
      </w:r>
      <w:r w:rsidRPr="001B07E2">
        <w:t>:</w:t>
      </w:r>
    </w:p>
    <w:p w:rsidR="00B8254E" w:rsidRPr="001B07E2" w:rsidRDefault="00B8254E" w:rsidP="00B8254E">
      <w:pPr>
        <w:pStyle w:val="Listenabsatz"/>
        <w:numPr>
          <w:ilvl w:val="0"/>
          <w:numId w:val="6"/>
        </w:numPr>
      </w:pPr>
      <w:proofErr w:type="spellStart"/>
      <w:r w:rsidRPr="001B07E2">
        <w:t>Proactive</w:t>
      </w:r>
      <w:proofErr w:type="spellEnd"/>
      <w:r w:rsidRPr="001B07E2">
        <w:t xml:space="preserve"> not </w:t>
      </w:r>
      <w:proofErr w:type="spellStart"/>
      <w:r w:rsidRPr="001B07E2">
        <w:t>Reactive</w:t>
      </w:r>
      <w:proofErr w:type="spellEnd"/>
      <w:r w:rsidRPr="001B07E2">
        <w:t xml:space="preserve">; </w:t>
      </w:r>
      <w:proofErr w:type="spellStart"/>
      <w:r w:rsidRPr="001B07E2">
        <w:t>Preventative</w:t>
      </w:r>
      <w:proofErr w:type="spellEnd"/>
      <w:r w:rsidRPr="001B07E2">
        <w:t xml:space="preserve"> not </w:t>
      </w:r>
      <w:proofErr w:type="spellStart"/>
      <w:r w:rsidRPr="001B07E2">
        <w:t>Remedial</w:t>
      </w:r>
      <w:proofErr w:type="spellEnd"/>
    </w:p>
    <w:p w:rsidR="00B8254E" w:rsidRPr="001B07E2" w:rsidRDefault="00B8254E" w:rsidP="00B8254E">
      <w:pPr>
        <w:pStyle w:val="Listenabsatz"/>
      </w:pPr>
      <w:r w:rsidRPr="001B07E2">
        <w:t xml:space="preserve">Der Privacy </w:t>
      </w:r>
      <w:proofErr w:type="spellStart"/>
      <w:r w:rsidRPr="001B07E2">
        <w:t>by</w:t>
      </w:r>
      <w:proofErr w:type="spellEnd"/>
      <w:r w:rsidRPr="001B07E2">
        <w:t xml:space="preserve"> Design Ansatz ist von proaktiven, nicht von reaktiven Maßnahmen geprägt, Privacy </w:t>
      </w:r>
      <w:proofErr w:type="spellStart"/>
      <w:r w:rsidRPr="001B07E2">
        <w:t>by</w:t>
      </w:r>
      <w:proofErr w:type="spellEnd"/>
      <w:r w:rsidRPr="001B07E2">
        <w:t xml:space="preserve"> Design soll Datenschutzverletzungen verhindern. Jedoch bietet Privacy </w:t>
      </w:r>
      <w:proofErr w:type="spellStart"/>
      <w:r w:rsidRPr="001B07E2">
        <w:t>by</w:t>
      </w:r>
      <w:proofErr w:type="spellEnd"/>
      <w:r w:rsidRPr="001B07E2">
        <w:t xml:space="preserve"> Design keine Abhilfe, wenn Datenschutzverletzungen eingetreten sind.</w:t>
      </w:r>
    </w:p>
    <w:p w:rsidR="00B8254E" w:rsidRPr="001B07E2" w:rsidRDefault="00B8254E" w:rsidP="00B8254E">
      <w:pPr>
        <w:pStyle w:val="Listenabsatz"/>
        <w:numPr>
          <w:ilvl w:val="0"/>
          <w:numId w:val="6"/>
        </w:numPr>
      </w:pPr>
      <w:r w:rsidRPr="001B07E2">
        <w:t xml:space="preserve">Privacy </w:t>
      </w:r>
      <w:proofErr w:type="spellStart"/>
      <w:r w:rsidRPr="001B07E2">
        <w:t>as</w:t>
      </w:r>
      <w:proofErr w:type="spellEnd"/>
      <w:r w:rsidRPr="001B07E2">
        <w:t xml:space="preserve"> </w:t>
      </w:r>
      <w:proofErr w:type="spellStart"/>
      <w:r w:rsidRPr="001B07E2">
        <w:t>the</w:t>
      </w:r>
      <w:proofErr w:type="spellEnd"/>
      <w:r w:rsidRPr="001B07E2">
        <w:t xml:space="preserve"> Default Setting</w:t>
      </w:r>
    </w:p>
    <w:p w:rsidR="00B8254E" w:rsidRPr="001B07E2" w:rsidRDefault="00B8254E" w:rsidP="00B8254E">
      <w:pPr>
        <w:pStyle w:val="Listenabsatz"/>
      </w:pPr>
      <w:r w:rsidRPr="001B07E2">
        <w:t xml:space="preserve">Datenschutz als Standardeinstellung soll den bestmöglichen Schutz der Privatsphäre gewährleisten. Die Zielsetzung dabei ist, dass die von der Verarbeitung betroffenen Personen nichts für den Schutz leisten müssen, denn der Schutz ist systemimmanent als Standardeinstellung vorhanden. Jedoch muss die betroffene Person </w:t>
      </w:r>
      <w:r w:rsidR="006F7164">
        <w:t xml:space="preserve">stets </w:t>
      </w:r>
      <w:r w:rsidRPr="001B07E2">
        <w:t>die Möglichkeit haben, d</w:t>
      </w:r>
      <w:r w:rsidR="006F7164">
        <w:t>as</w:t>
      </w:r>
      <w:r w:rsidRPr="001B07E2">
        <w:t xml:space="preserve"> Schutz</w:t>
      </w:r>
      <w:r w:rsidR="006F7164">
        <w:t>niveau</w:t>
      </w:r>
      <w:r w:rsidRPr="001B07E2">
        <w:t xml:space="preserve"> </w:t>
      </w:r>
      <w:r w:rsidR="006F7164">
        <w:t xml:space="preserve">(freiwillig) </w:t>
      </w:r>
      <w:r w:rsidRPr="001B07E2">
        <w:t>zu verringern.</w:t>
      </w:r>
    </w:p>
    <w:p w:rsidR="00B8254E" w:rsidRPr="001B07E2" w:rsidRDefault="00B8254E" w:rsidP="00B8254E">
      <w:pPr>
        <w:pStyle w:val="Listenabsatz"/>
        <w:numPr>
          <w:ilvl w:val="0"/>
          <w:numId w:val="6"/>
        </w:numPr>
      </w:pPr>
      <w:r w:rsidRPr="001B07E2">
        <w:t xml:space="preserve">Privacy Embedded </w:t>
      </w:r>
      <w:proofErr w:type="spellStart"/>
      <w:r w:rsidRPr="001B07E2">
        <w:t>into</w:t>
      </w:r>
      <w:proofErr w:type="spellEnd"/>
      <w:r w:rsidRPr="001B07E2">
        <w:t xml:space="preserve"> Design</w:t>
      </w:r>
    </w:p>
    <w:p w:rsidR="00B8254E" w:rsidRPr="001B07E2" w:rsidRDefault="00B8254E" w:rsidP="00B8254E">
      <w:pPr>
        <w:pStyle w:val="Listenabsatz"/>
      </w:pPr>
      <w:r w:rsidRPr="001B07E2">
        <w:t xml:space="preserve">Privacy </w:t>
      </w:r>
      <w:proofErr w:type="spellStart"/>
      <w:r w:rsidRPr="001B07E2">
        <w:t>by</w:t>
      </w:r>
      <w:proofErr w:type="spellEnd"/>
      <w:r w:rsidRPr="001B07E2">
        <w:t xml:space="preserve"> Design ist in das Design und die Architektur von IT-Systemen und Geschäftspraktiken eingebettet. D. h. Datenschutz ist ein wesentlicher Bestandteil des Systems, ohne Abstriche bei der Funktionalität.</w:t>
      </w:r>
    </w:p>
    <w:p w:rsidR="00B8254E" w:rsidRPr="001B07E2" w:rsidRDefault="00B8254E" w:rsidP="00B8254E">
      <w:pPr>
        <w:pStyle w:val="Listenabsatz"/>
        <w:numPr>
          <w:ilvl w:val="0"/>
          <w:numId w:val="6"/>
        </w:numPr>
      </w:pPr>
      <w:proofErr w:type="spellStart"/>
      <w:r w:rsidRPr="001B07E2">
        <w:t>Full</w:t>
      </w:r>
      <w:proofErr w:type="spellEnd"/>
      <w:r w:rsidRPr="001B07E2">
        <w:t xml:space="preserve"> </w:t>
      </w:r>
      <w:proofErr w:type="spellStart"/>
      <w:r w:rsidRPr="001B07E2">
        <w:t>Functionality</w:t>
      </w:r>
      <w:proofErr w:type="spellEnd"/>
      <w:r w:rsidRPr="001B07E2">
        <w:t xml:space="preserve"> — Positive-</w:t>
      </w:r>
      <w:proofErr w:type="spellStart"/>
      <w:r w:rsidRPr="001B07E2">
        <w:t>Sum</w:t>
      </w:r>
      <w:proofErr w:type="spellEnd"/>
      <w:r w:rsidRPr="001B07E2">
        <w:t>, not Zero-</w:t>
      </w:r>
      <w:proofErr w:type="spellStart"/>
      <w:r w:rsidRPr="001B07E2">
        <w:t>Sum</w:t>
      </w:r>
      <w:proofErr w:type="spellEnd"/>
    </w:p>
    <w:p w:rsidR="00B8254E" w:rsidRPr="001B07E2" w:rsidRDefault="00B8254E" w:rsidP="00B8254E">
      <w:pPr>
        <w:pStyle w:val="Listenabsatz"/>
      </w:pPr>
      <w:r w:rsidRPr="001B07E2">
        <w:t xml:space="preserve">Privacy </w:t>
      </w:r>
      <w:proofErr w:type="spellStart"/>
      <w:r w:rsidRPr="001B07E2">
        <w:t>by</w:t>
      </w:r>
      <w:proofErr w:type="spellEnd"/>
      <w:r w:rsidRPr="001B07E2">
        <w:t xml:space="preserve"> Design bietet volle Funktionalität, es stellt eine Positivsumme</w:t>
      </w:r>
      <w:r w:rsidR="006F7164">
        <w:t xml:space="preserve"> dar</w:t>
      </w:r>
      <w:r w:rsidRPr="001B07E2">
        <w:t xml:space="preserve">, keine Nullsumme. D. h. Privacy </w:t>
      </w:r>
      <w:proofErr w:type="spellStart"/>
      <w:r w:rsidRPr="001B07E2">
        <w:t>by</w:t>
      </w:r>
      <w:proofErr w:type="spellEnd"/>
      <w:r w:rsidRPr="001B07E2">
        <w:t xml:space="preserve"> Design kommt allen berechtigten Interessen und Zielen entgegen, sowohl </w:t>
      </w:r>
      <w:r w:rsidR="006F7164">
        <w:t xml:space="preserve">denen von </w:t>
      </w:r>
      <w:r w:rsidRPr="001B07E2">
        <w:t xml:space="preserve">Verarbeitern der Daten als auch </w:t>
      </w:r>
      <w:r w:rsidR="006F7164">
        <w:t xml:space="preserve">denen </w:t>
      </w:r>
      <w:r w:rsidRPr="001B07E2">
        <w:t>de</w:t>
      </w:r>
      <w:r w:rsidR="006F7164">
        <w:t>r</w:t>
      </w:r>
      <w:r w:rsidRPr="001B07E2">
        <w:t xml:space="preserve"> betroffenen Personen. Datenschutz stellt </w:t>
      </w:r>
      <w:r w:rsidR="006F7164">
        <w:t xml:space="preserve">damit </w:t>
      </w:r>
      <w:r w:rsidRPr="001B07E2">
        <w:t xml:space="preserve">einen konstruktiven Begleitansatz </w:t>
      </w:r>
      <w:r w:rsidR="006F7164">
        <w:t>und</w:t>
      </w:r>
      <w:r w:rsidRPr="001B07E2">
        <w:t xml:space="preserve"> keine Verhinderung der Verarbeitung</w:t>
      </w:r>
      <w:r w:rsidR="006F7164">
        <w:t xml:space="preserve"> dar</w:t>
      </w:r>
      <w:r w:rsidRPr="001B07E2">
        <w:t>.</w:t>
      </w:r>
    </w:p>
    <w:p w:rsidR="00B8254E" w:rsidRPr="001B07E2" w:rsidRDefault="00B8254E" w:rsidP="00B8254E">
      <w:pPr>
        <w:pStyle w:val="Listenabsatz"/>
        <w:numPr>
          <w:ilvl w:val="0"/>
          <w:numId w:val="6"/>
        </w:numPr>
      </w:pPr>
      <w:r w:rsidRPr="001B07E2">
        <w:t>End-</w:t>
      </w:r>
      <w:proofErr w:type="spellStart"/>
      <w:r w:rsidRPr="001B07E2">
        <w:t>to</w:t>
      </w:r>
      <w:proofErr w:type="spellEnd"/>
      <w:r w:rsidRPr="001B07E2">
        <w:t xml:space="preserve">-End Security — </w:t>
      </w:r>
      <w:proofErr w:type="spellStart"/>
      <w:r w:rsidRPr="001B07E2">
        <w:t>Full</w:t>
      </w:r>
      <w:proofErr w:type="spellEnd"/>
      <w:r w:rsidRPr="001B07E2">
        <w:t xml:space="preserve"> </w:t>
      </w:r>
      <w:proofErr w:type="spellStart"/>
      <w:r w:rsidRPr="001B07E2">
        <w:t>Lifecycle</w:t>
      </w:r>
      <w:proofErr w:type="spellEnd"/>
      <w:r w:rsidRPr="001B07E2">
        <w:t xml:space="preserve"> </w:t>
      </w:r>
      <w:proofErr w:type="spellStart"/>
      <w:r w:rsidRPr="001B07E2">
        <w:t>Protection</w:t>
      </w:r>
      <w:proofErr w:type="spellEnd"/>
    </w:p>
    <w:p w:rsidR="00B8254E" w:rsidRPr="001B07E2" w:rsidRDefault="00B8254E" w:rsidP="00B8254E">
      <w:pPr>
        <w:pStyle w:val="Listenabsatz"/>
      </w:pPr>
      <w:r w:rsidRPr="001B07E2">
        <w:lastRenderedPageBreak/>
        <w:t xml:space="preserve">Privacy </w:t>
      </w:r>
      <w:proofErr w:type="spellStart"/>
      <w:r w:rsidRPr="001B07E2">
        <w:t>by</w:t>
      </w:r>
      <w:proofErr w:type="spellEnd"/>
      <w:r w:rsidRPr="001B07E2">
        <w:t xml:space="preserve"> Design bietet eine durchgängige Sicherheit, d. h. einen Schutz während des gesamten Lebenszyklus der Daten. Von der Ersterfassung bis zum Löschen der Daten wird Privacy </w:t>
      </w:r>
      <w:proofErr w:type="spellStart"/>
      <w:r w:rsidRPr="001B07E2">
        <w:t>by</w:t>
      </w:r>
      <w:proofErr w:type="spellEnd"/>
      <w:r w:rsidRPr="001B07E2">
        <w:t xml:space="preserve"> Design umgesetzt.</w:t>
      </w:r>
    </w:p>
    <w:p w:rsidR="00B8254E" w:rsidRPr="001B07E2" w:rsidRDefault="00B8254E" w:rsidP="00B8254E">
      <w:pPr>
        <w:pStyle w:val="Listenabsatz"/>
        <w:numPr>
          <w:ilvl w:val="0"/>
          <w:numId w:val="6"/>
        </w:numPr>
      </w:pPr>
      <w:proofErr w:type="spellStart"/>
      <w:r w:rsidRPr="001B07E2">
        <w:t>Visibility</w:t>
      </w:r>
      <w:proofErr w:type="spellEnd"/>
      <w:r w:rsidRPr="001B07E2">
        <w:t xml:space="preserve"> </w:t>
      </w:r>
      <w:proofErr w:type="spellStart"/>
      <w:r w:rsidRPr="001B07E2">
        <w:t>and</w:t>
      </w:r>
      <w:proofErr w:type="spellEnd"/>
      <w:r w:rsidRPr="001B07E2">
        <w:t xml:space="preserve"> </w:t>
      </w:r>
      <w:proofErr w:type="spellStart"/>
      <w:r w:rsidRPr="001B07E2">
        <w:t>Transparency</w:t>
      </w:r>
      <w:proofErr w:type="spellEnd"/>
      <w:r w:rsidRPr="001B07E2">
        <w:t xml:space="preserve"> — Keep </w:t>
      </w:r>
      <w:proofErr w:type="spellStart"/>
      <w:r w:rsidRPr="001B07E2">
        <w:t>it</w:t>
      </w:r>
      <w:proofErr w:type="spellEnd"/>
      <w:r w:rsidRPr="001B07E2">
        <w:t xml:space="preserve"> Open</w:t>
      </w:r>
    </w:p>
    <w:p w:rsidR="00B8254E" w:rsidRPr="001B07E2" w:rsidRDefault="00B8254E" w:rsidP="00B8254E">
      <w:pPr>
        <w:pStyle w:val="Listenabsatz"/>
      </w:pPr>
      <w:r w:rsidRPr="001B07E2">
        <w:t xml:space="preserve">Privacy </w:t>
      </w:r>
      <w:proofErr w:type="spellStart"/>
      <w:r w:rsidRPr="001B07E2">
        <w:t>by</w:t>
      </w:r>
      <w:proofErr w:type="spellEnd"/>
      <w:r w:rsidRPr="001B07E2">
        <w:t xml:space="preserve"> Design bietet allen Beteiligten eine Sichtbarkeit und Transparenz bzgl. der Verarbeitung der Daten. D. h. einzelne Komponenten und Verfahren bleiben sichtbar und transparent; gleichermaßen für Nutzer und Anbieter.</w:t>
      </w:r>
    </w:p>
    <w:p w:rsidR="00B8254E" w:rsidRPr="001B07E2" w:rsidRDefault="00B8254E" w:rsidP="00B8254E">
      <w:pPr>
        <w:pStyle w:val="Listenabsatz"/>
        <w:numPr>
          <w:ilvl w:val="0"/>
          <w:numId w:val="6"/>
        </w:numPr>
      </w:pPr>
      <w:proofErr w:type="spellStart"/>
      <w:r w:rsidRPr="001B07E2">
        <w:t>Respect</w:t>
      </w:r>
      <w:proofErr w:type="spellEnd"/>
      <w:r w:rsidRPr="001B07E2">
        <w:t xml:space="preserve"> </w:t>
      </w:r>
      <w:proofErr w:type="spellStart"/>
      <w:r w:rsidRPr="001B07E2">
        <w:t>for</w:t>
      </w:r>
      <w:proofErr w:type="spellEnd"/>
      <w:r w:rsidRPr="001B07E2">
        <w:t xml:space="preserve"> User Privacy — Keep </w:t>
      </w:r>
      <w:proofErr w:type="spellStart"/>
      <w:r w:rsidRPr="001B07E2">
        <w:t>it</w:t>
      </w:r>
      <w:proofErr w:type="spellEnd"/>
      <w:r w:rsidRPr="001B07E2">
        <w:t xml:space="preserve"> User-</w:t>
      </w:r>
      <w:proofErr w:type="spellStart"/>
      <w:r w:rsidRPr="001B07E2">
        <w:t>Centric</w:t>
      </w:r>
      <w:proofErr w:type="spellEnd"/>
    </w:p>
    <w:p w:rsidR="00B8254E" w:rsidRPr="001B07E2" w:rsidRDefault="00B8254E" w:rsidP="00B8254E">
      <w:pPr>
        <w:pStyle w:val="Listenabsatz"/>
      </w:pPr>
      <w:r w:rsidRPr="001B07E2">
        <w:t>Es wird eine nutzerzentrierte Gestaltung gewährleistet. Die Wahrung der Privatsphäre der Nutzer ist jederzeit gesichert. Grundsätzlich stehen die Interessen der von der Verarbeitung betroffenen Personen an erster Stelle.</w:t>
      </w:r>
    </w:p>
    <w:p w:rsidR="00C257CB" w:rsidRPr="001B07E2" w:rsidRDefault="00C257CB" w:rsidP="00C50C49">
      <w:pPr>
        <w:pStyle w:val="berschrift4"/>
      </w:pPr>
      <w:bookmarkStart w:id="102" w:name="_Toc514832486"/>
      <w:r w:rsidRPr="001B07E2">
        <w:t>Implementierungskosten</w:t>
      </w:r>
      <w:bookmarkEnd w:id="102"/>
    </w:p>
    <w:p w:rsidR="00C257CB" w:rsidRPr="001B07E2" w:rsidRDefault="006C02A2" w:rsidP="00C257CB">
      <w:r w:rsidRPr="001B07E2">
        <w:t>Art. </w:t>
      </w:r>
      <w:r w:rsidR="00C94108" w:rsidRPr="001B07E2">
        <w:t>25</w:t>
      </w:r>
      <w:r w:rsidRPr="001B07E2">
        <w:t xml:space="preserve"> Abs. </w:t>
      </w:r>
      <w:r w:rsidR="00C94108" w:rsidRPr="001B07E2">
        <w:t xml:space="preserve">1 DS-GVO </w:t>
      </w:r>
      <w:r w:rsidR="00061C92" w:rsidRPr="001B07E2">
        <w:t>erlaubt eine betriebswirtschaftliche Abwägung und Maßnahmenbewertung</w:t>
      </w:r>
      <w:r w:rsidR="006F7164" w:rsidRPr="006F7164">
        <w:t xml:space="preserve"> </w:t>
      </w:r>
      <w:r w:rsidR="006F7164">
        <w:t>hinsichtlich der Implementierungskosten</w:t>
      </w:r>
      <w:r w:rsidR="00061C92" w:rsidRPr="001B07E2">
        <w:t xml:space="preserve">. D. h. es müssen nicht beliebige Kosten zur Ergreifung geeigneter technischer und organisatorischer Maßnahmen </w:t>
      </w:r>
      <w:r w:rsidR="006F7164">
        <w:t>aufgewendet werden. Vielmehr müssen die Kosten immer im Verhältnis zum Schutzziel stehen</w:t>
      </w:r>
      <w:r w:rsidR="00061C92" w:rsidRPr="001B07E2">
        <w:t>.</w:t>
      </w:r>
      <w:r w:rsidR="006F7164">
        <w:t xml:space="preserve"> Daher steht</w:t>
      </w:r>
      <w:r w:rsidR="00061C92" w:rsidRPr="001B07E2">
        <w:t xml:space="preserve"> </w:t>
      </w:r>
      <w:r w:rsidR="006F7164">
        <w:t>e</w:t>
      </w:r>
      <w:r w:rsidR="00061C92" w:rsidRPr="001B07E2">
        <w:t xml:space="preserve">s dem Verantwortlichen </w:t>
      </w:r>
      <w:r w:rsidR="006F7164">
        <w:t xml:space="preserve">grundsätzlich </w:t>
      </w:r>
      <w:r w:rsidR="00061C92" w:rsidRPr="001B07E2">
        <w:t>frei, bei einer Auswahl verschiedener Maßnahmen diejenigen zu erg</w:t>
      </w:r>
      <w:r w:rsidR="00A40957" w:rsidRPr="001B07E2">
        <w:t>r</w:t>
      </w:r>
      <w:r w:rsidR="00061C92" w:rsidRPr="001B07E2">
        <w:t xml:space="preserve">eifen, die ihm aus betriebswirtschaftlicher Sicht am genehmsten ist. </w:t>
      </w:r>
      <w:r w:rsidR="006F7164">
        <w:t>Das Korrektiv bildet dabei jedoch die „Geeignetheit“ der Maßnahme</w:t>
      </w:r>
      <w:r w:rsidR="00061C92" w:rsidRPr="001B07E2">
        <w:t xml:space="preserve">. Erfüllt die Maßnahme nicht die in Abschnitt </w:t>
      </w:r>
      <w:r w:rsidR="00061C92" w:rsidRPr="001B07E2">
        <w:fldChar w:fldCharType="begin"/>
      </w:r>
      <w:r w:rsidR="00061C92" w:rsidRPr="001B07E2">
        <w:instrText xml:space="preserve"> REF _Ref506365353 \r \h </w:instrText>
      </w:r>
      <w:r w:rsidR="00061C92" w:rsidRPr="001B07E2">
        <w:fldChar w:fldCharType="separate"/>
      </w:r>
      <w:r w:rsidR="007B1EC3">
        <w:t>2.2.1</w:t>
      </w:r>
      <w:r w:rsidR="00061C92" w:rsidRPr="001B07E2">
        <w:fldChar w:fldCharType="end"/>
      </w:r>
      <w:r w:rsidR="00061C92" w:rsidRPr="001B07E2">
        <w:t xml:space="preserve"> genannten Kriterien, ist sie nicht geeignet.</w:t>
      </w:r>
    </w:p>
    <w:p w:rsidR="00061C92" w:rsidRPr="001B07E2" w:rsidRDefault="00136187" w:rsidP="00C257CB">
      <w:r>
        <w:t>Daraus folgt, dass</w:t>
      </w:r>
      <w:r w:rsidR="00352935">
        <w:t>,</w:t>
      </w:r>
      <w:r>
        <w:t xml:space="preserve"> wenn </w:t>
      </w:r>
      <w:r w:rsidR="00061C92" w:rsidRPr="001B07E2">
        <w:t>aus Sicht des Verantwortlichen keine Maßnahme</w:t>
      </w:r>
      <w:r w:rsidRPr="00136187">
        <w:t xml:space="preserve"> </w:t>
      </w:r>
      <w:r>
        <w:t>existiert</w:t>
      </w:r>
      <w:r w:rsidR="00061C92" w:rsidRPr="001B07E2">
        <w:t>, die einerseits finanzierbare Implementierungskosten beinhaltet und anderseits die Geeignetheit abbildet,</w:t>
      </w:r>
      <w:r>
        <w:t xml:space="preserve"> </w:t>
      </w:r>
      <w:r w:rsidR="00061C92" w:rsidRPr="001B07E2">
        <w:t>die Verarbeitung der Daten nicht erfolgen</w:t>
      </w:r>
      <w:r>
        <w:t xml:space="preserve"> darf</w:t>
      </w:r>
      <w:r w:rsidR="00061C92" w:rsidRPr="001B07E2">
        <w:t>.</w:t>
      </w:r>
    </w:p>
    <w:p w:rsidR="00C257CB" w:rsidRPr="001B07E2" w:rsidRDefault="00061C92" w:rsidP="00C257CB">
      <w:r w:rsidRPr="001B07E2">
        <w:t xml:space="preserve">Die Abwägung bezieht sich aber ausdrücklich nur auf die </w:t>
      </w:r>
      <w:r w:rsidRPr="001B07E2">
        <w:rPr>
          <w:u w:val="single"/>
        </w:rPr>
        <w:t>Implementierungskosten</w:t>
      </w:r>
      <w:r w:rsidRPr="001B07E2">
        <w:rPr>
          <w:rStyle w:val="Funotenzeichen"/>
          <w:u w:val="single"/>
        </w:rPr>
        <w:footnoteReference w:id="13"/>
      </w:r>
      <w:r w:rsidRPr="001B07E2">
        <w:t xml:space="preserve">. Die für die Durchführung der Maßnahme anfallenden Kosten finden keine Berücksichtigung. Dies ist auch ein </w:t>
      </w:r>
      <w:r w:rsidR="002326BB" w:rsidRPr="001B07E2">
        <w:t>bewusster</w:t>
      </w:r>
      <w:r w:rsidRPr="001B07E2">
        <w:t xml:space="preserve"> Akt des europäischen Gesetzgebers. </w:t>
      </w:r>
      <w:r w:rsidR="00C94108" w:rsidRPr="001B07E2">
        <w:t>In</w:t>
      </w:r>
      <w:r w:rsidR="006C02A2" w:rsidRPr="001B07E2">
        <w:t xml:space="preserve"> Art. </w:t>
      </w:r>
      <w:r w:rsidR="00C94108" w:rsidRPr="001B07E2">
        <w:t>17</w:t>
      </w:r>
      <w:r w:rsidR="006C02A2" w:rsidRPr="001B07E2">
        <w:t xml:space="preserve"> Abs. </w:t>
      </w:r>
      <w:r w:rsidR="00C94108" w:rsidRPr="001B07E2">
        <w:t xml:space="preserve">2 RL </w:t>
      </w:r>
      <w:r w:rsidRPr="001B07E2">
        <w:t>95/46/EG hieß es noch bei „bei ihrer Durchführung entstehenden Kosten“, jedoch wurde dies in der DS-GVO auf Implementierungskosten geändert</w:t>
      </w:r>
      <w:r w:rsidR="00FD1234" w:rsidRPr="001B07E2">
        <w:t>.</w:t>
      </w:r>
    </w:p>
    <w:p w:rsidR="007373E2" w:rsidRPr="001B07E2" w:rsidRDefault="00FD1234" w:rsidP="00FD1234">
      <w:pPr>
        <w:pStyle w:val="berschrift3"/>
      </w:pPr>
      <w:bookmarkStart w:id="103" w:name="_Ref506438109"/>
      <w:bookmarkStart w:id="104" w:name="_Toc514832487"/>
      <w:r w:rsidRPr="001B07E2">
        <w:t>Umsetzung der Datenschutzgrundsätze</w:t>
      </w:r>
      <w:bookmarkEnd w:id="103"/>
      <w:bookmarkEnd w:id="104"/>
    </w:p>
    <w:p w:rsidR="00C94108" w:rsidRPr="001B07E2" w:rsidRDefault="006C02A2" w:rsidP="00C94108">
      <w:pPr>
        <w:spacing w:after="0"/>
      </w:pPr>
      <w:r w:rsidRPr="001B07E2">
        <w:t xml:space="preserve"> Art. </w:t>
      </w:r>
      <w:r w:rsidR="00C94108" w:rsidRPr="001B07E2">
        <w:t>5 DS-GVO benennt die Datenschutzgrundsätze für die Verarbeitung personenbezogener Daten:</w:t>
      </w:r>
    </w:p>
    <w:p w:rsidR="00C94108" w:rsidRPr="001B07E2" w:rsidRDefault="00C94108" w:rsidP="00C94108">
      <w:pPr>
        <w:pStyle w:val="Listenabsatz"/>
        <w:numPr>
          <w:ilvl w:val="0"/>
          <w:numId w:val="15"/>
        </w:numPr>
      </w:pPr>
      <w:r w:rsidRPr="001B07E2">
        <w:t>Rechtmäßige Verarbeitung (</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a DS-GVO)</w:t>
      </w:r>
    </w:p>
    <w:p w:rsidR="00C94108" w:rsidRPr="001B07E2" w:rsidRDefault="00C94108" w:rsidP="00C94108">
      <w:pPr>
        <w:pStyle w:val="Listenabsatz"/>
        <w:numPr>
          <w:ilvl w:val="0"/>
          <w:numId w:val="15"/>
        </w:numPr>
      </w:pPr>
      <w:r w:rsidRPr="001B07E2">
        <w:t>Verarbeitung nach Treu und Glauben (</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a DS-GVO)</w:t>
      </w:r>
    </w:p>
    <w:p w:rsidR="00C94108" w:rsidRPr="001B07E2" w:rsidRDefault="00C94108" w:rsidP="00C94108">
      <w:pPr>
        <w:pStyle w:val="Listenabsatz"/>
        <w:numPr>
          <w:ilvl w:val="0"/>
          <w:numId w:val="15"/>
        </w:numPr>
      </w:pPr>
      <w:r w:rsidRPr="001B07E2">
        <w:t>Transparente Verarbeitung für die betroffenen Personen (</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a DS-GVO)</w:t>
      </w:r>
    </w:p>
    <w:p w:rsidR="00C94108" w:rsidRPr="001B07E2" w:rsidRDefault="00C94108" w:rsidP="00C94108">
      <w:pPr>
        <w:pStyle w:val="Listenabsatz"/>
        <w:numPr>
          <w:ilvl w:val="0"/>
          <w:numId w:val="15"/>
        </w:numPr>
      </w:pPr>
      <w:r w:rsidRPr="001B07E2">
        <w:t>Beachtung der Zweckbindung (</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b DS-GVO)</w:t>
      </w:r>
    </w:p>
    <w:p w:rsidR="00C94108" w:rsidRPr="001B07E2" w:rsidRDefault="00C94108" w:rsidP="00C94108">
      <w:pPr>
        <w:pStyle w:val="Listenabsatz"/>
        <w:numPr>
          <w:ilvl w:val="0"/>
          <w:numId w:val="15"/>
        </w:numPr>
      </w:pPr>
      <w:r w:rsidRPr="001B07E2">
        <w:t>Datenminimierung (</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c DS-GVO)</w:t>
      </w:r>
    </w:p>
    <w:p w:rsidR="00C94108" w:rsidRPr="001B07E2" w:rsidRDefault="00C94108" w:rsidP="00C94108">
      <w:pPr>
        <w:pStyle w:val="Listenabsatz"/>
        <w:numPr>
          <w:ilvl w:val="0"/>
          <w:numId w:val="15"/>
        </w:numPr>
      </w:pPr>
      <w:r w:rsidRPr="001B07E2">
        <w:t>Gewährleistung der Richtigkeit der Daten (</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d DS-GVO)</w:t>
      </w:r>
    </w:p>
    <w:p w:rsidR="00C94108" w:rsidRPr="001B07E2" w:rsidRDefault="00C94108" w:rsidP="00C94108">
      <w:pPr>
        <w:pStyle w:val="Listenabsatz"/>
        <w:numPr>
          <w:ilvl w:val="0"/>
          <w:numId w:val="15"/>
        </w:numPr>
      </w:pPr>
      <w:r w:rsidRPr="001B07E2">
        <w:t>Begrenzung der Speicherdauer (</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e DS-GVO)</w:t>
      </w:r>
    </w:p>
    <w:p w:rsidR="00C94108" w:rsidRPr="001B07E2" w:rsidRDefault="00C94108" w:rsidP="00C94108">
      <w:pPr>
        <w:pStyle w:val="Listenabsatz"/>
        <w:numPr>
          <w:ilvl w:val="0"/>
          <w:numId w:val="15"/>
        </w:numPr>
      </w:pPr>
      <w:r w:rsidRPr="001B07E2">
        <w:t>Sicherstellung von Integrität und Vertraulichkeit (</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f DS-GVO)</w:t>
      </w:r>
    </w:p>
    <w:p w:rsidR="00C94108" w:rsidRPr="001B07E2" w:rsidRDefault="00C94108" w:rsidP="00C94108">
      <w:pPr>
        <w:pStyle w:val="Listenabsatz"/>
        <w:numPr>
          <w:ilvl w:val="0"/>
          <w:numId w:val="15"/>
        </w:numPr>
      </w:pPr>
      <w:r w:rsidRPr="001B07E2">
        <w:t>Erfüllung der Rechenschaftspflicht bzgl. der Umsetzung der Anforderungen der Datenschutz-Grundverordnung (</w:t>
      </w:r>
      <w:r w:rsidR="006C02A2" w:rsidRPr="001B07E2">
        <w:t xml:space="preserve"> Art. </w:t>
      </w:r>
      <w:r w:rsidRPr="001B07E2">
        <w:t>5</w:t>
      </w:r>
      <w:r w:rsidR="006C02A2" w:rsidRPr="001B07E2">
        <w:t xml:space="preserve"> Abs. </w:t>
      </w:r>
      <w:r w:rsidRPr="001B07E2">
        <w:t>2 DS-GVO).</w:t>
      </w:r>
    </w:p>
    <w:p w:rsidR="00FD1234" w:rsidRPr="001B07E2" w:rsidRDefault="002326BB" w:rsidP="00FD1234">
      <w:r w:rsidRPr="001B07E2">
        <w:lastRenderedPageBreak/>
        <w:t>U</w:t>
      </w:r>
      <w:r w:rsidR="002B7F2D" w:rsidRPr="001B07E2">
        <w:t xml:space="preserve">m der Nachweispflicht zu genügen, </w:t>
      </w:r>
      <w:r w:rsidRPr="001B07E2">
        <w:t>muss</w:t>
      </w:r>
      <w:r w:rsidR="002B7F2D" w:rsidRPr="001B07E2">
        <w:t xml:space="preserve"> in der Dokumentation zu der Entscheidungsfindung wie auch zu den Maßnahmen selbst beschrieben werden, wie die Maßnahmen die Umsetzung der Datenschutzgrundsätze gewährleisten.</w:t>
      </w:r>
    </w:p>
    <w:p w:rsidR="007373E2" w:rsidRPr="001B07E2" w:rsidRDefault="007373E2" w:rsidP="007373E2">
      <w:pPr>
        <w:pStyle w:val="berschrift2"/>
      </w:pPr>
      <w:bookmarkStart w:id="105" w:name="_Toc514832488"/>
      <w:r w:rsidRPr="001B07E2">
        <w:t>Weitergehende Anforderungen</w:t>
      </w:r>
      <w:bookmarkEnd w:id="105"/>
    </w:p>
    <w:p w:rsidR="00A23FE2" w:rsidRPr="001B07E2" w:rsidRDefault="00A23FE2" w:rsidP="004B6DD9">
      <w:pPr>
        <w:pStyle w:val="berschrift3"/>
      </w:pPr>
      <w:bookmarkStart w:id="106" w:name="_Toc514832489"/>
      <w:r w:rsidRPr="001B07E2">
        <w:t>Garantien des Verantwortlichen</w:t>
      </w:r>
      <w:r w:rsidR="008E2DB9" w:rsidRPr="001B07E2">
        <w:t>: Gewährleistung Betroffene</w:t>
      </w:r>
      <w:r w:rsidR="00A11FFB" w:rsidRPr="001B07E2">
        <w:t>n</w:t>
      </w:r>
      <w:r w:rsidR="008E2DB9" w:rsidRPr="001B07E2">
        <w:t>rechte und Da</w:t>
      </w:r>
      <w:r w:rsidR="00A11FFB" w:rsidRPr="001B07E2">
        <w:t>t</w:t>
      </w:r>
      <w:r w:rsidR="008E2DB9" w:rsidRPr="001B07E2">
        <w:t>enschutzkonzept</w:t>
      </w:r>
      <w:bookmarkEnd w:id="106"/>
    </w:p>
    <w:p w:rsidR="00A23FE2" w:rsidRPr="001B07E2" w:rsidRDefault="00C94108" w:rsidP="00A23FE2">
      <w:r w:rsidRPr="001B07E2">
        <w:t>Entsprechend</w:t>
      </w:r>
      <w:r w:rsidR="006C02A2" w:rsidRPr="001B07E2">
        <w:t xml:space="preserve"> Art. </w:t>
      </w:r>
      <w:r w:rsidRPr="001B07E2">
        <w:t>25</w:t>
      </w:r>
      <w:r w:rsidR="006C02A2" w:rsidRPr="001B07E2">
        <w:t xml:space="preserve"> Abs. </w:t>
      </w:r>
      <w:r w:rsidRPr="001B07E2">
        <w:t xml:space="preserve">1 DS-GVO </w:t>
      </w:r>
      <w:r w:rsidR="005F7B11" w:rsidRPr="001B07E2">
        <w:t xml:space="preserve">sind </w:t>
      </w:r>
      <w:r w:rsidRPr="001B07E2">
        <w:t xml:space="preserve">Garantien in die Verarbeitung aufzunehmen, um den </w:t>
      </w:r>
      <w:r w:rsidR="00A23FE2" w:rsidRPr="001B07E2">
        <w:t>Anforderungen dieser Verordnung zu genügen und die Rechte der betroffenen Personen zu schützen. D. h. der Verantwortliche muss die technischen und organisatorischen Maßnahmen so gestalten, dass diese entsprechende Garantien enthalten.</w:t>
      </w:r>
    </w:p>
    <w:p w:rsidR="00A23FE2" w:rsidRPr="001B07E2" w:rsidRDefault="00A23FE2" w:rsidP="00A23FE2">
      <w:r w:rsidRPr="001B07E2">
        <w:t>Bzgl. Betroffenenrechte sind Prozesse vorzusehen, welche die Betroffenenrechte proaktiv gewährleisten</w:t>
      </w:r>
      <w:bookmarkStart w:id="107" w:name="_Ref506370905"/>
      <w:r w:rsidRPr="001B07E2">
        <w:rPr>
          <w:rStyle w:val="Funotenzeichen"/>
        </w:rPr>
        <w:footnoteReference w:id="14"/>
      </w:r>
      <w:bookmarkEnd w:id="107"/>
      <w:r w:rsidRPr="001B07E2">
        <w:t>. D. h. es darf nicht erst dann reagiert werden, wenn eine betroffene Person eines oder mehrere ihrer Rechte wahrnimmt, sondern es müssen bei der Konzeption eines Produktes, einer Dienstleistung oder Anwendung entsprechende Prozesse berücksichtigt und implementiert werden.</w:t>
      </w:r>
    </w:p>
    <w:p w:rsidR="00A23FE2" w:rsidRPr="001B07E2" w:rsidRDefault="00A23FE2" w:rsidP="008E2DB9">
      <w:pPr>
        <w:spacing w:after="0"/>
      </w:pPr>
      <w:r w:rsidRPr="001B07E2">
        <w:t>D</w:t>
      </w:r>
      <w:r w:rsidR="009B12AF">
        <w:t>i</w:t>
      </w:r>
      <w:r w:rsidRPr="001B07E2">
        <w:t>e Forderung, Garantien zur Wahrung der Anforderungen der DS-GVO zu berücksichtigen, ist sehr weit gefasst. In</w:t>
      </w:r>
      <w:r w:rsidR="006C02A2" w:rsidRPr="001B07E2">
        <w:t xml:space="preserve"> </w:t>
      </w:r>
      <w:r w:rsidR="00C94108" w:rsidRPr="001B07E2">
        <w:t>ErwGr. </w:t>
      </w:r>
      <w:r w:rsidRPr="001B07E2">
        <w:t xml:space="preserve">78 DS-GVO findet sich die Forderung, der Verantwortliche soll interne Strategien festlegen. </w:t>
      </w:r>
      <w:r w:rsidR="008E2DB9" w:rsidRPr="001B07E2">
        <w:t xml:space="preserve">Diese Strategien sollten in einem </w:t>
      </w:r>
      <w:r w:rsidR="008E2DB9" w:rsidRPr="001B07E2">
        <w:rPr>
          <w:b/>
        </w:rPr>
        <w:t>Datenschutzkonzept</w:t>
      </w:r>
      <w:r w:rsidR="008E2DB9" w:rsidRPr="001B07E2">
        <w:t xml:space="preserve"> festgehalten und regelmäßig überprüft und ggf. angepasst werden, damit das Datenschutzkonzept Garantien bietet, wie der Verantwortliche seiner Pflicht genügt. Hierbei sollte das Datenschutzkonzept</w:t>
      </w:r>
    </w:p>
    <w:p w:rsidR="008E2DB9" w:rsidRPr="001B07E2" w:rsidRDefault="008E2DB9" w:rsidP="008E2DB9">
      <w:pPr>
        <w:pStyle w:val="Listenabsatz"/>
        <w:numPr>
          <w:ilvl w:val="0"/>
          <w:numId w:val="15"/>
        </w:numPr>
      </w:pPr>
      <w:r w:rsidRPr="001B07E2">
        <w:t>Risikoanalyse</w:t>
      </w:r>
    </w:p>
    <w:p w:rsidR="008E2DB9" w:rsidRPr="001B07E2" w:rsidRDefault="008E2DB9" w:rsidP="008E2DB9">
      <w:pPr>
        <w:pStyle w:val="Listenabsatz"/>
        <w:numPr>
          <w:ilvl w:val="0"/>
          <w:numId w:val="15"/>
        </w:numPr>
        <w:spacing w:after="0"/>
        <w:ind w:left="714" w:hanging="357"/>
      </w:pPr>
      <w:r w:rsidRPr="001B07E2">
        <w:t>Auswahl, Festlegung und Umsetzung konkreter technischer und organisatorischer Maßnahmen</w:t>
      </w:r>
    </w:p>
    <w:p w:rsidR="008E2DB9" w:rsidRPr="001B07E2" w:rsidRDefault="008E2DB9" w:rsidP="008E2DB9">
      <w:r w:rsidRPr="001B07E2">
        <w:t>beinhalten</w:t>
      </w:r>
      <w:r w:rsidRPr="001B07E2">
        <w:rPr>
          <w:vertAlign w:val="superscript"/>
        </w:rPr>
        <w:fldChar w:fldCharType="begin"/>
      </w:r>
      <w:r w:rsidRPr="001B07E2">
        <w:rPr>
          <w:vertAlign w:val="superscript"/>
        </w:rPr>
        <w:instrText xml:space="preserve"> NOTEREF _Ref506370905 \h  \* MERGEFORMAT </w:instrText>
      </w:r>
      <w:r w:rsidRPr="001B07E2">
        <w:rPr>
          <w:vertAlign w:val="superscript"/>
        </w:rPr>
      </w:r>
      <w:r w:rsidRPr="001B07E2">
        <w:rPr>
          <w:vertAlign w:val="superscript"/>
        </w:rPr>
        <w:fldChar w:fldCharType="separate"/>
      </w:r>
      <w:r w:rsidR="007B1EC3">
        <w:rPr>
          <w:vertAlign w:val="superscript"/>
        </w:rPr>
        <w:t>14</w:t>
      </w:r>
      <w:r w:rsidRPr="001B07E2">
        <w:rPr>
          <w:vertAlign w:val="superscript"/>
        </w:rPr>
        <w:fldChar w:fldCharType="end"/>
      </w:r>
      <w:r w:rsidRPr="001B07E2">
        <w:t>.</w:t>
      </w:r>
    </w:p>
    <w:p w:rsidR="00C94108" w:rsidRPr="001B07E2" w:rsidRDefault="00C94108" w:rsidP="00C94108">
      <w:pPr>
        <w:pStyle w:val="berschrift3"/>
      </w:pPr>
      <w:bookmarkStart w:id="108" w:name="_Ref506438575"/>
      <w:bookmarkStart w:id="109" w:name="_Toc514832490"/>
      <w:r w:rsidRPr="001B07E2">
        <w:t>Voreinstellung</w:t>
      </w:r>
      <w:bookmarkEnd w:id="108"/>
      <w:bookmarkEnd w:id="109"/>
    </w:p>
    <w:p w:rsidR="00C94108" w:rsidRPr="001B07E2" w:rsidRDefault="006C02A2" w:rsidP="00C94108">
      <w:pPr>
        <w:spacing w:after="0"/>
      </w:pPr>
      <w:r w:rsidRPr="001B07E2">
        <w:t xml:space="preserve"> Art. </w:t>
      </w:r>
      <w:r w:rsidR="00C94108" w:rsidRPr="001B07E2">
        <w:t>25</w:t>
      </w:r>
      <w:r w:rsidRPr="001B07E2">
        <w:t xml:space="preserve"> Abs. </w:t>
      </w:r>
      <w:r w:rsidR="00C94108" w:rsidRPr="001B07E2">
        <w:t xml:space="preserve">2 DS-GVO verlangt, dass der Verantwortliche geeignete technische und organisatorische Maßnahmen trifft, die sicherstellen, dass durch Voreinstellung grundsätzlich nur die personenbezogene Daten verarbeitet werden, deren Verarbeitung für den jeweiligen bestimmten Verarbeitungszweck </w:t>
      </w:r>
      <w:r w:rsidR="00C94108" w:rsidRPr="001B07E2">
        <w:rPr>
          <w:u w:val="single"/>
        </w:rPr>
        <w:t>erforderlich</w:t>
      </w:r>
      <w:r w:rsidR="00C94108" w:rsidRPr="001B07E2">
        <w:t xml:space="preserve"> sind. Diese Pflicht gilt für</w:t>
      </w:r>
    </w:p>
    <w:p w:rsidR="00C94108" w:rsidRPr="001B07E2" w:rsidRDefault="00C94108" w:rsidP="00C94108">
      <w:pPr>
        <w:pStyle w:val="Listenabsatz"/>
        <w:numPr>
          <w:ilvl w:val="0"/>
          <w:numId w:val="15"/>
        </w:numPr>
      </w:pPr>
      <w:r w:rsidRPr="001B07E2">
        <w:t>die Menge der erhobenen personenbezogenen Daten,</w:t>
      </w:r>
    </w:p>
    <w:p w:rsidR="00C94108" w:rsidRPr="001B07E2" w:rsidRDefault="00C94108" w:rsidP="00C94108">
      <w:pPr>
        <w:pStyle w:val="Listenabsatz"/>
        <w:numPr>
          <w:ilvl w:val="0"/>
          <w:numId w:val="15"/>
        </w:numPr>
      </w:pPr>
      <w:r w:rsidRPr="001B07E2">
        <w:t>den Umfang ihrer Verarbeitung,</w:t>
      </w:r>
    </w:p>
    <w:p w:rsidR="00C94108" w:rsidRPr="001B07E2" w:rsidRDefault="00C94108" w:rsidP="00C94108">
      <w:pPr>
        <w:pStyle w:val="Listenabsatz"/>
        <w:numPr>
          <w:ilvl w:val="0"/>
          <w:numId w:val="15"/>
        </w:numPr>
      </w:pPr>
      <w:r w:rsidRPr="001B07E2">
        <w:t>ihre Speicherfrist und</w:t>
      </w:r>
    </w:p>
    <w:p w:rsidR="00C94108" w:rsidRPr="001B07E2" w:rsidRDefault="00C94108" w:rsidP="00C94108">
      <w:pPr>
        <w:pStyle w:val="Listenabsatz"/>
        <w:numPr>
          <w:ilvl w:val="0"/>
          <w:numId w:val="15"/>
        </w:numPr>
      </w:pPr>
      <w:r w:rsidRPr="001B07E2">
        <w:t>ihre Zugänglichkeit.</w:t>
      </w:r>
    </w:p>
    <w:p w:rsidR="00C94108" w:rsidRPr="001B07E2" w:rsidRDefault="00C94108" w:rsidP="00C94108">
      <w:pPr>
        <w:spacing w:after="0"/>
      </w:pPr>
      <w:r w:rsidRPr="001B07E2">
        <w:t>Dabei bedingt das Kriterium der „Erforderlichkeit“, dass</w:t>
      </w:r>
      <w:r w:rsidR="005F7B11" w:rsidRPr="001B07E2">
        <w:t xml:space="preserve"> es</w:t>
      </w:r>
      <w:r w:rsidRPr="001B07E2">
        <w:t xml:space="preserve"> kein milderes (= in die Rechte Betroffener weniger eingreifendes) Mittel gibt, welches den gleichen Erfolg mit vergleichbarem Aufwand erzielt. Um die Erforderlichkeit / Notwendigkeit beurteilen zu können, müssen daher drei Fragen beantwortet werden:</w:t>
      </w:r>
    </w:p>
    <w:p w:rsidR="00C94108" w:rsidRPr="001B07E2" w:rsidRDefault="00C94108" w:rsidP="00C94108">
      <w:pPr>
        <w:pStyle w:val="Listenabsatz"/>
        <w:numPr>
          <w:ilvl w:val="0"/>
          <w:numId w:val="16"/>
        </w:numPr>
        <w:tabs>
          <w:tab w:val="clear" w:pos="1559"/>
          <w:tab w:val="left" w:pos="709"/>
        </w:tabs>
        <w:ind w:left="709" w:hanging="349"/>
      </w:pPr>
      <w:r w:rsidRPr="001B07E2">
        <w:t>Gibt es ein anderes Mittel?</w:t>
      </w:r>
    </w:p>
    <w:p w:rsidR="00C94108" w:rsidRPr="001B07E2" w:rsidRDefault="00C94108" w:rsidP="00C94108">
      <w:pPr>
        <w:pStyle w:val="Listenabsatz"/>
        <w:numPr>
          <w:ilvl w:val="0"/>
          <w:numId w:val="16"/>
        </w:numPr>
        <w:tabs>
          <w:tab w:val="clear" w:pos="1559"/>
          <w:tab w:val="left" w:pos="709"/>
        </w:tabs>
        <w:ind w:left="709" w:hanging="349"/>
      </w:pPr>
      <w:r w:rsidRPr="001B07E2">
        <w:t>Ist dieses in gleicher Weise geeignet, den Zweck zu erreichen?</w:t>
      </w:r>
    </w:p>
    <w:p w:rsidR="00C94108" w:rsidRPr="001B07E2" w:rsidRDefault="00C94108" w:rsidP="00C94108">
      <w:pPr>
        <w:pStyle w:val="Listenabsatz"/>
        <w:numPr>
          <w:ilvl w:val="0"/>
          <w:numId w:val="16"/>
        </w:numPr>
        <w:tabs>
          <w:tab w:val="clear" w:pos="1559"/>
          <w:tab w:val="left" w:pos="709"/>
        </w:tabs>
        <w:ind w:left="709" w:hanging="349"/>
      </w:pPr>
      <w:r w:rsidRPr="001B07E2">
        <w:t>Ist dieses Mittel ein milderes, also die Rechte Anderer weniger belastendes Mittel?</w:t>
      </w:r>
    </w:p>
    <w:p w:rsidR="00C94108" w:rsidRPr="001B07E2" w:rsidRDefault="00C94108" w:rsidP="00C94108">
      <w:r w:rsidRPr="001B07E2">
        <w:lastRenderedPageBreak/>
        <w:t>Bzgl. der in</w:t>
      </w:r>
      <w:r w:rsidR="006C02A2" w:rsidRPr="001B07E2">
        <w:t xml:space="preserve"> Art. </w:t>
      </w:r>
      <w:r w:rsidRPr="001B07E2">
        <w:t>5 DS-GVO verankerten Rechenschaftspflicht ist festzuhalten, dass auch die Erforderlichkeit nachgewiesen werden muss. D. h. diese Fragen müssen in der Dokumentation adressiert und beantwortet werden.</w:t>
      </w:r>
    </w:p>
    <w:p w:rsidR="00C94108" w:rsidRPr="001B07E2" w:rsidRDefault="00C94108" w:rsidP="00C94108">
      <w:pPr>
        <w:pStyle w:val="berschrift3"/>
      </w:pPr>
      <w:bookmarkStart w:id="110" w:name="_Toc514832491"/>
      <w:r w:rsidRPr="001B07E2">
        <w:t>Genehmigte Zertifizierungsverfahren</w:t>
      </w:r>
      <w:bookmarkEnd w:id="110"/>
    </w:p>
    <w:p w:rsidR="00C94108" w:rsidRPr="001B07E2" w:rsidRDefault="00C94108" w:rsidP="00C94108">
      <w:r w:rsidRPr="001B07E2">
        <w:t>Entsprechend den Vorgaben von</w:t>
      </w:r>
      <w:r w:rsidR="006C02A2" w:rsidRPr="001B07E2">
        <w:t xml:space="preserve"> Art. </w:t>
      </w:r>
      <w:r w:rsidRPr="001B07E2">
        <w:t>25</w:t>
      </w:r>
      <w:r w:rsidR="006C02A2" w:rsidRPr="001B07E2">
        <w:t xml:space="preserve"> Abs. </w:t>
      </w:r>
      <w:r w:rsidRPr="001B07E2">
        <w:t>3 DS-GVO kann ein genehmigtes Zertifizierungsverfahren</w:t>
      </w:r>
      <w:r w:rsidRPr="001B07E2">
        <w:rPr>
          <w:rStyle w:val="Funotenzeichen"/>
        </w:rPr>
        <w:footnoteReference w:id="15"/>
      </w:r>
      <w:r w:rsidRPr="001B07E2">
        <w:t xml:space="preserve"> als Faktor herangezogen werden, um die Erfüllung der Anforderungen von</w:t>
      </w:r>
      <w:r w:rsidR="006C02A2" w:rsidRPr="001B07E2">
        <w:t xml:space="preserve"> Art. </w:t>
      </w:r>
      <w:r w:rsidRPr="001B07E2">
        <w:t>25</w:t>
      </w:r>
      <w:r w:rsidR="006C02A2" w:rsidRPr="001B07E2">
        <w:t xml:space="preserve"> Abs. </w:t>
      </w:r>
      <w:r w:rsidRPr="001B07E2">
        <w:t>1,2 DS-GVO nachzuweisen. Dabei hängt die dem Zertifizierungsverfahren innewohnende Nachweiskraft stark von der Art und de</w:t>
      </w:r>
      <w:r w:rsidR="005F7B11" w:rsidRPr="001B07E2">
        <w:t>m</w:t>
      </w:r>
      <w:r w:rsidRPr="001B07E2">
        <w:t xml:space="preserve"> Umfang des Verfahrens ab.</w:t>
      </w:r>
    </w:p>
    <w:p w:rsidR="00C94108" w:rsidRPr="001B07E2" w:rsidRDefault="00C94108" w:rsidP="00C94108">
      <w:pPr>
        <w:pStyle w:val="berschrift3"/>
      </w:pPr>
      <w:bookmarkStart w:id="111" w:name="_Toc514832492"/>
      <w:r w:rsidRPr="001B07E2">
        <w:t>Verhaltensregeln gem.</w:t>
      </w:r>
      <w:r w:rsidR="006C02A2" w:rsidRPr="001B07E2">
        <w:t xml:space="preserve"> Art. </w:t>
      </w:r>
      <w:r w:rsidRPr="001B07E2">
        <w:t>40 DS-GVO</w:t>
      </w:r>
      <w:bookmarkEnd w:id="111"/>
    </w:p>
    <w:p w:rsidR="00C94108" w:rsidRPr="001B07E2" w:rsidRDefault="00C94108" w:rsidP="00C94108">
      <w:r w:rsidRPr="001B07E2">
        <w:t xml:space="preserve">Verhaltensregeln („Code </w:t>
      </w:r>
      <w:proofErr w:type="spellStart"/>
      <w:r w:rsidRPr="001B07E2">
        <w:t>of</w:t>
      </w:r>
      <w:proofErr w:type="spellEnd"/>
      <w:r w:rsidRPr="001B07E2">
        <w:t xml:space="preserve"> </w:t>
      </w:r>
      <w:proofErr w:type="spellStart"/>
      <w:r w:rsidRPr="001B07E2">
        <w:t>Conduct</w:t>
      </w:r>
      <w:proofErr w:type="spellEnd"/>
      <w:r w:rsidRPr="001B07E2">
        <w:t>“), die Verbände und andere Vereinigungen aufstellen dürfen, können entsprechend</w:t>
      </w:r>
      <w:r w:rsidR="006C02A2" w:rsidRPr="001B07E2">
        <w:t xml:space="preserve"> Art. </w:t>
      </w:r>
      <w:r w:rsidRPr="001B07E2">
        <w:t>40</w:t>
      </w:r>
      <w:r w:rsidR="006C02A2" w:rsidRPr="001B07E2">
        <w:t xml:space="preserve"> Abs. </w:t>
      </w:r>
      <w:r w:rsidRPr="001B07E2">
        <w:t>2 </w:t>
      </w:r>
      <w:r w:rsidR="006C02A2" w:rsidRPr="001B07E2">
        <w:t>lit. </w:t>
      </w:r>
      <w:r w:rsidRPr="001B07E2">
        <w:t>h DS-GVO branchenspezifisch die unspezifischen Anforderungen von</w:t>
      </w:r>
      <w:r w:rsidR="006C02A2" w:rsidRPr="001B07E2">
        <w:t xml:space="preserve"> Art. </w:t>
      </w:r>
      <w:r w:rsidRPr="001B07E2">
        <w:t>25 konkretisieren, so dass der gesetzlich geforderte Nachweis der Einhaltung der Anforderungen vom jeweiligen Verantwortlichen leichter geführt werden kann.</w:t>
      </w:r>
    </w:p>
    <w:p w:rsidR="00C94108" w:rsidRPr="001B07E2" w:rsidRDefault="00C94108" w:rsidP="00C94108">
      <w:pPr>
        <w:pStyle w:val="berschrift3"/>
      </w:pPr>
      <w:bookmarkStart w:id="112" w:name="_Toc514832493"/>
      <w:r w:rsidRPr="001B07E2">
        <w:t>Binding Corporate Rules</w:t>
      </w:r>
      <w:bookmarkEnd w:id="112"/>
    </w:p>
    <w:p w:rsidR="00C94108" w:rsidRPr="001B07E2" w:rsidRDefault="00C94108" w:rsidP="00C94108">
      <w:r w:rsidRPr="001B07E2">
        <w:t>Verbindliche interne Datenschutzvorschriften („Binding Corporate Rules“) müssen entsprechend</w:t>
      </w:r>
      <w:r w:rsidR="006C02A2" w:rsidRPr="001B07E2">
        <w:t xml:space="preserve"> Art. </w:t>
      </w:r>
      <w:r w:rsidRPr="001B07E2">
        <w:t>47</w:t>
      </w:r>
      <w:r w:rsidR="006C02A2" w:rsidRPr="001B07E2">
        <w:t xml:space="preserve"> Abs. </w:t>
      </w:r>
      <w:r w:rsidRPr="001B07E2">
        <w:t xml:space="preserve">2 </w:t>
      </w:r>
      <w:r w:rsidR="006C02A2" w:rsidRPr="001B07E2">
        <w:t>lit. </w:t>
      </w:r>
      <w:r w:rsidRPr="001B07E2">
        <w:t>d DS-GVO auch Angaben dazu enthalten, wie Datenschutz durch Technikgestaltung und datenschutzfreundliche Voreinstellungen berücksichtigt und eingehalten werden.</w:t>
      </w:r>
    </w:p>
    <w:p w:rsidR="00C94108" w:rsidRPr="001B07E2" w:rsidRDefault="00C94108" w:rsidP="00C94108">
      <w:pPr>
        <w:pStyle w:val="berschrift3"/>
      </w:pPr>
      <w:bookmarkStart w:id="113" w:name="_Toc514832494"/>
      <w:r w:rsidRPr="001B07E2">
        <w:t>Berücksichtigung bei öffentlichen Ausschreibungen</w:t>
      </w:r>
      <w:bookmarkEnd w:id="113"/>
    </w:p>
    <w:p w:rsidR="00C94108" w:rsidRPr="001B07E2" w:rsidRDefault="00C94108" w:rsidP="00C94108">
      <w:r w:rsidRPr="001B07E2">
        <w:t>Entsprechend</w:t>
      </w:r>
      <w:r w:rsidR="006C02A2" w:rsidRPr="001B07E2">
        <w:t xml:space="preserve"> </w:t>
      </w:r>
      <w:r w:rsidRPr="001B07E2">
        <w:t>ErwGr. 78 DS-GVO soll den „Grundsätzen des Datenschutzes durch Technik und durch datenschutzfreundliche Voreinstellungen auch bei öffentlichen Ausschreibungen Rechnung getragen werden“. Demgemäß sind die Vorgaben von</w:t>
      </w:r>
      <w:r w:rsidR="006C02A2" w:rsidRPr="001B07E2">
        <w:t xml:space="preserve"> Art. </w:t>
      </w:r>
      <w:r w:rsidRPr="001B07E2">
        <w:t>25 DS-GVO bei öffentlichen Ausschreibungen ein wichtiges Kriterium</w:t>
      </w:r>
      <w:r w:rsidRPr="001B07E2">
        <w:rPr>
          <w:rStyle w:val="Funotenzeichen"/>
        </w:rPr>
        <w:footnoteReference w:id="16"/>
      </w:r>
      <w:r w:rsidRPr="001B07E2">
        <w:t>. D.h. öffentliche Ausschreibungen sollten künftig datenschutzsparsame Techniken in Ausschreibungen fordern.</w:t>
      </w:r>
    </w:p>
    <w:p w:rsidR="00C94108" w:rsidRPr="001B07E2" w:rsidRDefault="00C94108" w:rsidP="00C94108">
      <w:pPr>
        <w:pStyle w:val="berschrift2"/>
      </w:pPr>
      <w:bookmarkStart w:id="114" w:name="_Toc514832495"/>
      <w:r w:rsidRPr="001B07E2">
        <w:t>Sanktionierung</w:t>
      </w:r>
      <w:bookmarkEnd w:id="114"/>
    </w:p>
    <w:p w:rsidR="00C94108" w:rsidRPr="001B07E2" w:rsidRDefault="00C94108" w:rsidP="00C94108">
      <w:r w:rsidRPr="001B07E2">
        <w:t>Werden die Vorgaben aus</w:t>
      </w:r>
      <w:r w:rsidR="006C02A2" w:rsidRPr="001B07E2">
        <w:t xml:space="preserve"> Art. </w:t>
      </w:r>
      <w:r w:rsidRPr="001B07E2">
        <w:t>25 DS-GVO von einem Verantwortlichen nicht eingehalten, so findet das „kleinere“ Bußgeld (von bis zu 10.000.000 Euro bzw. 2 % des weltweit erzielten Umsatzes, s.o.) Anwendung.</w:t>
      </w:r>
    </w:p>
    <w:p w:rsidR="00C94108" w:rsidRPr="001B07E2" w:rsidRDefault="00C94108" w:rsidP="00C94108">
      <w:pPr>
        <w:spacing w:after="80"/>
      </w:pPr>
      <w:r w:rsidRPr="001B07E2">
        <w:t>Bei der Verhängung des Bußgeldes sind auch die Vorgaben von</w:t>
      </w:r>
      <w:r w:rsidR="006C02A2" w:rsidRPr="001B07E2">
        <w:t xml:space="preserve"> Art. </w:t>
      </w:r>
      <w:r w:rsidRPr="001B07E2">
        <w:t>83</w:t>
      </w:r>
      <w:r w:rsidR="006C02A2" w:rsidRPr="001B07E2">
        <w:t xml:space="preserve"> Abs. </w:t>
      </w:r>
      <w:r w:rsidRPr="001B07E2">
        <w:t xml:space="preserve">2 </w:t>
      </w:r>
      <w:r w:rsidR="006C02A2" w:rsidRPr="001B07E2">
        <w:t>lit. </w:t>
      </w:r>
      <w:r w:rsidRPr="001B07E2">
        <w:t>a-k DS-GVO zu berücksichtigen, insbesondere sind hierbei zu beachten:</w:t>
      </w:r>
    </w:p>
    <w:tbl>
      <w:tblPr>
        <w:tblStyle w:val="Tabellenraster"/>
        <w:tblW w:w="0" w:type="auto"/>
        <w:tblInd w:w="392" w:type="dxa"/>
        <w:tblLook w:val="04A0" w:firstRow="1" w:lastRow="0" w:firstColumn="1" w:lastColumn="0" w:noHBand="0" w:noVBand="1"/>
      </w:tblPr>
      <w:tblGrid>
        <w:gridCol w:w="2693"/>
        <w:gridCol w:w="6127"/>
      </w:tblGrid>
      <w:tr w:rsidR="00C94108" w:rsidRPr="001B07E2" w:rsidTr="005C5CDE">
        <w:trPr>
          <w:tblHeader/>
        </w:trPr>
        <w:tc>
          <w:tcPr>
            <w:tcW w:w="2693" w:type="dxa"/>
          </w:tcPr>
          <w:p w:rsidR="00C94108" w:rsidRPr="001B07E2" w:rsidRDefault="00C94108" w:rsidP="007B20D3">
            <w:pPr>
              <w:jc w:val="center"/>
            </w:pPr>
            <w:r w:rsidRPr="001B07E2">
              <w:t>Inhalt</w:t>
            </w:r>
            <w:r w:rsidR="006C02A2" w:rsidRPr="001B07E2">
              <w:t xml:space="preserve"> Art. </w:t>
            </w:r>
            <w:r w:rsidRPr="001B07E2">
              <w:t>83 (2) DS-GVO</w:t>
            </w:r>
          </w:p>
        </w:tc>
        <w:tc>
          <w:tcPr>
            <w:tcW w:w="6127" w:type="dxa"/>
          </w:tcPr>
          <w:p w:rsidR="00C94108" w:rsidRPr="001B07E2" w:rsidRDefault="00C94108" w:rsidP="007B20D3">
            <w:pPr>
              <w:jc w:val="center"/>
            </w:pPr>
            <w:r w:rsidRPr="001B07E2">
              <w:t>Hinweise zur Interpretation</w:t>
            </w:r>
          </w:p>
        </w:tc>
      </w:tr>
      <w:tr w:rsidR="00C94108" w:rsidRPr="001B07E2" w:rsidTr="005C5CDE">
        <w:tc>
          <w:tcPr>
            <w:tcW w:w="2693" w:type="dxa"/>
          </w:tcPr>
          <w:p w:rsidR="00C94108" w:rsidRPr="001B07E2" w:rsidRDefault="00C94108" w:rsidP="006C02A2">
            <w:pPr>
              <w:jc w:val="left"/>
            </w:pPr>
            <w:r w:rsidRPr="001B07E2">
              <w:t>Art, Schwere und Dauer des Verstoßes</w:t>
            </w:r>
            <w:r w:rsidRPr="001B07E2">
              <w:br/>
              <w:t>(</w:t>
            </w:r>
            <w:r w:rsidR="006C02A2" w:rsidRPr="001B07E2">
              <w:t>Art. </w:t>
            </w:r>
            <w:r w:rsidRPr="001B07E2">
              <w:t xml:space="preserve">83 </w:t>
            </w:r>
            <w:r w:rsidR="006C02A2" w:rsidRPr="001B07E2">
              <w:t>Abs. </w:t>
            </w:r>
            <w:r w:rsidRPr="001B07E2">
              <w:t xml:space="preserve">2 </w:t>
            </w:r>
            <w:r w:rsidR="006C02A2" w:rsidRPr="001B07E2">
              <w:t>lit. </w:t>
            </w:r>
            <w:r w:rsidRPr="001B07E2">
              <w:t>a)</w:t>
            </w:r>
          </w:p>
        </w:tc>
        <w:tc>
          <w:tcPr>
            <w:tcW w:w="6127" w:type="dxa"/>
          </w:tcPr>
          <w:p w:rsidR="00C94108" w:rsidRPr="001B07E2" w:rsidRDefault="00C94108" w:rsidP="007B20D3">
            <w:pPr>
              <w:jc w:val="left"/>
            </w:pPr>
            <w:r w:rsidRPr="001B07E2">
              <w:t>Hierzu ist z. B. zu betrachten:</w:t>
            </w:r>
          </w:p>
          <w:p w:rsidR="00C94108" w:rsidRPr="001B07E2" w:rsidRDefault="00C94108" w:rsidP="007B20D3">
            <w:pPr>
              <w:pStyle w:val="Listenabsatz"/>
              <w:numPr>
                <w:ilvl w:val="0"/>
                <w:numId w:val="17"/>
              </w:numPr>
              <w:tabs>
                <w:tab w:val="clear" w:pos="1559"/>
              </w:tabs>
              <w:ind w:left="356"/>
              <w:jc w:val="left"/>
            </w:pPr>
            <w:r w:rsidRPr="001B07E2">
              <w:t>Liegt ein genereller Verstoß vor, d. h. man kann generell der gesetzlichen Pflicht nicht genügen?</w:t>
            </w:r>
          </w:p>
          <w:p w:rsidR="00C94108" w:rsidRPr="001B07E2" w:rsidRDefault="00C94108" w:rsidP="007B20D3">
            <w:pPr>
              <w:pStyle w:val="Listenabsatz"/>
              <w:numPr>
                <w:ilvl w:val="0"/>
                <w:numId w:val="17"/>
              </w:numPr>
              <w:tabs>
                <w:tab w:val="clear" w:pos="1559"/>
              </w:tabs>
              <w:ind w:left="356"/>
              <w:jc w:val="left"/>
            </w:pPr>
            <w:r w:rsidRPr="001B07E2">
              <w:t>Sind es nur die konkreten Umstände des Einzelfalles, die ein Genügen der gesetzlichen Pflicht verhindern?</w:t>
            </w:r>
          </w:p>
          <w:p w:rsidR="00C94108" w:rsidRPr="001B07E2" w:rsidRDefault="00C94108" w:rsidP="007B20D3">
            <w:pPr>
              <w:pStyle w:val="Listenabsatz"/>
              <w:numPr>
                <w:ilvl w:val="0"/>
                <w:numId w:val="17"/>
              </w:numPr>
              <w:tabs>
                <w:tab w:val="clear" w:pos="1559"/>
                <w:tab w:val="num" w:pos="3227"/>
              </w:tabs>
              <w:ind w:left="675"/>
              <w:jc w:val="left"/>
            </w:pPr>
            <w:r w:rsidRPr="001B07E2">
              <w:t>Wie groß ist der potentielle Schaden für jeden einzelnen Betroffenen? Wie groß ist der Schaden insgesamt?</w:t>
            </w:r>
          </w:p>
        </w:tc>
      </w:tr>
      <w:tr w:rsidR="00C94108" w:rsidRPr="001B07E2" w:rsidTr="005C5CDE">
        <w:tc>
          <w:tcPr>
            <w:tcW w:w="2693" w:type="dxa"/>
          </w:tcPr>
          <w:p w:rsidR="00C94108" w:rsidRPr="001B07E2" w:rsidRDefault="00C94108" w:rsidP="006C02A2">
            <w:pPr>
              <w:jc w:val="left"/>
            </w:pPr>
            <w:r w:rsidRPr="001B07E2">
              <w:lastRenderedPageBreak/>
              <w:t>Vorsätzlichkeit oder Fahrlässigkeit des Verstoßes</w:t>
            </w:r>
            <w:r w:rsidRPr="001B07E2">
              <w:br/>
              <w:t>(</w:t>
            </w:r>
            <w:r w:rsidR="006C02A2" w:rsidRPr="001B07E2">
              <w:t>Art. </w:t>
            </w:r>
            <w:r w:rsidRPr="001B07E2">
              <w:t>83</w:t>
            </w:r>
            <w:r w:rsidR="006C02A2" w:rsidRPr="001B07E2">
              <w:t xml:space="preserve"> Abs. </w:t>
            </w:r>
            <w:r w:rsidRPr="001B07E2">
              <w:t xml:space="preserve">2 </w:t>
            </w:r>
            <w:r w:rsidR="006C02A2" w:rsidRPr="001B07E2">
              <w:t>lit. </w:t>
            </w:r>
            <w:r w:rsidRPr="001B07E2">
              <w:t>b)</w:t>
            </w:r>
          </w:p>
        </w:tc>
        <w:tc>
          <w:tcPr>
            <w:tcW w:w="6127" w:type="dxa"/>
          </w:tcPr>
          <w:p w:rsidR="00C94108" w:rsidRPr="001B07E2" w:rsidRDefault="00C94108" w:rsidP="007B20D3">
            <w:pPr>
              <w:jc w:val="left"/>
            </w:pPr>
            <w:r w:rsidRPr="001B07E2">
              <w:t>Hierzu ist z. B. zu betrachten:</w:t>
            </w:r>
          </w:p>
          <w:p w:rsidR="00C94108" w:rsidRPr="001B07E2" w:rsidRDefault="00C94108" w:rsidP="007B20D3">
            <w:pPr>
              <w:pStyle w:val="Listenabsatz"/>
              <w:numPr>
                <w:ilvl w:val="0"/>
                <w:numId w:val="17"/>
              </w:numPr>
              <w:tabs>
                <w:tab w:val="clear" w:pos="1559"/>
              </w:tabs>
              <w:ind w:left="356"/>
              <w:jc w:val="left"/>
            </w:pPr>
            <w:r w:rsidRPr="001B07E2">
              <w:t>Wurde die gesetzliche Pflicht vom Verantwortlichen im Ablauf seiner Prozesse ignoriert?</w:t>
            </w:r>
          </w:p>
          <w:p w:rsidR="00C94108" w:rsidRPr="001B07E2" w:rsidRDefault="00C94108" w:rsidP="007B20D3">
            <w:pPr>
              <w:pStyle w:val="Listenabsatz"/>
              <w:numPr>
                <w:ilvl w:val="0"/>
                <w:numId w:val="17"/>
              </w:numPr>
              <w:tabs>
                <w:tab w:val="clear" w:pos="1559"/>
              </w:tabs>
              <w:ind w:left="356"/>
              <w:jc w:val="left"/>
            </w:pPr>
            <w:r w:rsidRPr="001B07E2">
              <w:t>Wurde fahrlässig einem einzelnen Betroffenen sein Recht verweigert?</w:t>
            </w:r>
          </w:p>
        </w:tc>
      </w:tr>
      <w:tr w:rsidR="00C94108" w:rsidRPr="001B07E2" w:rsidTr="005C5CDE">
        <w:tc>
          <w:tcPr>
            <w:tcW w:w="2693" w:type="dxa"/>
          </w:tcPr>
          <w:p w:rsidR="00C94108" w:rsidRPr="001B07E2" w:rsidRDefault="00C94108" w:rsidP="006C02A2">
            <w:pPr>
              <w:jc w:val="left"/>
            </w:pPr>
            <w:r w:rsidRPr="001B07E2">
              <w:t>Maßnahmen zur Minderung des Schadens für betroffene Personen</w:t>
            </w:r>
            <w:r w:rsidRPr="001B07E2">
              <w:br/>
              <w:t>(</w:t>
            </w:r>
            <w:r w:rsidR="006C02A2" w:rsidRPr="001B07E2">
              <w:t>Art. </w:t>
            </w:r>
            <w:r w:rsidRPr="001B07E2">
              <w:t>83</w:t>
            </w:r>
            <w:r w:rsidR="006C02A2" w:rsidRPr="001B07E2">
              <w:t xml:space="preserve"> Abs. </w:t>
            </w:r>
            <w:r w:rsidRPr="001B07E2">
              <w:t xml:space="preserve">2 </w:t>
            </w:r>
            <w:r w:rsidR="006C02A2" w:rsidRPr="001B07E2">
              <w:t>lit. </w:t>
            </w:r>
            <w:r w:rsidRPr="001B07E2">
              <w:t>c)</w:t>
            </w:r>
          </w:p>
        </w:tc>
        <w:tc>
          <w:tcPr>
            <w:tcW w:w="6127" w:type="dxa"/>
          </w:tcPr>
          <w:p w:rsidR="00C94108" w:rsidRPr="001B07E2" w:rsidRDefault="00C94108" w:rsidP="007B20D3">
            <w:pPr>
              <w:pStyle w:val="Listenabsatz"/>
              <w:numPr>
                <w:ilvl w:val="0"/>
                <w:numId w:val="17"/>
              </w:numPr>
              <w:tabs>
                <w:tab w:val="clear" w:pos="1559"/>
              </w:tabs>
              <w:ind w:left="356"/>
              <w:jc w:val="left"/>
            </w:pPr>
            <w:r w:rsidRPr="001B07E2">
              <w:t>Wenn die Zugriffsrechte auf die Daten nicht hinreichend eingeschränkt werden, kann durch Dienstanweisungen das freie Surfen verboten werden.</w:t>
            </w:r>
          </w:p>
        </w:tc>
      </w:tr>
      <w:tr w:rsidR="00C94108" w:rsidRPr="001B07E2" w:rsidTr="005C5CDE">
        <w:tc>
          <w:tcPr>
            <w:tcW w:w="2693" w:type="dxa"/>
          </w:tcPr>
          <w:p w:rsidR="00C94108" w:rsidRPr="001B07E2" w:rsidRDefault="00C94108" w:rsidP="006C02A2">
            <w:pPr>
              <w:jc w:val="left"/>
            </w:pPr>
            <w:r w:rsidRPr="001B07E2">
              <w:t>Grad der Verantwortung Verantwortlicher/ Auftragsverarbeiter</w:t>
            </w:r>
            <w:r w:rsidRPr="001B07E2">
              <w:br/>
              <w:t>(</w:t>
            </w:r>
            <w:r w:rsidR="006C02A2" w:rsidRPr="001B07E2">
              <w:t>Art. </w:t>
            </w:r>
            <w:r w:rsidRPr="001B07E2">
              <w:t xml:space="preserve">83 </w:t>
            </w:r>
            <w:r w:rsidR="006C02A2" w:rsidRPr="001B07E2">
              <w:t>Abs. </w:t>
            </w:r>
            <w:r w:rsidRPr="001B07E2">
              <w:t xml:space="preserve">2 </w:t>
            </w:r>
            <w:r w:rsidR="006C02A2" w:rsidRPr="001B07E2">
              <w:t>lit. </w:t>
            </w:r>
            <w:r w:rsidRPr="001B07E2">
              <w:t>d)</w:t>
            </w:r>
          </w:p>
        </w:tc>
        <w:tc>
          <w:tcPr>
            <w:tcW w:w="6127" w:type="dxa"/>
          </w:tcPr>
          <w:p w:rsidR="00C94108" w:rsidRPr="001B07E2" w:rsidRDefault="00C94108" w:rsidP="007B20D3">
            <w:pPr>
              <w:ind w:left="-4"/>
              <w:jc w:val="left"/>
            </w:pPr>
            <w:r w:rsidRPr="001B07E2">
              <w:t>Hierzu ist z. B. zu betrachten:</w:t>
            </w:r>
          </w:p>
          <w:p w:rsidR="00C94108" w:rsidRPr="001B07E2" w:rsidRDefault="00C94108" w:rsidP="007B20D3">
            <w:pPr>
              <w:pStyle w:val="Listenabsatz"/>
              <w:numPr>
                <w:ilvl w:val="0"/>
                <w:numId w:val="17"/>
              </w:numPr>
              <w:tabs>
                <w:tab w:val="clear" w:pos="1559"/>
              </w:tabs>
              <w:ind w:left="356"/>
              <w:jc w:val="left"/>
            </w:pPr>
            <w:r w:rsidRPr="001B07E2">
              <w:t>Bemühen des Verantwortlichen bzw. Auftragsverarbeiters, betroffenen Personen einen entstandenen (materiellen oder auch immateriellen) Schaden möglichst gering zu halten (bzw. auszugleichen)?</w:t>
            </w:r>
            <w:r w:rsidRPr="001B07E2">
              <w:rPr>
                <w:rStyle w:val="Funotenzeichen"/>
              </w:rPr>
              <w:t xml:space="preserve"> </w:t>
            </w:r>
          </w:p>
        </w:tc>
      </w:tr>
      <w:tr w:rsidR="00C94108" w:rsidRPr="001B07E2" w:rsidTr="005C5CDE">
        <w:tc>
          <w:tcPr>
            <w:tcW w:w="2693" w:type="dxa"/>
          </w:tcPr>
          <w:p w:rsidR="00C94108" w:rsidRPr="001B07E2" w:rsidRDefault="00C94108" w:rsidP="006C02A2">
            <w:pPr>
              <w:jc w:val="left"/>
            </w:pPr>
            <w:r w:rsidRPr="001B07E2">
              <w:t>Etwaige einschlägige frühere Verstöße</w:t>
            </w:r>
            <w:r w:rsidRPr="001B07E2">
              <w:br/>
            </w:r>
            <w:r w:rsidR="006C02A2" w:rsidRPr="001B07E2">
              <w:t>(Art. </w:t>
            </w:r>
            <w:r w:rsidRPr="001B07E2">
              <w:t>83</w:t>
            </w:r>
            <w:r w:rsidR="006C02A2" w:rsidRPr="001B07E2">
              <w:t xml:space="preserve"> Abs. </w:t>
            </w:r>
            <w:r w:rsidRPr="001B07E2">
              <w:t xml:space="preserve">2 </w:t>
            </w:r>
            <w:r w:rsidR="006C02A2" w:rsidRPr="001B07E2">
              <w:t>lit. </w:t>
            </w:r>
            <w:r w:rsidRPr="001B07E2">
              <w:t>e)</w:t>
            </w:r>
          </w:p>
        </w:tc>
        <w:tc>
          <w:tcPr>
            <w:tcW w:w="6127" w:type="dxa"/>
          </w:tcPr>
          <w:p w:rsidR="00C94108" w:rsidRPr="001B07E2" w:rsidRDefault="00C94108" w:rsidP="007B20D3">
            <w:pPr>
              <w:ind w:left="-4"/>
              <w:jc w:val="left"/>
            </w:pPr>
            <w:r w:rsidRPr="001B07E2">
              <w:t>Handelt es sich um einen Wiederholungstatbestand?</w:t>
            </w:r>
          </w:p>
        </w:tc>
      </w:tr>
      <w:tr w:rsidR="00C94108" w:rsidRPr="001B07E2" w:rsidTr="005C5CDE">
        <w:tc>
          <w:tcPr>
            <w:tcW w:w="2693" w:type="dxa"/>
          </w:tcPr>
          <w:p w:rsidR="00C94108" w:rsidRPr="001B07E2" w:rsidRDefault="00C94108" w:rsidP="006C02A2">
            <w:pPr>
              <w:jc w:val="left"/>
            </w:pPr>
            <w:r w:rsidRPr="001B07E2">
              <w:t>Umfang der Zusammenarbeit mit der Aufsichtsbehörde</w:t>
            </w:r>
            <w:r w:rsidRPr="001B07E2">
              <w:br/>
              <w:t>(</w:t>
            </w:r>
            <w:r w:rsidR="006C02A2" w:rsidRPr="001B07E2">
              <w:t>Art. </w:t>
            </w:r>
            <w:r w:rsidRPr="001B07E2">
              <w:t>83</w:t>
            </w:r>
            <w:r w:rsidR="006C02A2" w:rsidRPr="001B07E2">
              <w:t xml:space="preserve"> Abs. </w:t>
            </w:r>
            <w:r w:rsidRPr="001B07E2">
              <w:t xml:space="preserve">2 </w:t>
            </w:r>
            <w:r w:rsidR="006C02A2" w:rsidRPr="001B07E2">
              <w:t>lit. </w:t>
            </w:r>
            <w:r w:rsidRPr="001B07E2">
              <w:t>f)</w:t>
            </w:r>
          </w:p>
        </w:tc>
        <w:tc>
          <w:tcPr>
            <w:tcW w:w="6127" w:type="dxa"/>
          </w:tcPr>
          <w:p w:rsidR="00C94108" w:rsidRPr="001B07E2" w:rsidRDefault="00C94108" w:rsidP="007B20D3">
            <w:pPr>
              <w:jc w:val="left"/>
            </w:pPr>
            <w:r w:rsidRPr="001B07E2">
              <w:t>Hierzu ist z. B. zu betrachten:</w:t>
            </w:r>
          </w:p>
          <w:p w:rsidR="00C94108" w:rsidRPr="001B07E2" w:rsidRDefault="00C94108" w:rsidP="007B20D3">
            <w:pPr>
              <w:pStyle w:val="Listenabsatz"/>
              <w:numPr>
                <w:ilvl w:val="0"/>
                <w:numId w:val="17"/>
              </w:numPr>
              <w:tabs>
                <w:tab w:val="clear" w:pos="1559"/>
              </w:tabs>
              <w:ind w:left="356"/>
              <w:jc w:val="left"/>
            </w:pPr>
            <w:r w:rsidRPr="001B07E2">
              <w:t>Wurden der Aufsichtsbehörde unverzüglich alle benötigten Informationen gegeben?</w:t>
            </w:r>
          </w:p>
          <w:p w:rsidR="00C94108" w:rsidRPr="001B07E2" w:rsidRDefault="00C94108" w:rsidP="007B20D3">
            <w:pPr>
              <w:pStyle w:val="Listenabsatz"/>
              <w:numPr>
                <w:ilvl w:val="0"/>
                <w:numId w:val="17"/>
              </w:numPr>
              <w:tabs>
                <w:tab w:val="clear" w:pos="1559"/>
              </w:tabs>
              <w:ind w:left="356"/>
              <w:jc w:val="left"/>
            </w:pPr>
            <w:r w:rsidRPr="001B07E2">
              <w:t>Wurden Anstrengungen unternommen, um nachteilige Auswirkungen zu mildern?</w:t>
            </w:r>
          </w:p>
          <w:p w:rsidR="00C94108" w:rsidRPr="001B07E2" w:rsidRDefault="00C94108" w:rsidP="007B20D3">
            <w:pPr>
              <w:pStyle w:val="Listenabsatz"/>
              <w:numPr>
                <w:ilvl w:val="0"/>
                <w:numId w:val="17"/>
              </w:numPr>
              <w:tabs>
                <w:tab w:val="clear" w:pos="1559"/>
              </w:tabs>
              <w:ind w:left="356"/>
              <w:jc w:val="left"/>
            </w:pPr>
            <w:r w:rsidRPr="001B07E2">
              <w:t>Wurden Anstrengungen unternommen, damit künftig Verstöße dieser Art nicht mehr vorkommen?</w:t>
            </w:r>
          </w:p>
        </w:tc>
      </w:tr>
      <w:tr w:rsidR="00C94108" w:rsidRPr="001B07E2" w:rsidTr="005C5CDE">
        <w:tc>
          <w:tcPr>
            <w:tcW w:w="2693" w:type="dxa"/>
          </w:tcPr>
          <w:p w:rsidR="00C94108" w:rsidRPr="001B07E2" w:rsidRDefault="00C94108" w:rsidP="006C02A2">
            <w:pPr>
              <w:jc w:val="left"/>
            </w:pPr>
            <w:r w:rsidRPr="001B07E2">
              <w:t>Kategorien personenbezogener Daten</w:t>
            </w:r>
            <w:r w:rsidRPr="001B07E2">
              <w:br/>
              <w:t>(</w:t>
            </w:r>
            <w:r w:rsidR="006C02A2" w:rsidRPr="001B07E2">
              <w:t>Art. </w:t>
            </w:r>
            <w:r w:rsidRPr="001B07E2">
              <w:t>83</w:t>
            </w:r>
            <w:r w:rsidR="006C02A2" w:rsidRPr="001B07E2">
              <w:t xml:space="preserve"> Abs. </w:t>
            </w:r>
            <w:r w:rsidRPr="001B07E2">
              <w:t xml:space="preserve">2 </w:t>
            </w:r>
            <w:r w:rsidR="006C02A2" w:rsidRPr="001B07E2">
              <w:t>lit. </w:t>
            </w:r>
            <w:r w:rsidRPr="001B07E2">
              <w:t>g)</w:t>
            </w:r>
          </w:p>
        </w:tc>
        <w:tc>
          <w:tcPr>
            <w:tcW w:w="6127" w:type="dxa"/>
          </w:tcPr>
          <w:p w:rsidR="00C94108" w:rsidRPr="001B07E2" w:rsidRDefault="00C94108" w:rsidP="007B20D3">
            <w:pPr>
              <w:jc w:val="left"/>
            </w:pPr>
            <w:r w:rsidRPr="001B07E2">
              <w:t>Im Kontext der Gesundheitsversorgung/-forschung handelt es sich immer um besondere Kategorien von Daten, sodass ein Verstoß schwerer wiegt.</w:t>
            </w:r>
          </w:p>
        </w:tc>
      </w:tr>
      <w:tr w:rsidR="00C94108" w:rsidRPr="001B07E2" w:rsidTr="005C5CDE">
        <w:tc>
          <w:tcPr>
            <w:tcW w:w="2693" w:type="dxa"/>
          </w:tcPr>
          <w:p w:rsidR="00C94108" w:rsidRPr="001B07E2" w:rsidRDefault="00C94108" w:rsidP="007B20D3">
            <w:pPr>
              <w:jc w:val="left"/>
            </w:pPr>
            <w:r w:rsidRPr="001B07E2">
              <w:t>Art und Weise, wie der Verstoß der Aufsichtsbehörde bekannt wurde</w:t>
            </w:r>
          </w:p>
          <w:p w:rsidR="00C94108" w:rsidRPr="001B07E2" w:rsidRDefault="00C94108" w:rsidP="006C02A2">
            <w:pPr>
              <w:jc w:val="left"/>
            </w:pPr>
            <w:r w:rsidRPr="001B07E2">
              <w:t>(</w:t>
            </w:r>
            <w:r w:rsidR="006C02A2" w:rsidRPr="001B07E2">
              <w:t>Art. </w:t>
            </w:r>
            <w:r w:rsidRPr="001B07E2">
              <w:t>83</w:t>
            </w:r>
            <w:r w:rsidR="006C02A2" w:rsidRPr="001B07E2">
              <w:t xml:space="preserve"> Abs. </w:t>
            </w:r>
            <w:r w:rsidRPr="001B07E2">
              <w:t xml:space="preserve">2 </w:t>
            </w:r>
            <w:r w:rsidR="006C02A2" w:rsidRPr="001B07E2">
              <w:t>lit. </w:t>
            </w:r>
            <w:r w:rsidRPr="001B07E2">
              <w:t>h)</w:t>
            </w:r>
          </w:p>
        </w:tc>
        <w:tc>
          <w:tcPr>
            <w:tcW w:w="6127" w:type="dxa"/>
          </w:tcPr>
          <w:p w:rsidR="00C94108" w:rsidRPr="001B07E2" w:rsidRDefault="00C94108" w:rsidP="007B20D3">
            <w:pPr>
              <w:jc w:val="left"/>
            </w:pPr>
            <w:r w:rsidRPr="001B07E2">
              <w:t>Hierzu ist z. B. zu betrachten:</w:t>
            </w:r>
          </w:p>
          <w:p w:rsidR="00C94108" w:rsidRPr="001B07E2" w:rsidRDefault="00C94108" w:rsidP="007B20D3">
            <w:pPr>
              <w:pStyle w:val="Listenabsatz"/>
              <w:numPr>
                <w:ilvl w:val="0"/>
                <w:numId w:val="17"/>
              </w:numPr>
              <w:tabs>
                <w:tab w:val="clear" w:pos="1559"/>
              </w:tabs>
              <w:ind w:left="356"/>
              <w:jc w:val="left"/>
            </w:pPr>
            <w:r w:rsidRPr="001B07E2">
              <w:t>Meldete der Verantwortliche bzw. der Auftragsverarbeiter selbst das Vergehen an die Aufsichtsbehörde?</w:t>
            </w:r>
          </w:p>
          <w:p w:rsidR="00C94108" w:rsidRPr="001B07E2" w:rsidRDefault="00C94108" w:rsidP="007B20D3">
            <w:pPr>
              <w:pStyle w:val="Listenabsatz"/>
              <w:numPr>
                <w:ilvl w:val="0"/>
                <w:numId w:val="17"/>
              </w:numPr>
              <w:tabs>
                <w:tab w:val="clear" w:pos="1559"/>
              </w:tabs>
              <w:ind w:left="356"/>
              <w:jc w:val="left"/>
            </w:pPr>
            <w:r w:rsidRPr="001B07E2">
              <w:t>Erfuhr die Aufsichtsbehörde vom Betroffenen davon? Ggfs. aufgrund der Tatsache, dass der Verantwortliche den Betroffenen auf diese Möglichkeit hinwies?</w:t>
            </w:r>
          </w:p>
          <w:p w:rsidR="00C94108" w:rsidRPr="001B07E2" w:rsidRDefault="00C94108" w:rsidP="007B20D3">
            <w:pPr>
              <w:pStyle w:val="Listenabsatz"/>
              <w:numPr>
                <w:ilvl w:val="0"/>
                <w:numId w:val="17"/>
              </w:numPr>
              <w:tabs>
                <w:tab w:val="clear" w:pos="1559"/>
              </w:tabs>
              <w:ind w:left="356"/>
              <w:jc w:val="left"/>
            </w:pPr>
            <w:r w:rsidRPr="001B07E2">
              <w:t>Wurde die Aufsichtsbehörde erst über Dritte (z.B. Presse) informiert?</w:t>
            </w:r>
          </w:p>
        </w:tc>
      </w:tr>
      <w:tr w:rsidR="00C94108" w:rsidRPr="001B07E2" w:rsidTr="005C5CDE">
        <w:tc>
          <w:tcPr>
            <w:tcW w:w="2693" w:type="dxa"/>
          </w:tcPr>
          <w:p w:rsidR="00C94108" w:rsidRPr="001B07E2" w:rsidRDefault="00C94108" w:rsidP="006C02A2">
            <w:pPr>
              <w:jc w:val="left"/>
            </w:pPr>
            <w:r w:rsidRPr="001B07E2">
              <w:t>Einhaltung früherer Vorgaben der Aufsichtsbehörden bzgl. aktuell beanstandeter Verarbeitung</w:t>
            </w:r>
            <w:r w:rsidRPr="001B07E2">
              <w:br/>
              <w:t>(</w:t>
            </w:r>
            <w:r w:rsidR="006C02A2" w:rsidRPr="001B07E2">
              <w:t>Art. </w:t>
            </w:r>
            <w:r w:rsidRPr="001B07E2">
              <w:t xml:space="preserve">83 </w:t>
            </w:r>
            <w:r w:rsidR="006C02A2" w:rsidRPr="001B07E2">
              <w:t>Abs. </w:t>
            </w:r>
            <w:r w:rsidRPr="001B07E2">
              <w:t xml:space="preserve">2 </w:t>
            </w:r>
            <w:r w:rsidR="006C02A2" w:rsidRPr="001B07E2">
              <w:t>lit. </w:t>
            </w:r>
            <w:r w:rsidRPr="001B07E2">
              <w:t>i)</w:t>
            </w:r>
          </w:p>
        </w:tc>
        <w:tc>
          <w:tcPr>
            <w:tcW w:w="6127" w:type="dxa"/>
          </w:tcPr>
          <w:p w:rsidR="00C94108" w:rsidRPr="001B07E2" w:rsidRDefault="00C94108" w:rsidP="007B20D3">
            <w:pPr>
              <w:jc w:val="left"/>
            </w:pPr>
            <w:r w:rsidRPr="001B07E2">
              <w:t xml:space="preserve">Wurden frühere Vorgaben an dem beanstandeten Gegenstand vormals berücksichtigt und werden erneut beanstandet (Wiederholungsfall)? </w:t>
            </w:r>
          </w:p>
        </w:tc>
      </w:tr>
      <w:tr w:rsidR="00C94108" w:rsidRPr="001B07E2" w:rsidTr="005C5CDE">
        <w:tc>
          <w:tcPr>
            <w:tcW w:w="2693" w:type="dxa"/>
          </w:tcPr>
          <w:p w:rsidR="00C94108" w:rsidRPr="001B07E2" w:rsidRDefault="00C94108" w:rsidP="007B20D3">
            <w:pPr>
              <w:jc w:val="left"/>
            </w:pPr>
            <w:r w:rsidRPr="001B07E2">
              <w:t>Einhaltung genehmigter Verhaltensregeln</w:t>
            </w:r>
            <w:r w:rsidRPr="001B07E2">
              <w:br/>
              <w:t>(</w:t>
            </w:r>
            <w:r w:rsidR="006C02A2" w:rsidRPr="001B07E2">
              <w:t>Art. </w:t>
            </w:r>
            <w:r w:rsidRPr="001B07E2">
              <w:t xml:space="preserve">83 </w:t>
            </w:r>
            <w:r w:rsidR="006C02A2" w:rsidRPr="001B07E2">
              <w:t>Abs. </w:t>
            </w:r>
            <w:r w:rsidRPr="001B07E2">
              <w:t>2</w:t>
            </w:r>
            <w:r w:rsidR="006C02A2" w:rsidRPr="001B07E2">
              <w:t>lit. </w:t>
            </w:r>
            <w:r w:rsidRPr="001B07E2">
              <w:t>j)</w:t>
            </w:r>
          </w:p>
        </w:tc>
        <w:tc>
          <w:tcPr>
            <w:tcW w:w="6127" w:type="dxa"/>
          </w:tcPr>
          <w:p w:rsidR="00C94108" w:rsidRPr="001B07E2" w:rsidRDefault="00C94108" w:rsidP="007B20D3">
            <w:pPr>
              <w:jc w:val="left"/>
            </w:pPr>
            <w:r w:rsidRPr="001B07E2">
              <w:t>Wurden genehmigte Verhaltensregeln nach</w:t>
            </w:r>
            <w:r w:rsidR="006C02A2" w:rsidRPr="001B07E2">
              <w:t xml:space="preserve"> Art. </w:t>
            </w:r>
            <w:r w:rsidRPr="001B07E2">
              <w:t>40 umgesetzt aber nicht in Gänze eingehalten?</w:t>
            </w:r>
          </w:p>
        </w:tc>
      </w:tr>
      <w:tr w:rsidR="00C94108" w:rsidRPr="001B07E2" w:rsidTr="005C5CDE">
        <w:tc>
          <w:tcPr>
            <w:tcW w:w="2693" w:type="dxa"/>
          </w:tcPr>
          <w:p w:rsidR="00C94108" w:rsidRPr="001B07E2" w:rsidRDefault="00C94108" w:rsidP="006C02A2">
            <w:pPr>
              <w:jc w:val="left"/>
            </w:pPr>
            <w:r w:rsidRPr="001B07E2">
              <w:t>Einhaltung genehm</w:t>
            </w:r>
            <w:r w:rsidR="006C02A2" w:rsidRPr="001B07E2">
              <w:t>igter Zertifizierungsverfahren</w:t>
            </w:r>
            <w:r w:rsidR="006C02A2" w:rsidRPr="001B07E2">
              <w:br/>
              <w:t>(Art. </w:t>
            </w:r>
            <w:r w:rsidRPr="001B07E2">
              <w:t xml:space="preserve">83 </w:t>
            </w:r>
            <w:r w:rsidR="006C02A2" w:rsidRPr="001B07E2">
              <w:t>Abs. </w:t>
            </w:r>
            <w:r w:rsidRPr="001B07E2">
              <w:t>2</w:t>
            </w:r>
            <w:r w:rsidR="006C02A2" w:rsidRPr="001B07E2">
              <w:t>lit. </w:t>
            </w:r>
            <w:r w:rsidRPr="001B07E2">
              <w:t>j)</w:t>
            </w:r>
          </w:p>
        </w:tc>
        <w:tc>
          <w:tcPr>
            <w:tcW w:w="6127" w:type="dxa"/>
          </w:tcPr>
          <w:p w:rsidR="00C94108" w:rsidRPr="001B07E2" w:rsidRDefault="00C94108" w:rsidP="007B20D3">
            <w:pPr>
              <w:jc w:val="left"/>
            </w:pPr>
            <w:r w:rsidRPr="001B07E2">
              <w:t>Wurde ein genehmigtes Zertifizierungsverfahren nach</w:t>
            </w:r>
            <w:r w:rsidR="006C02A2" w:rsidRPr="001B07E2">
              <w:t xml:space="preserve"> Art. </w:t>
            </w:r>
            <w:r w:rsidRPr="001B07E2">
              <w:t>42 wirksam umgesetzt, jedoch in Teilen nicht eingehalten?</w:t>
            </w:r>
          </w:p>
        </w:tc>
      </w:tr>
      <w:tr w:rsidR="00C94108" w:rsidRPr="001B07E2" w:rsidTr="005C5CDE">
        <w:tc>
          <w:tcPr>
            <w:tcW w:w="2693" w:type="dxa"/>
          </w:tcPr>
          <w:p w:rsidR="00C94108" w:rsidRPr="001B07E2" w:rsidRDefault="00C94108" w:rsidP="006C02A2">
            <w:pPr>
              <w:jc w:val="left"/>
            </w:pPr>
            <w:r w:rsidRPr="001B07E2">
              <w:t>Jegliche anderen erschwerenden oder mildernden Umstände</w:t>
            </w:r>
            <w:r w:rsidRPr="001B07E2">
              <w:br/>
              <w:t>(</w:t>
            </w:r>
            <w:r w:rsidR="006C02A2" w:rsidRPr="001B07E2">
              <w:t>Art. </w:t>
            </w:r>
            <w:r w:rsidRPr="001B07E2">
              <w:t>83</w:t>
            </w:r>
            <w:r w:rsidR="006C02A2" w:rsidRPr="001B07E2">
              <w:t xml:space="preserve"> Abs. </w:t>
            </w:r>
            <w:r w:rsidRPr="001B07E2">
              <w:t xml:space="preserve">2 </w:t>
            </w:r>
            <w:r w:rsidR="006C02A2" w:rsidRPr="001B07E2">
              <w:t>lit. </w:t>
            </w:r>
            <w:r w:rsidRPr="001B07E2">
              <w:t>k)</w:t>
            </w:r>
          </w:p>
        </w:tc>
        <w:tc>
          <w:tcPr>
            <w:tcW w:w="6127" w:type="dxa"/>
          </w:tcPr>
          <w:p w:rsidR="00C94108" w:rsidRPr="001B07E2" w:rsidRDefault="00C94108" w:rsidP="007B20D3">
            <w:pPr>
              <w:jc w:val="left"/>
            </w:pPr>
            <w:r w:rsidRPr="001B07E2">
              <w:t>Haben sich durch den Verstoß finanzielle Vorteile ergeben?</w:t>
            </w:r>
          </w:p>
        </w:tc>
      </w:tr>
    </w:tbl>
    <w:p w:rsidR="00C94108" w:rsidRPr="001B07E2" w:rsidRDefault="00C94108" w:rsidP="00C94108"/>
    <w:p w:rsidR="007373E2" w:rsidRPr="001B07E2" w:rsidRDefault="003408DF" w:rsidP="007373E2">
      <w:r w:rsidRPr="001B07E2">
        <w:t>Weiterhin muss sich die Höhe der Geldbuße bei einem Verstoß „europäisch“ einordnen lassen. D. h. für einen Verstoß muss theoretisch in allen Ländern ein den Umständen entsprechendes, einheitliches Bußgeld verhängt werden.</w:t>
      </w:r>
    </w:p>
    <w:p w:rsidR="00AB780B" w:rsidRPr="001B07E2" w:rsidRDefault="00AB780B" w:rsidP="007373E2"/>
    <w:p w:rsidR="00AB780B" w:rsidRPr="001B07E2" w:rsidRDefault="00AB780B">
      <w:pPr>
        <w:rPr>
          <w:rFonts w:asciiTheme="majorHAnsi" w:eastAsiaTheme="majorEastAsia" w:hAnsiTheme="majorHAnsi" w:cstheme="majorBidi"/>
          <w:b/>
          <w:bCs/>
          <w:color w:val="365F91" w:themeColor="accent1" w:themeShade="BF"/>
          <w:sz w:val="28"/>
          <w:szCs w:val="28"/>
        </w:rPr>
      </w:pPr>
      <w:bookmarkStart w:id="115" w:name="_Toc500395767"/>
      <w:r w:rsidRPr="001B07E2">
        <w:br w:type="page"/>
      </w:r>
    </w:p>
    <w:p w:rsidR="00B8254E" w:rsidRPr="001B07E2" w:rsidRDefault="00B8254E" w:rsidP="00B23A62">
      <w:pPr>
        <w:pStyle w:val="berschrift1"/>
      </w:pPr>
      <w:bookmarkStart w:id="116" w:name="_Toc514832496"/>
      <w:r w:rsidRPr="001B07E2">
        <w:lastRenderedPageBreak/>
        <w:t xml:space="preserve">Privacy </w:t>
      </w:r>
      <w:proofErr w:type="spellStart"/>
      <w:r w:rsidRPr="001B07E2">
        <w:t>by</w:t>
      </w:r>
      <w:proofErr w:type="spellEnd"/>
      <w:r w:rsidRPr="001B07E2">
        <w:t xml:space="preserve"> Design: Eine mögliche Vorgehensweise</w:t>
      </w:r>
      <w:bookmarkEnd w:id="115"/>
      <w:bookmarkEnd w:id="116"/>
    </w:p>
    <w:p w:rsidR="00B8254E" w:rsidRPr="001B07E2" w:rsidRDefault="00B8254E" w:rsidP="00B8254E">
      <w:pPr>
        <w:spacing w:after="0"/>
      </w:pPr>
      <w:r w:rsidRPr="001B07E2">
        <w:t>Der Grundgedanke ist die Ausrichtung der Verarbeitung am Betroffenen. Hierzu müssen insbesondere folgende Fragen beantwortet werden:</w:t>
      </w:r>
    </w:p>
    <w:p w:rsidR="00B8254E" w:rsidRPr="001B07E2" w:rsidRDefault="00B8254E" w:rsidP="00B8254E">
      <w:pPr>
        <w:pStyle w:val="Listenabsatz"/>
        <w:numPr>
          <w:ilvl w:val="0"/>
          <w:numId w:val="7"/>
        </w:numPr>
      </w:pPr>
      <w:r w:rsidRPr="001B07E2">
        <w:t>Was hat der Betroffene von der Verarbeitung?</w:t>
      </w:r>
    </w:p>
    <w:p w:rsidR="00B8254E" w:rsidRPr="001B07E2" w:rsidRDefault="00B8254E" w:rsidP="00B8254E">
      <w:pPr>
        <w:pStyle w:val="Listenabsatz"/>
        <w:numPr>
          <w:ilvl w:val="0"/>
          <w:numId w:val="7"/>
        </w:numPr>
      </w:pPr>
      <w:r w:rsidRPr="001B07E2">
        <w:t>Welchen Nutzen zieht der Betroffene aus der Verarbeitung?</w:t>
      </w:r>
    </w:p>
    <w:p w:rsidR="00B8254E" w:rsidRPr="001B07E2" w:rsidRDefault="00B8254E" w:rsidP="00B8254E">
      <w:pPr>
        <w:pStyle w:val="Listenabsatz"/>
        <w:numPr>
          <w:ilvl w:val="0"/>
          <w:numId w:val="7"/>
        </w:numPr>
      </w:pPr>
      <w:r w:rsidRPr="001B07E2">
        <w:t>Ist der Nutzen größer als (potentieller) Schaden?</w:t>
      </w:r>
    </w:p>
    <w:p w:rsidR="00B8254E" w:rsidRPr="001B07E2" w:rsidRDefault="00B8254E" w:rsidP="00B8254E">
      <w:pPr>
        <w:pStyle w:val="Listenabsatz"/>
        <w:numPr>
          <w:ilvl w:val="0"/>
          <w:numId w:val="7"/>
        </w:numPr>
      </w:pPr>
      <w:r w:rsidRPr="001B07E2">
        <w:t>Kann der Betroffene (jederzeit) aktiv agieren? D.h. Einfluss auf die Verarbeitung nehmen?</w:t>
      </w:r>
    </w:p>
    <w:p w:rsidR="00B8254E" w:rsidRPr="001B07E2" w:rsidRDefault="00B8254E" w:rsidP="00B8254E">
      <w:pPr>
        <w:pStyle w:val="Listenabsatz"/>
        <w:numPr>
          <w:ilvl w:val="0"/>
          <w:numId w:val="7"/>
        </w:numPr>
      </w:pPr>
      <w:r w:rsidRPr="001B07E2">
        <w:t>Erfolgt die Verarbeitung transparent?</w:t>
      </w:r>
    </w:p>
    <w:p w:rsidR="00B8254E" w:rsidRPr="001B07E2" w:rsidRDefault="00B8254E" w:rsidP="00B8254E">
      <w:pPr>
        <w:spacing w:after="0"/>
      </w:pPr>
      <w:r w:rsidRPr="001B07E2">
        <w:t>Grundprinzip dabei ist, dass die personenbezogenen Daten explizit für einen bestimmten Zweck erhoben werden und eine weitere Verarbeitung nur in dessen Rahmen geschieht. Eine Zweckbindung wird von der Erhebung bis zur Löschung der Daten beibehalten. Dabei ist das Prinzip der Datensparsamkeit umsetzen:</w:t>
      </w:r>
    </w:p>
    <w:p w:rsidR="00B8254E" w:rsidRPr="001B07E2" w:rsidRDefault="00B8254E" w:rsidP="00B8254E">
      <w:pPr>
        <w:pStyle w:val="Listenabsatz"/>
        <w:numPr>
          <w:ilvl w:val="0"/>
          <w:numId w:val="8"/>
        </w:numPr>
      </w:pPr>
      <w:r w:rsidRPr="001B07E2">
        <w:t>Nur erforderliche, notwendige Daten verarbeiten,</w:t>
      </w:r>
    </w:p>
    <w:p w:rsidR="00B8254E" w:rsidRPr="001B07E2" w:rsidRDefault="00B8254E" w:rsidP="00B8254E">
      <w:pPr>
        <w:pStyle w:val="Listenabsatz"/>
        <w:numPr>
          <w:ilvl w:val="0"/>
          <w:numId w:val="8"/>
        </w:numPr>
      </w:pPr>
      <w:r w:rsidRPr="001B07E2">
        <w:t>nach Möglichkeit anonymisieren oder wenigstens pseudonymisieren,</w:t>
      </w:r>
    </w:p>
    <w:p w:rsidR="00B8254E" w:rsidRPr="001B07E2" w:rsidRDefault="00B8254E" w:rsidP="00B8254E">
      <w:pPr>
        <w:pStyle w:val="Listenabsatz"/>
        <w:numPr>
          <w:ilvl w:val="0"/>
          <w:numId w:val="8"/>
        </w:numPr>
      </w:pPr>
      <w:r w:rsidRPr="001B07E2">
        <w:t>nach Möglichkeit nur temporär speichern.</w:t>
      </w:r>
    </w:p>
    <w:p w:rsidR="00B8254E" w:rsidRPr="001B07E2" w:rsidRDefault="00B8254E" w:rsidP="00B8254E">
      <w:r w:rsidRPr="001B07E2">
        <w:t>Während der gesamten Dauer der Verarbeitung der personenbezogenen Daten erfolgt eine Wahrung der Verhältnismäßigkeit, d. h. die Verarbeitung ist für den vorgegebenen Zweck geeignet und erforderlich, es existiert kein milderes Mittel, welches weniger in die Rechte und Freiheiten der betroffenen Personen eingreift.</w:t>
      </w:r>
    </w:p>
    <w:p w:rsidR="00B8254E" w:rsidRPr="001B07E2" w:rsidRDefault="00B8254E" w:rsidP="00B8254E">
      <w:r w:rsidRPr="001B07E2">
        <w:t>Dementsprechend ist ein strenges Berechtigungskonzept umzusetzen. Die Datenverwaltung bzw. der Datenzugriff darf ausschließlich entsprechend dem „Need-</w:t>
      </w:r>
      <w:proofErr w:type="spellStart"/>
      <w:r w:rsidRPr="001B07E2">
        <w:t>to</w:t>
      </w:r>
      <w:proofErr w:type="spellEnd"/>
      <w:r w:rsidRPr="001B07E2">
        <w:t>-</w:t>
      </w:r>
      <w:proofErr w:type="spellStart"/>
      <w:r w:rsidRPr="001B07E2">
        <w:t>know</w:t>
      </w:r>
      <w:proofErr w:type="spellEnd"/>
      <w:r w:rsidRPr="001B07E2">
        <w:t>“-Prinzip erfolgen. Dementsprechend ist eine Datenminimierung für den jeweiligen Verarbeiter vorzusehen. Wenn möglich erfolgt ein direkter Personenbezug der Daten erst beim Eintritt eines bestimmten Ereignisses, vorher erfolgt nur eine pseudonyme Nutzung.</w:t>
      </w:r>
    </w:p>
    <w:p w:rsidR="00B8254E" w:rsidRPr="001B07E2" w:rsidRDefault="00B8254E" w:rsidP="00B8254E">
      <w:r w:rsidRPr="001B07E2">
        <w:t>Die Wahrung der Betroffenenrechte ist zu jedem Zeitpunkt der Verarbeitung gewährleistet. Erfolgt eine Einschränkung dieser Rechte, so erfolgt diese nur bei entsprechendem Allgemeininteresse. Die Dokumentation muss die Nachprüfbarkeit dieser Entscheidung gewährleisten.</w:t>
      </w:r>
    </w:p>
    <w:p w:rsidR="00B8254E" w:rsidRPr="001B07E2" w:rsidRDefault="00B8254E" w:rsidP="00B8254E">
      <w:r w:rsidRPr="001B07E2">
        <w:t>Über den gesamten Lebenszyklus der Daten hinweg ist die Sicherheit der Daten gewahrt. Die aus</w:t>
      </w:r>
      <w:r w:rsidR="006C02A2" w:rsidRPr="001B07E2">
        <w:t xml:space="preserve"> Art. </w:t>
      </w:r>
      <w:r w:rsidRPr="001B07E2">
        <w:t>32 DS-GVO resultierenden Anforderungen sind gewährleistet. Insbesondere ist berücksichtigt, dass auch</w:t>
      </w:r>
      <w:r w:rsidR="006C02A2" w:rsidRPr="001B07E2">
        <w:t xml:space="preserve"> Art. </w:t>
      </w:r>
      <w:r w:rsidRPr="001B07E2">
        <w:t>32 DS-GVO eine Beurteilung der Gefährdungen aus Sicht des Betroffenen fordert, d. h. dass eine Umsetzung dieser Anforderungen auch den Anforderungen der betroffenen Person genügen muss.</w:t>
      </w:r>
    </w:p>
    <w:p w:rsidR="00B8254E" w:rsidRPr="001B07E2" w:rsidRDefault="00B8254E" w:rsidP="00B8254E">
      <w:r w:rsidRPr="001B07E2">
        <w:t>Auf automatisierte Einzelentscheidung wird verzichtet.</w:t>
      </w:r>
    </w:p>
    <w:p w:rsidR="00CA4252" w:rsidRPr="001B07E2" w:rsidRDefault="00CA4252" w:rsidP="00CA4252">
      <w:pPr>
        <w:pStyle w:val="berschrift1"/>
      </w:pPr>
      <w:bookmarkStart w:id="117" w:name="_Toc514832497"/>
      <w:r w:rsidRPr="001B07E2">
        <w:t>Rechenschaftspflicht und Dokumentation</w:t>
      </w:r>
      <w:bookmarkEnd w:id="117"/>
    </w:p>
    <w:p w:rsidR="000A56EA" w:rsidRPr="001B07E2" w:rsidRDefault="00CA4252" w:rsidP="000A56EA">
      <w:pPr>
        <w:pStyle w:val="berschrift2"/>
      </w:pPr>
      <w:bookmarkStart w:id="118" w:name="_Toc514832498"/>
      <w:r w:rsidRPr="001B07E2">
        <w:t>Was mindestens dokumentiert werden sollte</w:t>
      </w:r>
      <w:bookmarkEnd w:id="118"/>
    </w:p>
    <w:p w:rsidR="000A56EA" w:rsidRPr="001B07E2" w:rsidRDefault="00C94108" w:rsidP="00035DC2">
      <w:r w:rsidRPr="001B07E2">
        <w:t>Auch</w:t>
      </w:r>
      <w:r w:rsidR="006C02A2" w:rsidRPr="001B07E2">
        <w:t xml:space="preserve"> Art. </w:t>
      </w:r>
      <w:r w:rsidRPr="001B07E2">
        <w:t xml:space="preserve">25 DS-GVO unterliegt der Rechenschaftspflicht. Daher ist eine gute Dokumentation </w:t>
      </w:r>
      <w:r w:rsidR="000A56EA" w:rsidRPr="001B07E2">
        <w:t>unabdingbar. Die Entscheidungsfindung, warum welche Maßnahmen ergriffen wurden, wie auch die Beschreibung der Maßnahmen selbst ist essentialer Bestandteil.</w:t>
      </w:r>
    </w:p>
    <w:p w:rsidR="000A56EA" w:rsidRPr="001B07E2" w:rsidRDefault="000A56EA" w:rsidP="000A56EA">
      <w:pPr>
        <w:spacing w:after="0"/>
      </w:pPr>
      <w:r w:rsidRPr="001B07E2">
        <w:lastRenderedPageBreak/>
        <w:t xml:space="preserve">Dabei ist u.a. die Erforderlichkeit der Daten für den beschriebenen Verwendungszweck darzustellen, sowohl für </w:t>
      </w:r>
    </w:p>
    <w:p w:rsidR="000A56EA" w:rsidRPr="001B07E2" w:rsidRDefault="000A56EA" w:rsidP="000A56EA">
      <w:pPr>
        <w:pStyle w:val="Listenabsatz"/>
        <w:numPr>
          <w:ilvl w:val="0"/>
          <w:numId w:val="15"/>
        </w:numPr>
      </w:pPr>
      <w:r w:rsidRPr="001B07E2">
        <w:t>die Daten selbst als auch</w:t>
      </w:r>
    </w:p>
    <w:p w:rsidR="000A56EA" w:rsidRPr="001B07E2" w:rsidRDefault="00035DC2" w:rsidP="000A56EA">
      <w:pPr>
        <w:pStyle w:val="Listenabsatz"/>
        <w:numPr>
          <w:ilvl w:val="0"/>
          <w:numId w:val="15"/>
        </w:numPr>
      </w:pPr>
      <w:r w:rsidRPr="001B07E2">
        <w:t xml:space="preserve">für die </w:t>
      </w:r>
      <w:r w:rsidR="000A56EA" w:rsidRPr="001B07E2">
        <w:t>Menge der erhobenen personenbezogenen Daten,</w:t>
      </w:r>
    </w:p>
    <w:p w:rsidR="000A56EA" w:rsidRPr="001B07E2" w:rsidRDefault="000A56EA" w:rsidP="000A56EA">
      <w:pPr>
        <w:pStyle w:val="Listenabsatz"/>
        <w:numPr>
          <w:ilvl w:val="0"/>
          <w:numId w:val="15"/>
        </w:numPr>
      </w:pPr>
      <w:r w:rsidRPr="001B07E2">
        <w:t>den Umfang ihrer Verarbeitung,</w:t>
      </w:r>
    </w:p>
    <w:p w:rsidR="000A56EA" w:rsidRPr="001B07E2" w:rsidRDefault="000A56EA" w:rsidP="000A56EA">
      <w:pPr>
        <w:pStyle w:val="Listenabsatz"/>
        <w:numPr>
          <w:ilvl w:val="0"/>
          <w:numId w:val="15"/>
        </w:numPr>
      </w:pPr>
      <w:r w:rsidRPr="001B07E2">
        <w:t>ihre Speicherfrist und</w:t>
      </w:r>
    </w:p>
    <w:p w:rsidR="000A56EA" w:rsidRPr="001B07E2" w:rsidRDefault="000A56EA" w:rsidP="000A56EA">
      <w:pPr>
        <w:pStyle w:val="Listenabsatz"/>
        <w:numPr>
          <w:ilvl w:val="0"/>
          <w:numId w:val="15"/>
        </w:numPr>
      </w:pPr>
      <w:r w:rsidRPr="001B07E2">
        <w:t>ihre Zugänglichkeit.</w:t>
      </w:r>
    </w:p>
    <w:p w:rsidR="000A56EA" w:rsidRPr="001B07E2" w:rsidRDefault="00035DC2" w:rsidP="000A56EA">
      <w:pPr>
        <w:spacing w:after="0"/>
      </w:pPr>
      <w:r w:rsidRPr="001B07E2">
        <w:t xml:space="preserve">Wie in Abschnitt </w:t>
      </w:r>
      <w:r w:rsidRPr="001B07E2">
        <w:fldChar w:fldCharType="begin"/>
      </w:r>
      <w:r w:rsidRPr="001B07E2">
        <w:instrText xml:space="preserve"> REF _Ref506438575 \r \h </w:instrText>
      </w:r>
      <w:r w:rsidRPr="001B07E2">
        <w:fldChar w:fldCharType="separate"/>
      </w:r>
      <w:r w:rsidR="007B1EC3">
        <w:t>2.3.2</w:t>
      </w:r>
      <w:r w:rsidRPr="001B07E2">
        <w:fldChar w:fldCharType="end"/>
      </w:r>
      <w:r w:rsidRPr="001B07E2">
        <w:t xml:space="preserve"> beschrieben </w:t>
      </w:r>
      <w:r w:rsidR="000A56EA" w:rsidRPr="001B07E2">
        <w:t xml:space="preserve">müssen daher </w:t>
      </w:r>
      <w:r w:rsidRPr="001B07E2">
        <w:t xml:space="preserve">die </w:t>
      </w:r>
      <w:r w:rsidR="000A56EA" w:rsidRPr="001B07E2">
        <w:t xml:space="preserve">drei </w:t>
      </w:r>
      <w:r w:rsidRPr="001B07E2">
        <w:t xml:space="preserve">folgenden </w:t>
      </w:r>
      <w:r w:rsidR="000A56EA" w:rsidRPr="001B07E2">
        <w:t>Fragen beantwortet werden:</w:t>
      </w:r>
    </w:p>
    <w:p w:rsidR="000A56EA" w:rsidRPr="001B07E2" w:rsidRDefault="000A56EA" w:rsidP="000A56EA">
      <w:pPr>
        <w:pStyle w:val="Listenabsatz"/>
        <w:numPr>
          <w:ilvl w:val="0"/>
          <w:numId w:val="18"/>
        </w:numPr>
        <w:tabs>
          <w:tab w:val="clear" w:pos="1559"/>
          <w:tab w:val="left" w:pos="709"/>
        </w:tabs>
      </w:pPr>
      <w:r w:rsidRPr="001B07E2">
        <w:t>Gibt es ein anderes Mittel?</w:t>
      </w:r>
    </w:p>
    <w:p w:rsidR="00035DC2" w:rsidRPr="001B07E2" w:rsidRDefault="00035DC2" w:rsidP="00035DC2">
      <w:pPr>
        <w:pStyle w:val="Listenabsatz"/>
        <w:tabs>
          <w:tab w:val="clear" w:pos="1559"/>
          <w:tab w:val="left" w:pos="709"/>
        </w:tabs>
        <w:ind w:left="709"/>
      </w:pPr>
      <w:r w:rsidRPr="001B07E2">
        <w:t>Hier wird dargestellt, mit welchen Verarbeitungen der gewünschte Verarbeitungszweck erreicht werden kann und was für die jeweilige Verarbeitung benötigt wird, d.</w:t>
      </w:r>
      <w:r w:rsidR="00B300BA" w:rsidRPr="001B07E2">
        <w:t> </w:t>
      </w:r>
      <w:r w:rsidRPr="001B07E2">
        <w:t>h. welche Daten wie verarbeitet werden müssen.</w:t>
      </w:r>
    </w:p>
    <w:p w:rsidR="000A56EA" w:rsidRPr="001B07E2" w:rsidRDefault="000A56EA" w:rsidP="000A56EA">
      <w:pPr>
        <w:pStyle w:val="Listenabsatz"/>
        <w:numPr>
          <w:ilvl w:val="0"/>
          <w:numId w:val="18"/>
        </w:numPr>
        <w:tabs>
          <w:tab w:val="clear" w:pos="1559"/>
          <w:tab w:val="left" w:pos="709"/>
        </w:tabs>
        <w:ind w:left="709" w:hanging="349"/>
      </w:pPr>
      <w:r w:rsidRPr="001B07E2">
        <w:t>Ist dieses in gleicher Weise geeignet, den Zweck zu erreichen?</w:t>
      </w:r>
    </w:p>
    <w:p w:rsidR="00035DC2" w:rsidRPr="001B07E2" w:rsidRDefault="00035DC2" w:rsidP="00035DC2">
      <w:pPr>
        <w:pStyle w:val="Listenabsatz"/>
        <w:tabs>
          <w:tab w:val="clear" w:pos="1559"/>
          <w:tab w:val="left" w:pos="709"/>
        </w:tabs>
        <w:ind w:left="709"/>
      </w:pPr>
      <w:r w:rsidRPr="001B07E2">
        <w:t>Danach werden die verschiedenen Verarbeitungsvorgänge daraufhin untersucht, in welcher Güte welcher Verarbeitungsvorgang den gewünschten Verarbeitungszweck abbildet. D.</w:t>
      </w:r>
      <w:r w:rsidR="00B300BA" w:rsidRPr="001B07E2">
        <w:t> </w:t>
      </w:r>
      <w:r w:rsidRPr="001B07E2">
        <w:t>h.</w:t>
      </w:r>
    </w:p>
    <w:p w:rsidR="00035DC2" w:rsidRPr="001B07E2" w:rsidRDefault="00035DC2" w:rsidP="00AB780B">
      <w:pPr>
        <w:pStyle w:val="Listenabsatz"/>
        <w:numPr>
          <w:ilvl w:val="1"/>
          <w:numId w:val="15"/>
        </w:numPr>
      </w:pPr>
      <w:r w:rsidRPr="001B07E2">
        <w:t xml:space="preserve">Welcher Verarbeitungsvorgang ist ggf. am ehesten in der Lage, den beabsichtigten Zweck zu erreichen? </w:t>
      </w:r>
    </w:p>
    <w:p w:rsidR="00035DC2" w:rsidRPr="001B07E2" w:rsidRDefault="00035DC2" w:rsidP="00AB780B">
      <w:pPr>
        <w:pStyle w:val="Listenabsatz"/>
        <w:numPr>
          <w:ilvl w:val="1"/>
          <w:numId w:val="15"/>
        </w:numPr>
      </w:pPr>
      <w:r w:rsidRPr="001B07E2">
        <w:t>Welche Verarbeitungsvorgänge sind ggf. gleichermaßen geeignet?</w:t>
      </w:r>
    </w:p>
    <w:p w:rsidR="000A56EA" w:rsidRPr="001B07E2" w:rsidRDefault="000A56EA" w:rsidP="000A56EA">
      <w:pPr>
        <w:pStyle w:val="Listenabsatz"/>
        <w:numPr>
          <w:ilvl w:val="0"/>
          <w:numId w:val="18"/>
        </w:numPr>
        <w:tabs>
          <w:tab w:val="clear" w:pos="1559"/>
          <w:tab w:val="left" w:pos="709"/>
        </w:tabs>
        <w:ind w:left="709" w:hanging="349"/>
      </w:pPr>
      <w:r w:rsidRPr="001B07E2">
        <w:t>Ist dieses Mittel ein milderes, also die Rechte Anderer weniger belastendes Mittel?</w:t>
      </w:r>
    </w:p>
    <w:p w:rsidR="00035DC2" w:rsidRPr="001B07E2" w:rsidRDefault="00035DC2" w:rsidP="00035DC2">
      <w:pPr>
        <w:pStyle w:val="Listenabsatz"/>
        <w:tabs>
          <w:tab w:val="clear" w:pos="1559"/>
          <w:tab w:val="left" w:pos="709"/>
        </w:tabs>
        <w:ind w:left="709"/>
      </w:pPr>
      <w:r w:rsidRPr="001B07E2">
        <w:t>Danach werden die verschiedenen Verarbeitungsvorgänge, die den gewünschten Verarbeitungszweck erreichen könnten, bzgl. ihres Eingriffs in die die Rechte Betroffener beurteilt und der Verarbeitungsvorgang ausgewählt, welcher am wenigsten in diese Rechte eingreift.</w:t>
      </w:r>
    </w:p>
    <w:p w:rsidR="000A56EA" w:rsidRPr="001B07E2" w:rsidRDefault="00032950" w:rsidP="000A56EA">
      <w:pPr>
        <w:spacing w:after="0"/>
      </w:pPr>
      <w:r w:rsidRPr="001B07E2">
        <w:t>Bei der Beschreibung der</w:t>
      </w:r>
      <w:r w:rsidR="000A56EA" w:rsidRPr="001B07E2">
        <w:t xml:space="preserve"> Maßnahmen</w:t>
      </w:r>
      <w:r w:rsidRPr="001B07E2">
        <w:t>, welche</w:t>
      </w:r>
      <w:r w:rsidR="000A56EA" w:rsidRPr="001B07E2">
        <w:t xml:space="preserve"> die Umsetzung der Datenschutzgrundsätze (siehe Abschnitt </w:t>
      </w:r>
      <w:r w:rsidR="000A56EA" w:rsidRPr="001B07E2">
        <w:fldChar w:fldCharType="begin"/>
      </w:r>
      <w:r w:rsidR="000A56EA" w:rsidRPr="001B07E2">
        <w:instrText xml:space="preserve"> REF _Ref506438109 \r \h </w:instrText>
      </w:r>
      <w:r w:rsidR="000A56EA" w:rsidRPr="001B07E2">
        <w:fldChar w:fldCharType="separate"/>
      </w:r>
      <w:r w:rsidR="007B1EC3">
        <w:t>2.2.4</w:t>
      </w:r>
      <w:r w:rsidR="000A56EA" w:rsidRPr="001B07E2">
        <w:fldChar w:fldCharType="end"/>
      </w:r>
      <w:r w:rsidR="000A56EA" w:rsidRPr="001B07E2">
        <w:t>) gewährleisten</w:t>
      </w:r>
      <w:r w:rsidRPr="001B07E2">
        <w:t>, finden sich einige dieser Aspekte wieder</w:t>
      </w:r>
      <w:r w:rsidR="000A56EA" w:rsidRPr="001B07E2">
        <w:t xml:space="preserve">. </w:t>
      </w:r>
      <w:r w:rsidRPr="001B07E2">
        <w:t>Aus den Datenschutzgrundsätzen resultieren Nachweispflichten bzgl.:</w:t>
      </w:r>
    </w:p>
    <w:p w:rsidR="000A56EA" w:rsidRPr="001B07E2" w:rsidRDefault="000A56EA" w:rsidP="000A56EA">
      <w:pPr>
        <w:pStyle w:val="Listenabsatz"/>
        <w:numPr>
          <w:ilvl w:val="0"/>
          <w:numId w:val="15"/>
        </w:numPr>
      </w:pPr>
      <w:r w:rsidRPr="001B07E2">
        <w:t>Rechtmäßige Verarbeitung</w:t>
      </w:r>
    </w:p>
    <w:p w:rsidR="009A4D47" w:rsidRPr="001B07E2" w:rsidRDefault="009A4D47" w:rsidP="00AB780B">
      <w:pPr>
        <w:pStyle w:val="Listenabsatz"/>
      </w:pPr>
      <w:r w:rsidRPr="001B07E2">
        <w:t>Eine Verarbeitung darf nur erfolgen, wenn eine</w:t>
      </w:r>
      <w:r w:rsidR="000A56EA" w:rsidRPr="001B07E2">
        <w:t xml:space="preserve"> Rechtsgrundlage </w:t>
      </w:r>
      <w:r w:rsidRPr="001B07E2">
        <w:t xml:space="preserve">für die Verarbeitung existiert. D. h. diese Rechtsgrundlage </w:t>
      </w:r>
      <w:r w:rsidR="000A56EA" w:rsidRPr="001B07E2">
        <w:t xml:space="preserve">der Verarbeitung </w:t>
      </w:r>
      <w:r w:rsidRPr="001B07E2">
        <w:t>muss beschrieben werden.</w:t>
      </w:r>
    </w:p>
    <w:p w:rsidR="000A56EA" w:rsidRPr="001B07E2" w:rsidRDefault="000A56EA" w:rsidP="00AB780B">
      <w:pPr>
        <w:pStyle w:val="Listenabsatz"/>
      </w:pPr>
      <w:r w:rsidRPr="001B07E2">
        <w:t>Die Maßnahmen müssen eine rechtswidrige Verarbeitung verhindern. An organisatorischen Maßnahmen gibt es hier beispielsweise</w:t>
      </w:r>
    </w:p>
    <w:p w:rsidR="000A56EA" w:rsidRPr="001B07E2" w:rsidRDefault="000A56EA" w:rsidP="00AB780B">
      <w:pPr>
        <w:pStyle w:val="Listenabsatz"/>
        <w:numPr>
          <w:ilvl w:val="1"/>
          <w:numId w:val="15"/>
        </w:numPr>
      </w:pPr>
      <w:r w:rsidRPr="001B07E2">
        <w:t>Verpflichtung auf das Datengeheimnis</w:t>
      </w:r>
    </w:p>
    <w:p w:rsidR="000A56EA" w:rsidRPr="001B07E2" w:rsidRDefault="000A56EA" w:rsidP="00AB780B">
      <w:pPr>
        <w:pStyle w:val="Listenabsatz"/>
        <w:numPr>
          <w:ilvl w:val="1"/>
          <w:numId w:val="15"/>
        </w:numPr>
      </w:pPr>
      <w:r w:rsidRPr="001B07E2">
        <w:t>Schulung der Beschäftigten</w:t>
      </w:r>
    </w:p>
    <w:p w:rsidR="000A56EA" w:rsidRPr="001B07E2" w:rsidRDefault="000A56EA" w:rsidP="00AB780B">
      <w:pPr>
        <w:pStyle w:val="Listenabsatz"/>
        <w:numPr>
          <w:ilvl w:val="1"/>
          <w:numId w:val="15"/>
        </w:numPr>
      </w:pPr>
      <w:r w:rsidRPr="001B07E2">
        <w:t>Anweisungen, wie mit den Daten umgegangen wird.</w:t>
      </w:r>
    </w:p>
    <w:p w:rsidR="000A56EA" w:rsidRPr="001B07E2" w:rsidRDefault="000A56EA" w:rsidP="00AB780B">
      <w:pPr>
        <w:pStyle w:val="Listenabsatz"/>
      </w:pPr>
      <w:r w:rsidRPr="001B07E2">
        <w:t>Technische Maßnahmen müssen die organisatorischen Maßnahmen begleiten, z.</w:t>
      </w:r>
      <w:r w:rsidR="00B300BA" w:rsidRPr="001B07E2">
        <w:t> </w:t>
      </w:r>
      <w:r w:rsidRPr="001B07E2">
        <w:t>B. durch ein entsprechendes Rechtemanagement.</w:t>
      </w:r>
    </w:p>
    <w:p w:rsidR="009A4D47" w:rsidRPr="001B07E2" w:rsidRDefault="009A4D47" w:rsidP="009A4D47">
      <w:pPr>
        <w:pStyle w:val="Listenabsatz"/>
        <w:numPr>
          <w:ilvl w:val="0"/>
          <w:numId w:val="15"/>
        </w:numPr>
      </w:pPr>
      <w:r w:rsidRPr="001B07E2">
        <w:t>Verarbeitung nach „Treu und Glauben“</w:t>
      </w:r>
    </w:p>
    <w:p w:rsidR="009A4D47" w:rsidRPr="001B07E2" w:rsidRDefault="009A4D47" w:rsidP="009A4D47">
      <w:pPr>
        <w:pStyle w:val="Listenabsatz"/>
      </w:pPr>
      <w:r w:rsidRPr="001B07E2">
        <w:t>Eine Verarbeitung nach „Treu und Glauben“ verlangt eine Beachtung des Verhältnismäßigkeitsgrundsatzes</w:t>
      </w:r>
      <w:bookmarkStart w:id="119" w:name="_Ref506876069"/>
      <w:r w:rsidRPr="001B07E2">
        <w:rPr>
          <w:rStyle w:val="Funotenzeichen"/>
        </w:rPr>
        <w:footnoteReference w:id="17"/>
      </w:r>
      <w:bookmarkEnd w:id="119"/>
      <w:r w:rsidRPr="001B07E2">
        <w:t>. D.h. die Verarbeitung der personenbezogenen Daten muss</w:t>
      </w:r>
    </w:p>
    <w:p w:rsidR="009A4D47" w:rsidRPr="001B07E2" w:rsidRDefault="009A4D47" w:rsidP="009A4D47">
      <w:pPr>
        <w:pStyle w:val="Listenabsatz"/>
        <w:numPr>
          <w:ilvl w:val="0"/>
          <w:numId w:val="23"/>
        </w:numPr>
      </w:pPr>
      <w:r w:rsidRPr="001B07E2">
        <w:t>zur Erreichung des (legitimen) Zweckes geeignet und</w:t>
      </w:r>
    </w:p>
    <w:p w:rsidR="009A4D47" w:rsidRPr="001B07E2" w:rsidRDefault="009A4D47" w:rsidP="009A4D47">
      <w:pPr>
        <w:pStyle w:val="Listenabsatz"/>
        <w:numPr>
          <w:ilvl w:val="0"/>
          <w:numId w:val="23"/>
        </w:numPr>
      </w:pPr>
      <w:r w:rsidRPr="001B07E2">
        <w:t>das mildeste aller gleich effektiven Mittel sein.</w:t>
      </w:r>
    </w:p>
    <w:p w:rsidR="009A4D47" w:rsidRPr="001B07E2" w:rsidRDefault="009A4D47" w:rsidP="009A4D47">
      <w:pPr>
        <w:pStyle w:val="Listenabsatz"/>
      </w:pPr>
      <w:r w:rsidRPr="001B07E2">
        <w:lastRenderedPageBreak/>
        <w:t xml:space="preserve">Weiterhin muss eine Abwägung der Interessen der betroffenen Person sowie des Verantwortlichen erfolgt </w:t>
      </w:r>
      <w:r w:rsidR="000D2395" w:rsidRPr="001B07E2">
        <w:t>sein, welche ergab, dass die Verarbeitung zur Erreichung des Zweckes angemessen ist</w:t>
      </w:r>
      <w:r w:rsidR="000D2395" w:rsidRPr="001B07E2">
        <w:rPr>
          <w:vertAlign w:val="superscript"/>
        </w:rPr>
        <w:fldChar w:fldCharType="begin"/>
      </w:r>
      <w:r w:rsidR="000D2395" w:rsidRPr="001B07E2">
        <w:rPr>
          <w:vertAlign w:val="superscript"/>
        </w:rPr>
        <w:instrText xml:space="preserve"> NOTEREF _Ref506876069 \h  \* MERGEFORMAT </w:instrText>
      </w:r>
      <w:r w:rsidR="000D2395" w:rsidRPr="001B07E2">
        <w:rPr>
          <w:vertAlign w:val="superscript"/>
        </w:rPr>
      </w:r>
      <w:r w:rsidR="000D2395" w:rsidRPr="001B07E2">
        <w:rPr>
          <w:vertAlign w:val="superscript"/>
        </w:rPr>
        <w:fldChar w:fldCharType="separate"/>
      </w:r>
      <w:r w:rsidR="007B1EC3">
        <w:rPr>
          <w:vertAlign w:val="superscript"/>
        </w:rPr>
        <w:t>17</w:t>
      </w:r>
      <w:r w:rsidR="000D2395" w:rsidRPr="001B07E2">
        <w:rPr>
          <w:vertAlign w:val="superscript"/>
        </w:rPr>
        <w:fldChar w:fldCharType="end"/>
      </w:r>
      <w:r w:rsidR="000D2395" w:rsidRPr="001B07E2">
        <w:t>.</w:t>
      </w:r>
    </w:p>
    <w:p w:rsidR="008E21DC" w:rsidRPr="001B07E2" w:rsidRDefault="008E21DC" w:rsidP="008E21DC">
      <w:pPr>
        <w:pStyle w:val="Listenabsatz"/>
        <w:numPr>
          <w:ilvl w:val="0"/>
          <w:numId w:val="15"/>
        </w:numPr>
      </w:pPr>
      <w:r w:rsidRPr="001B07E2">
        <w:t>Beachtung der Zweckbindung</w:t>
      </w:r>
    </w:p>
    <w:p w:rsidR="00C94108" w:rsidRPr="001B07E2" w:rsidRDefault="006C02A2" w:rsidP="00C94108">
      <w:pPr>
        <w:pStyle w:val="Listenabsatz"/>
      </w:pPr>
      <w:r w:rsidRPr="001B07E2">
        <w:t xml:space="preserve"> Art. </w:t>
      </w:r>
      <w:r w:rsidR="00C94108" w:rsidRPr="001B07E2">
        <w:t>25</w:t>
      </w:r>
      <w:r w:rsidRPr="001B07E2">
        <w:t xml:space="preserve"> Abs. </w:t>
      </w:r>
      <w:r w:rsidR="00C94108" w:rsidRPr="001B07E2">
        <w:t xml:space="preserve">2 S.1 DS-GVO verlangt, dass die im Rahmen der Voreinstellungen zu treffenden technischen und organisatorischen Maßnahmen in Bezug auf den Zweck festzulegen sind. Da sich diese Anforderung auf Datenmenge, Verarbeitungsumfang Datenspeicherfrist und Datenzugänglichkeit auswirkt, ist diese Anforderung als Umsetzung der datenschutzrechtlichen Zweckbindungs- und </w:t>
      </w:r>
      <w:proofErr w:type="spellStart"/>
      <w:r w:rsidR="00C94108" w:rsidRPr="001B07E2">
        <w:t>Erfordernisgrundsätze</w:t>
      </w:r>
      <w:proofErr w:type="spellEnd"/>
      <w:r w:rsidR="00C94108" w:rsidRPr="001B07E2">
        <w:t xml:space="preserve"> anzusehen</w:t>
      </w:r>
      <w:r w:rsidR="00C94108" w:rsidRPr="001B07E2">
        <w:rPr>
          <w:rStyle w:val="Funotenzeichen"/>
        </w:rPr>
        <w:footnoteReference w:id="18"/>
      </w:r>
      <w:r w:rsidR="00C94108" w:rsidRPr="001B07E2">
        <w:t xml:space="preserve">. Somit sind die Verarbeitungszwecke </w:t>
      </w:r>
      <w:r w:rsidR="000D2395" w:rsidRPr="001B07E2">
        <w:t xml:space="preserve">(bzw. der Verarbeitungszweck) </w:t>
      </w:r>
      <w:r w:rsidR="00C94108" w:rsidRPr="001B07E2">
        <w:t xml:space="preserve">eindeutig </w:t>
      </w:r>
      <w:r w:rsidR="000D2395" w:rsidRPr="001B07E2">
        <w:t xml:space="preserve">festzulegen und </w:t>
      </w:r>
      <w:r w:rsidR="00C94108" w:rsidRPr="001B07E2">
        <w:t xml:space="preserve">zu beschreiben und auch die technischen und organisatorischen Maßnahmen, </w:t>
      </w:r>
      <w:r w:rsidR="000D2395" w:rsidRPr="001B07E2">
        <w:t>welche</w:t>
      </w:r>
      <w:r w:rsidR="00C94108" w:rsidRPr="001B07E2">
        <w:t xml:space="preserve"> eine Beschränkung der Verarbeitung der Daten auf die genannten Zwecke gewährleisten</w:t>
      </w:r>
      <w:r w:rsidR="000D2395" w:rsidRPr="001B07E2">
        <w:t>, sind zu dokumentieren</w:t>
      </w:r>
      <w:r w:rsidR="00C94108" w:rsidRPr="001B07E2">
        <w:t>.</w:t>
      </w:r>
    </w:p>
    <w:p w:rsidR="00C94108" w:rsidRPr="001B07E2" w:rsidRDefault="00C94108" w:rsidP="00C94108">
      <w:pPr>
        <w:pStyle w:val="Listenabsatz"/>
        <w:numPr>
          <w:ilvl w:val="0"/>
          <w:numId w:val="15"/>
        </w:numPr>
      </w:pPr>
      <w:r w:rsidRPr="001B07E2">
        <w:t>Transparente Verarbeitung für die betroffenen Personen</w:t>
      </w:r>
    </w:p>
    <w:p w:rsidR="00C94108" w:rsidRPr="001B07E2" w:rsidRDefault="007B20D3" w:rsidP="00C94108">
      <w:pPr>
        <w:pStyle w:val="Listenabsatz"/>
      </w:pPr>
      <w:r w:rsidRPr="001B07E2">
        <w:t>Gemäß ErwGr. 39 DS-GVO sollt Transparenz dahingehend bestehen, dass eine betroffene Person Informationen bekommt, welche Daten erhoben, verwendet, eingesehen oder anderweitig verarbeitet werden, desgleichen in welchem Umfang die personenbezogenen Daten verarbeitet werden und künftig noch verarbeitet werden sollen.</w:t>
      </w:r>
      <w:r w:rsidR="000D2395" w:rsidRPr="001B07E2">
        <w:t xml:space="preserve"> Die Person soll in die Lage versetzt werden, die Verarbeitung „nachvollziehen“ zu können.</w:t>
      </w:r>
      <w:r w:rsidRPr="001B07E2">
        <w:t xml:space="preserve"> </w:t>
      </w:r>
      <w:r w:rsidR="00C94108" w:rsidRPr="001B07E2">
        <w:t>Hierzu sind insbesondere Maßnahmen zu ergreifen, welche die Umsetzung der Anforderungen von</w:t>
      </w:r>
      <w:r w:rsidR="006C02A2" w:rsidRPr="001B07E2">
        <w:t xml:space="preserve"> Artt. </w:t>
      </w:r>
      <w:r w:rsidR="00C94108" w:rsidRPr="001B07E2">
        <w:t>12-15 DS-GVO gewährleisten</w:t>
      </w:r>
      <w:r w:rsidR="003C78BD" w:rsidRPr="001B07E2">
        <w:t xml:space="preserve"> und in der Dokumentation </w:t>
      </w:r>
      <w:r w:rsidR="000D2395" w:rsidRPr="001B07E2">
        <w:t xml:space="preserve">ist </w:t>
      </w:r>
      <w:r w:rsidR="003C78BD" w:rsidRPr="001B07E2">
        <w:t>darzustellen, wie dies gewährleistet wird.</w:t>
      </w:r>
    </w:p>
    <w:p w:rsidR="00C94108" w:rsidRPr="001B07E2" w:rsidRDefault="00C94108" w:rsidP="00C94108">
      <w:pPr>
        <w:pStyle w:val="Listenabsatz"/>
        <w:numPr>
          <w:ilvl w:val="0"/>
          <w:numId w:val="15"/>
        </w:numPr>
      </w:pPr>
      <w:r w:rsidRPr="001B07E2">
        <w:t>Datenminimierung</w:t>
      </w:r>
    </w:p>
    <w:p w:rsidR="007B20D3" w:rsidRPr="001B07E2" w:rsidRDefault="00C94108" w:rsidP="00C94108">
      <w:pPr>
        <w:pStyle w:val="Listenabsatz"/>
      </w:pPr>
      <w:r w:rsidRPr="001B07E2">
        <w:t>Die Verarbeitung muss „dem Zweck angemessen und erheblich sowie auf das für die Zwecke der Verarbeitung notwendige Maß beschränkt sein“ (</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c DS-GVO).</w:t>
      </w:r>
    </w:p>
    <w:p w:rsidR="003C78BD" w:rsidRPr="001B07E2" w:rsidRDefault="003C78BD" w:rsidP="00C94108">
      <w:pPr>
        <w:pStyle w:val="Listenabsatz"/>
      </w:pPr>
      <w:r w:rsidRPr="001B07E2">
        <w:t>Bzgl. der „Erheblichkeit“ findet sich in der DS-GVO keine Begriffserläuterung, der im englischen Text verwendete Begriff „relevant“ legt nahe, dass „erheblich“ am ehesten im Sinne von „geeignet“ zu interpretieren ist</w:t>
      </w:r>
      <w:r w:rsidRPr="001B07E2">
        <w:rPr>
          <w:rStyle w:val="Funotenzeichen"/>
        </w:rPr>
        <w:footnoteReference w:id="19"/>
      </w:r>
      <w:r w:rsidRPr="001B07E2">
        <w:t xml:space="preserve">. Insgesamt erfolgt durch die Regelung eine Beschränkung </w:t>
      </w:r>
      <w:r w:rsidR="005F7B11" w:rsidRPr="001B07E2">
        <w:t xml:space="preserve">der </w:t>
      </w:r>
      <w:r w:rsidRPr="001B07E2">
        <w:t>Verarbeitung: ausschließlich die zur Erreichung des Zweckes erforderliche Verarbeitung darf durchgeführt werden</w:t>
      </w:r>
      <w:r w:rsidR="007B20D3" w:rsidRPr="001B07E2">
        <w:t>; ErwGr. 39 DS-GVO verlangt, dass die Verarbeitung auf das notwendige Maß beschränkt sein soll. Weiterhin ist im ErwGr. 39 DS-GVO zu finden, dass personenbezogene Daten nur verarbeitet werden dürfen, wenn der Zweck der Verarbeitung nicht in zumutbarer Weise durch andere Mittel erreicht werden kann.</w:t>
      </w:r>
    </w:p>
    <w:p w:rsidR="003C78BD" w:rsidRPr="001B07E2" w:rsidRDefault="003C78BD" w:rsidP="00C94108">
      <w:pPr>
        <w:pStyle w:val="Listenabsatz"/>
      </w:pPr>
      <w:r w:rsidRPr="001B07E2">
        <w:t>Die Dokumentation muss also einerseits die Notwendigkeit der Verarbeitung zur Erreichung des Zweckes beinhalten, andererseits auch die Maßnahmen, welche eine anderweitige Verarbeitung verhindern.</w:t>
      </w:r>
    </w:p>
    <w:p w:rsidR="00C94108" w:rsidRPr="001B07E2" w:rsidRDefault="00C94108" w:rsidP="00C94108">
      <w:pPr>
        <w:pStyle w:val="Listenabsatz"/>
        <w:numPr>
          <w:ilvl w:val="0"/>
          <w:numId w:val="15"/>
        </w:numPr>
      </w:pPr>
      <w:r w:rsidRPr="001B07E2">
        <w:t>Gewährleistung der Richtigkeit der Daten</w:t>
      </w:r>
    </w:p>
    <w:p w:rsidR="003C78BD" w:rsidRPr="001B07E2" w:rsidRDefault="007B20D3" w:rsidP="003C78BD">
      <w:pPr>
        <w:pStyle w:val="Listenabsatz"/>
      </w:pPr>
      <w:r w:rsidRPr="001B07E2">
        <w:t>Die Daten müssen sachlich richtig und auf dem neuesten Stand sein</w:t>
      </w:r>
      <w:r w:rsidRPr="001B07E2">
        <w:rPr>
          <w:rStyle w:val="Funotenzeichen"/>
        </w:rPr>
        <w:footnoteReference w:id="20"/>
      </w:r>
      <w:r w:rsidRPr="001B07E2">
        <w:t xml:space="preserve">. Demgemäß müssen technische und organisatorische Maßnahmen vorhanden sein. In ErwGr. 39 DS-GVO findet sich hierzu, dass „alle vertretbaren Schritte unternommen werden sollen, damit unrichtige </w:t>
      </w:r>
      <w:r w:rsidRPr="001B07E2">
        <w:lastRenderedPageBreak/>
        <w:t>personenbezogene Daten gelöscht oder berichtigt werden“.</w:t>
      </w:r>
      <w:r w:rsidR="004D3107" w:rsidRPr="001B07E2">
        <w:t xml:space="preserve"> Der Hinweis bzgl. „alle vertretbaren Schritte“ weist darauf hin, dass auch hier keine absolute Forderung besteht, sondern „geeignete“ Maßnahmen i.S.v.</w:t>
      </w:r>
      <w:r w:rsidR="006C02A2" w:rsidRPr="001B07E2">
        <w:t xml:space="preserve"> Art. </w:t>
      </w:r>
      <w:r w:rsidR="004D3107" w:rsidRPr="001B07E2">
        <w:t>25</w:t>
      </w:r>
      <w:r w:rsidR="006C02A2" w:rsidRPr="001B07E2">
        <w:t xml:space="preserve"> Abs. </w:t>
      </w:r>
      <w:r w:rsidR="004D3107" w:rsidRPr="001B07E2">
        <w:t>1 DS_GVO zu treffen sind.</w:t>
      </w:r>
    </w:p>
    <w:p w:rsidR="004D3107" w:rsidRPr="001B07E2" w:rsidRDefault="004D3107" w:rsidP="003C78BD">
      <w:pPr>
        <w:pStyle w:val="Listenabsatz"/>
      </w:pPr>
      <w:r w:rsidRPr="001B07E2">
        <w:t>In der Dokumentation müssen die technischen und organisatorischen Maßnahmen aufgeführt werden, welche die Verarbeitung von „richtigen“ Daten gewährleistet.</w:t>
      </w:r>
    </w:p>
    <w:p w:rsidR="00C94108" w:rsidRPr="001B07E2" w:rsidRDefault="00C94108" w:rsidP="00C94108">
      <w:pPr>
        <w:pStyle w:val="Listenabsatz"/>
        <w:numPr>
          <w:ilvl w:val="0"/>
          <w:numId w:val="15"/>
        </w:numPr>
      </w:pPr>
      <w:r w:rsidRPr="001B07E2">
        <w:t>Begrenzung der Speicherdauer</w:t>
      </w:r>
    </w:p>
    <w:p w:rsidR="00C52FF4" w:rsidRPr="001B07E2" w:rsidRDefault="000553C2" w:rsidP="00C52FF4">
      <w:pPr>
        <w:pStyle w:val="Listenabsatz"/>
      </w:pPr>
      <w:r w:rsidRPr="001B07E2">
        <w:t>Die Identifizierung der betroffenen Personen darf gemäß</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e DS-GVO nur so lange möglich sein, wie es für den Verarbeitungszweck erforderlich ist. D. h. die Speicherung personenbezogene Daten muss schnellstmöglich beendet werden.</w:t>
      </w:r>
    </w:p>
    <w:p w:rsidR="000553C2" w:rsidRPr="001B07E2" w:rsidRDefault="000553C2" w:rsidP="00C52FF4">
      <w:pPr>
        <w:pStyle w:val="Listenabsatz"/>
      </w:pPr>
      <w:r w:rsidRPr="001B07E2">
        <w:t xml:space="preserve">Dies kann einerseits durch die Löschung der Daten geschehen, andererseits dadurch erreicht werden, dass die Daten dergestalt geändert werden, dass keine personenbezogenen Daten mehr vorliegen – also Herstellung einer absoluten Anonymisierung: eine Identifizierung wird unmöglich gemacht. </w:t>
      </w:r>
      <w:r w:rsidR="000D2395" w:rsidRPr="001B07E2">
        <w:t>K</w:t>
      </w:r>
      <w:r w:rsidRPr="001B07E2">
        <w:t>orrespondierend hierzu verlangen die Informationspflichten in Artt.</w:t>
      </w:r>
      <w:r w:rsidR="006C02A2" w:rsidRPr="001B07E2">
        <w:t> </w:t>
      </w:r>
      <w:r w:rsidRPr="001B07E2">
        <w:t>13</w:t>
      </w:r>
      <w:r w:rsidR="006C02A2" w:rsidRPr="001B07E2">
        <w:t xml:space="preserve"> Abs. </w:t>
      </w:r>
      <w:r w:rsidR="00227220" w:rsidRPr="001B07E2">
        <w:t xml:space="preserve">2 </w:t>
      </w:r>
      <w:r w:rsidR="006C02A2" w:rsidRPr="001B07E2">
        <w:t>lit. </w:t>
      </w:r>
      <w:r w:rsidR="00227220" w:rsidRPr="001B07E2">
        <w:t>a</w:t>
      </w:r>
      <w:r w:rsidRPr="001B07E2">
        <w:t>,14</w:t>
      </w:r>
      <w:r w:rsidR="006C02A2" w:rsidRPr="001B07E2">
        <w:t xml:space="preserve"> Abs. </w:t>
      </w:r>
      <w:r w:rsidR="00227220" w:rsidRPr="001B07E2">
        <w:t xml:space="preserve">2 </w:t>
      </w:r>
      <w:r w:rsidR="006C02A2" w:rsidRPr="001B07E2">
        <w:t>lit. </w:t>
      </w:r>
      <w:r w:rsidR="00227220" w:rsidRPr="001B07E2">
        <w:t xml:space="preserve">a </w:t>
      </w:r>
      <w:r w:rsidRPr="001B07E2">
        <w:t>DS-GVO eine Angabe der Speicherda</w:t>
      </w:r>
      <w:r w:rsidR="00227220" w:rsidRPr="001B07E2">
        <w:t>uer und</w:t>
      </w:r>
      <w:r w:rsidR="006C02A2" w:rsidRPr="001B07E2">
        <w:t xml:space="preserve"> Art. </w:t>
      </w:r>
      <w:r w:rsidR="00227220" w:rsidRPr="001B07E2">
        <w:t>17</w:t>
      </w:r>
      <w:r w:rsidR="006C02A2" w:rsidRPr="001B07E2">
        <w:t xml:space="preserve"> Abs. </w:t>
      </w:r>
      <w:r w:rsidR="00227220" w:rsidRPr="001B07E2">
        <w:t xml:space="preserve">1 </w:t>
      </w:r>
      <w:r w:rsidR="006C02A2" w:rsidRPr="001B07E2">
        <w:t>lit. </w:t>
      </w:r>
      <w:r w:rsidR="00227220" w:rsidRPr="001B07E2">
        <w:t>a DS-GVO enthält eine Löschpflicht bei Wegfall der Erforderlichkeit zur Zweckerfüllung.</w:t>
      </w:r>
    </w:p>
    <w:p w:rsidR="000D2395" w:rsidRPr="001B07E2" w:rsidRDefault="000D2395" w:rsidP="00C52FF4">
      <w:pPr>
        <w:pStyle w:val="Listenabsatz"/>
      </w:pPr>
      <w:r w:rsidRPr="001B07E2">
        <w:t xml:space="preserve">Entsprechend ErwGr. 39 DS-GVO soll der Verantwortliche Fristen für ihre Löschung oder regelmäßige Überprüfung vorsehen. D.h. der Verantwortliche sollte </w:t>
      </w:r>
      <w:r w:rsidR="0061269F" w:rsidRPr="001B07E2">
        <w:t>Speicher</w:t>
      </w:r>
      <w:r w:rsidRPr="001B07E2">
        <w:t>-</w:t>
      </w:r>
      <w:r w:rsidR="0061269F" w:rsidRPr="001B07E2">
        <w:t>/Archivierungs-</w:t>
      </w:r>
      <w:r w:rsidRPr="001B07E2">
        <w:t xml:space="preserve"> und Löschkonzepte für die Verarbeitung personenbezogener Daten erstellen</w:t>
      </w:r>
      <w:r w:rsidRPr="001B07E2">
        <w:rPr>
          <w:rStyle w:val="Funotenzeichen"/>
        </w:rPr>
        <w:footnoteReference w:id="21"/>
      </w:r>
      <w:r w:rsidRPr="001B07E2">
        <w:t>.</w:t>
      </w:r>
    </w:p>
    <w:p w:rsidR="00C94108" w:rsidRPr="001B07E2" w:rsidRDefault="00C94108" w:rsidP="00C94108">
      <w:pPr>
        <w:pStyle w:val="Listenabsatz"/>
        <w:numPr>
          <w:ilvl w:val="0"/>
          <w:numId w:val="15"/>
        </w:numPr>
      </w:pPr>
      <w:r w:rsidRPr="001B07E2">
        <w:t>Sicherstellung von Integrität und Vertraulichkeit (</w:t>
      </w:r>
      <w:r w:rsidR="006C02A2" w:rsidRPr="001B07E2">
        <w:t xml:space="preserve"> Art. </w:t>
      </w:r>
      <w:r w:rsidRPr="001B07E2">
        <w:t>5</w:t>
      </w:r>
      <w:r w:rsidR="006C02A2" w:rsidRPr="001B07E2">
        <w:t xml:space="preserve"> Abs. </w:t>
      </w:r>
      <w:r w:rsidRPr="001B07E2">
        <w:t xml:space="preserve">1 </w:t>
      </w:r>
      <w:r w:rsidR="006C02A2" w:rsidRPr="001B07E2">
        <w:t>lit. </w:t>
      </w:r>
      <w:r w:rsidRPr="001B07E2">
        <w:t>f DS-GVO)</w:t>
      </w:r>
    </w:p>
    <w:p w:rsidR="00227220" w:rsidRPr="001B07E2" w:rsidRDefault="00227220" w:rsidP="00227220">
      <w:pPr>
        <w:pStyle w:val="Listenabsatz"/>
      </w:pPr>
      <w:r w:rsidRPr="001B07E2">
        <w:t>Personenbezogene Daten müssen in einer Art und Weise verarbeitet werden, welche eine angemessene Sicherheit der verarbeiteten Daten gewährleistet. Geeignete technische Maßnahmen müssen insbesondere Schutz vor</w:t>
      </w:r>
    </w:p>
    <w:p w:rsidR="00227220" w:rsidRPr="001B07E2" w:rsidRDefault="00227220" w:rsidP="00227220">
      <w:pPr>
        <w:pStyle w:val="Listenabsatz"/>
        <w:numPr>
          <w:ilvl w:val="0"/>
          <w:numId w:val="22"/>
        </w:numPr>
      </w:pPr>
      <w:r w:rsidRPr="001B07E2">
        <w:t>unbefugter Verarbeitung (= Verarbeitung durch unbefugte Dritte),</w:t>
      </w:r>
    </w:p>
    <w:p w:rsidR="00227220" w:rsidRPr="001B07E2" w:rsidRDefault="00227220" w:rsidP="00227220">
      <w:pPr>
        <w:pStyle w:val="Listenabsatz"/>
        <w:numPr>
          <w:ilvl w:val="0"/>
          <w:numId w:val="22"/>
        </w:numPr>
      </w:pPr>
      <w:r w:rsidRPr="001B07E2">
        <w:t>unrechtmäßiger Verarbeitung (z. B. Verarbeitung ohne ausreichende Rechtsgrundlage),</w:t>
      </w:r>
    </w:p>
    <w:p w:rsidR="00227220" w:rsidRPr="001B07E2" w:rsidRDefault="00227220" w:rsidP="00227220">
      <w:pPr>
        <w:pStyle w:val="Listenabsatz"/>
        <w:numPr>
          <w:ilvl w:val="0"/>
          <w:numId w:val="22"/>
        </w:numPr>
      </w:pPr>
      <w:r w:rsidRPr="001B07E2">
        <w:t>unbeabsichtigtem Verlust</w:t>
      </w:r>
      <w:r w:rsidR="00EF65AC" w:rsidRPr="001B07E2">
        <w:t xml:space="preserve"> (z. B. die Daten kommen abhanden oder werden gelöscht),</w:t>
      </w:r>
    </w:p>
    <w:p w:rsidR="00227220" w:rsidRPr="001B07E2" w:rsidRDefault="00227220" w:rsidP="00227220">
      <w:pPr>
        <w:pStyle w:val="Listenabsatz"/>
        <w:numPr>
          <w:ilvl w:val="0"/>
          <w:numId w:val="22"/>
        </w:numPr>
      </w:pPr>
      <w:r w:rsidRPr="001B07E2">
        <w:t>unbeabsichtigter Zerstörung (</w:t>
      </w:r>
      <w:r w:rsidR="00EF65AC" w:rsidRPr="001B07E2">
        <w:t xml:space="preserve">z. B. wenn die Daten so geändert werden, dass sie zum vorgesehenen Zweck nicht mehr verwendet werden können) </w:t>
      </w:r>
      <w:r w:rsidRPr="001B07E2">
        <w:t>sowie</w:t>
      </w:r>
    </w:p>
    <w:p w:rsidR="00227220" w:rsidRPr="001B07E2" w:rsidRDefault="00227220" w:rsidP="00227220">
      <w:pPr>
        <w:pStyle w:val="Listenabsatz"/>
        <w:numPr>
          <w:ilvl w:val="0"/>
          <w:numId w:val="22"/>
        </w:numPr>
      </w:pPr>
      <w:r w:rsidRPr="001B07E2">
        <w:t>unbeabsichtigter Schädigung</w:t>
      </w:r>
      <w:r w:rsidR="00EF65AC" w:rsidRPr="001B07E2">
        <w:t xml:space="preserve"> (z. B. wenn die Daten so geändert werden, dass sie zum vorgesehenen Zweck nur noch eingeschränkt verwendet werden können)</w:t>
      </w:r>
    </w:p>
    <w:p w:rsidR="00227220" w:rsidRPr="001B07E2" w:rsidRDefault="00227220" w:rsidP="00227220">
      <w:pPr>
        <w:pStyle w:val="Listenabsatz"/>
      </w:pPr>
      <w:r w:rsidRPr="001B07E2">
        <w:t>gewährleisten.</w:t>
      </w:r>
    </w:p>
    <w:p w:rsidR="00EF65AC" w:rsidRPr="001B07E2" w:rsidRDefault="00C94108" w:rsidP="00C94108">
      <w:pPr>
        <w:pStyle w:val="Listenabsatz"/>
        <w:numPr>
          <w:ilvl w:val="0"/>
          <w:numId w:val="15"/>
        </w:numPr>
      </w:pPr>
      <w:r w:rsidRPr="001B07E2">
        <w:t>Erfüllung der Rechenschaftspflicht bzgl. der Umsetzung der Anforderungen der Datenschutz-Grundverordnung (</w:t>
      </w:r>
      <w:r w:rsidR="006C02A2" w:rsidRPr="001B07E2">
        <w:t xml:space="preserve"> Art. </w:t>
      </w:r>
      <w:r w:rsidRPr="001B07E2">
        <w:t>5</w:t>
      </w:r>
      <w:r w:rsidR="006C02A2" w:rsidRPr="001B07E2">
        <w:t xml:space="preserve"> Abs. </w:t>
      </w:r>
      <w:r w:rsidRPr="001B07E2">
        <w:t>2 DS-GVO)</w:t>
      </w:r>
    </w:p>
    <w:p w:rsidR="00C94108" w:rsidRPr="001B07E2" w:rsidRDefault="00EF65AC" w:rsidP="00EF65AC">
      <w:pPr>
        <w:pStyle w:val="Listenabsatz"/>
      </w:pPr>
      <w:r w:rsidRPr="001B07E2">
        <w:t>Aus</w:t>
      </w:r>
      <w:r w:rsidR="006C02A2" w:rsidRPr="001B07E2">
        <w:t xml:space="preserve"> Art. </w:t>
      </w:r>
      <w:r w:rsidRPr="001B07E2">
        <w:t>5</w:t>
      </w:r>
      <w:r w:rsidR="006C02A2" w:rsidRPr="001B07E2">
        <w:t xml:space="preserve"> Abs. </w:t>
      </w:r>
      <w:r w:rsidRPr="001B07E2">
        <w:t>2 DS-GVO resultiert einerseits die Verantwortlichkeit als auch eine Nachweispflicht: der Verantwortliche muss die Grundsätze einhalten und der Verantwortliche muss dies nachweisen können.</w:t>
      </w:r>
      <w:r w:rsidR="000D2395" w:rsidRPr="001B07E2">
        <w:t xml:space="preserve"> ErwGr. 78 DS-GVO führt aus, dass der Verantwortliche </w:t>
      </w:r>
      <w:r w:rsidR="00B321B7" w:rsidRPr="001B07E2">
        <w:t>„interne Strategien festlegen und Maßnahmen ergreifen“ soll, „um die Einhaltung dieser Verordnung nachweisen zu können“.</w:t>
      </w:r>
    </w:p>
    <w:p w:rsidR="000A56EA" w:rsidRPr="001B07E2" w:rsidRDefault="00035DC2" w:rsidP="000A56EA">
      <w:r w:rsidRPr="001B07E2">
        <w:t>Weiterhin ist zu dokumentieren, welche Maßnahmen die Wahrung der Betroffenenrechte zu jedem Zeitpunkt der Verarbeitung gewährleisten</w:t>
      </w:r>
      <w:r w:rsidR="000A56EA" w:rsidRPr="001B07E2">
        <w:t>.</w:t>
      </w:r>
    </w:p>
    <w:p w:rsidR="0061269F" w:rsidRPr="001B07E2" w:rsidRDefault="0036513F" w:rsidP="0036513F">
      <w:pPr>
        <w:pStyle w:val="berschrift2"/>
      </w:pPr>
      <w:bookmarkStart w:id="120" w:name="_Toc514832499"/>
      <w:r w:rsidRPr="001B07E2">
        <w:t>Welche Fragen muss die Dokumentation mindestens beantworten?</w:t>
      </w:r>
      <w:bookmarkEnd w:id="120"/>
    </w:p>
    <w:p w:rsidR="0036513F" w:rsidRPr="001B07E2" w:rsidRDefault="0036513F" w:rsidP="0036513F">
      <w:pPr>
        <w:spacing w:after="0"/>
      </w:pPr>
      <w:r w:rsidRPr="001B07E2">
        <w:t>Rechtmäßige Verarbeitung</w:t>
      </w:r>
    </w:p>
    <w:p w:rsidR="0036513F" w:rsidRPr="001B07E2" w:rsidRDefault="0036513F" w:rsidP="0036513F">
      <w:pPr>
        <w:pStyle w:val="Listenabsatz"/>
        <w:numPr>
          <w:ilvl w:val="0"/>
          <w:numId w:val="25"/>
        </w:numPr>
        <w:tabs>
          <w:tab w:val="clear" w:pos="1559"/>
        </w:tabs>
        <w:jc w:val="left"/>
      </w:pPr>
      <w:r w:rsidRPr="001B07E2">
        <w:lastRenderedPageBreak/>
        <w:t>Was ist die Rechtsgrundlage der Verarbeitung?</w:t>
      </w:r>
    </w:p>
    <w:p w:rsidR="0036513F" w:rsidRPr="001B07E2" w:rsidRDefault="0036513F" w:rsidP="0036513F">
      <w:pPr>
        <w:pStyle w:val="Listenabsatz"/>
        <w:numPr>
          <w:ilvl w:val="0"/>
          <w:numId w:val="25"/>
        </w:numPr>
        <w:tabs>
          <w:tab w:val="clear" w:pos="1559"/>
        </w:tabs>
        <w:jc w:val="left"/>
      </w:pPr>
      <w:r w:rsidRPr="001B07E2">
        <w:t>Ist die Rechtsgrundlage ausreichend für die Verarbeitung?</w:t>
      </w:r>
    </w:p>
    <w:p w:rsidR="0036513F" w:rsidRPr="001B07E2" w:rsidRDefault="0036513F" w:rsidP="0036513F">
      <w:pPr>
        <w:pStyle w:val="Listenabsatz"/>
        <w:numPr>
          <w:ilvl w:val="0"/>
          <w:numId w:val="25"/>
        </w:numPr>
        <w:tabs>
          <w:tab w:val="clear" w:pos="1559"/>
        </w:tabs>
        <w:jc w:val="left"/>
      </w:pPr>
      <w:r w:rsidRPr="001B07E2">
        <w:t>Existiert ein Berechtigungskonzept/ ein Rechtemanagement, welches sicherstellt, dass nur eine legitime Verarbeitung erfolgen kann?</w:t>
      </w:r>
    </w:p>
    <w:p w:rsidR="0036513F" w:rsidRPr="001B07E2" w:rsidRDefault="0036513F" w:rsidP="0036513F">
      <w:pPr>
        <w:spacing w:after="0"/>
      </w:pPr>
      <w:r w:rsidRPr="001B07E2">
        <w:t>Zweckbindung/Datenminimierung</w:t>
      </w:r>
    </w:p>
    <w:p w:rsidR="0036513F" w:rsidRPr="001B07E2" w:rsidRDefault="0036513F" w:rsidP="0036513F">
      <w:pPr>
        <w:pStyle w:val="Listenabsatz"/>
        <w:numPr>
          <w:ilvl w:val="0"/>
          <w:numId w:val="24"/>
        </w:numPr>
        <w:tabs>
          <w:tab w:val="clear" w:pos="1559"/>
        </w:tabs>
        <w:jc w:val="left"/>
      </w:pPr>
      <w:r w:rsidRPr="001B07E2">
        <w:t>Ist der (bzw. sind die) Verarbeitungszweck(e) eindeutig festgelegt?</w:t>
      </w:r>
    </w:p>
    <w:p w:rsidR="0036513F" w:rsidRPr="001B07E2" w:rsidRDefault="0036513F" w:rsidP="0036513F">
      <w:pPr>
        <w:pStyle w:val="Listenabsatz"/>
        <w:numPr>
          <w:ilvl w:val="0"/>
          <w:numId w:val="24"/>
        </w:numPr>
        <w:tabs>
          <w:tab w:val="clear" w:pos="1559"/>
        </w:tabs>
        <w:jc w:val="left"/>
      </w:pPr>
      <w:r w:rsidRPr="001B07E2">
        <w:t>Welche technischen und organisatorischen Maßnahmen gewährleisten eine Beschränkung der Verarbeitung der Daten auf die festgelegten Verarbeitungszwecke?</w:t>
      </w:r>
    </w:p>
    <w:p w:rsidR="0036513F" w:rsidRPr="001B07E2" w:rsidRDefault="0036513F" w:rsidP="0036513F">
      <w:pPr>
        <w:spacing w:after="0"/>
      </w:pPr>
      <w:r w:rsidRPr="001B07E2">
        <w:t>Verhältnismäßigkeit</w:t>
      </w:r>
    </w:p>
    <w:p w:rsidR="0036513F" w:rsidRPr="001B07E2" w:rsidRDefault="0036513F" w:rsidP="0036513F">
      <w:pPr>
        <w:pStyle w:val="Listenabsatz"/>
        <w:numPr>
          <w:ilvl w:val="0"/>
          <w:numId w:val="24"/>
        </w:numPr>
        <w:tabs>
          <w:tab w:val="clear" w:pos="1559"/>
        </w:tabs>
        <w:jc w:val="left"/>
      </w:pPr>
      <w:r w:rsidRPr="001B07E2">
        <w:t>Gibt es ein anderes Mittel?</w:t>
      </w:r>
    </w:p>
    <w:p w:rsidR="0036513F" w:rsidRPr="001B07E2" w:rsidRDefault="0036513F" w:rsidP="0036513F">
      <w:pPr>
        <w:pStyle w:val="Listenabsatz"/>
        <w:numPr>
          <w:ilvl w:val="0"/>
          <w:numId w:val="24"/>
        </w:numPr>
        <w:tabs>
          <w:tab w:val="clear" w:pos="1559"/>
        </w:tabs>
        <w:jc w:val="left"/>
      </w:pPr>
      <w:r w:rsidRPr="001B07E2">
        <w:t>Ist dieses in gleicher Weise geeignet, den Zweck zu erreichen?</w:t>
      </w:r>
    </w:p>
    <w:p w:rsidR="0036513F" w:rsidRPr="001B07E2" w:rsidRDefault="0036513F" w:rsidP="0036513F">
      <w:pPr>
        <w:pStyle w:val="Listenabsatz"/>
        <w:numPr>
          <w:ilvl w:val="0"/>
          <w:numId w:val="24"/>
        </w:numPr>
        <w:tabs>
          <w:tab w:val="clear" w:pos="1559"/>
        </w:tabs>
        <w:jc w:val="left"/>
      </w:pPr>
      <w:r w:rsidRPr="001B07E2">
        <w:t>Welches der vorhandenen Mittel ist das „mildeste, also die Rechte der betroffenen Personen am wenigsten belastendes Mittel?</w:t>
      </w:r>
    </w:p>
    <w:p w:rsidR="0036513F" w:rsidRPr="001B07E2" w:rsidRDefault="0036513F" w:rsidP="0036513F">
      <w:pPr>
        <w:pStyle w:val="Listenabsatz"/>
        <w:numPr>
          <w:ilvl w:val="0"/>
          <w:numId w:val="24"/>
        </w:numPr>
        <w:tabs>
          <w:tab w:val="clear" w:pos="1559"/>
        </w:tabs>
        <w:jc w:val="left"/>
      </w:pPr>
      <w:r w:rsidRPr="001B07E2">
        <w:t>Erfolgte eine Abwägung der Interessen der betroffenen Person sowie des Verantwortlichen?</w:t>
      </w:r>
    </w:p>
    <w:p w:rsidR="0036513F" w:rsidRPr="001B07E2" w:rsidRDefault="0036513F" w:rsidP="0036513F">
      <w:pPr>
        <w:spacing w:after="0"/>
      </w:pPr>
      <w:r w:rsidRPr="001B07E2">
        <w:t xml:space="preserve">Erforderlichkeit hinsichtlich Erreichung des Verarbeitungszweck bzgl. </w:t>
      </w:r>
    </w:p>
    <w:p w:rsidR="0036513F" w:rsidRPr="001B07E2" w:rsidRDefault="0036513F" w:rsidP="0036513F">
      <w:pPr>
        <w:pStyle w:val="Listenabsatz"/>
        <w:numPr>
          <w:ilvl w:val="0"/>
          <w:numId w:val="24"/>
        </w:numPr>
        <w:tabs>
          <w:tab w:val="clear" w:pos="1559"/>
        </w:tabs>
        <w:jc w:val="left"/>
      </w:pPr>
      <w:r w:rsidRPr="001B07E2">
        <w:t>die zu verarbeitenden Daten,</w:t>
      </w:r>
    </w:p>
    <w:p w:rsidR="0036513F" w:rsidRPr="001B07E2" w:rsidRDefault="0036513F" w:rsidP="0036513F">
      <w:pPr>
        <w:pStyle w:val="Listenabsatz"/>
        <w:numPr>
          <w:ilvl w:val="0"/>
          <w:numId w:val="24"/>
        </w:numPr>
        <w:tabs>
          <w:tab w:val="clear" w:pos="1559"/>
        </w:tabs>
        <w:jc w:val="left"/>
      </w:pPr>
      <w:r w:rsidRPr="001B07E2">
        <w:t>für die Menge der erhobenen personenbezogenen Daten,</w:t>
      </w:r>
    </w:p>
    <w:p w:rsidR="0036513F" w:rsidRPr="001B07E2" w:rsidRDefault="0036513F" w:rsidP="0036513F">
      <w:pPr>
        <w:pStyle w:val="Listenabsatz"/>
        <w:numPr>
          <w:ilvl w:val="0"/>
          <w:numId w:val="24"/>
        </w:numPr>
        <w:tabs>
          <w:tab w:val="clear" w:pos="1559"/>
        </w:tabs>
        <w:jc w:val="left"/>
      </w:pPr>
      <w:r w:rsidRPr="001B07E2">
        <w:t>den Umfang ihrer Verarbeitung,</w:t>
      </w:r>
    </w:p>
    <w:p w:rsidR="0036513F" w:rsidRPr="001B07E2" w:rsidRDefault="0036513F" w:rsidP="0036513F">
      <w:pPr>
        <w:pStyle w:val="Listenabsatz"/>
        <w:numPr>
          <w:ilvl w:val="0"/>
          <w:numId w:val="24"/>
        </w:numPr>
        <w:tabs>
          <w:tab w:val="clear" w:pos="1559"/>
        </w:tabs>
        <w:jc w:val="left"/>
      </w:pPr>
      <w:r w:rsidRPr="001B07E2">
        <w:t>ihre Speicherfrist und</w:t>
      </w:r>
    </w:p>
    <w:p w:rsidR="0036513F" w:rsidRPr="001B07E2" w:rsidRDefault="0036513F" w:rsidP="0036513F">
      <w:pPr>
        <w:pStyle w:val="Listenabsatz"/>
        <w:numPr>
          <w:ilvl w:val="0"/>
          <w:numId w:val="24"/>
        </w:numPr>
        <w:tabs>
          <w:tab w:val="clear" w:pos="1559"/>
        </w:tabs>
        <w:jc w:val="left"/>
      </w:pPr>
      <w:r w:rsidRPr="001B07E2">
        <w:t>ihre Zugänglichkeit</w:t>
      </w:r>
    </w:p>
    <w:p w:rsidR="0036513F" w:rsidRPr="001B07E2" w:rsidRDefault="0036513F" w:rsidP="0036513F">
      <w:pPr>
        <w:spacing w:after="0"/>
      </w:pPr>
      <w:r w:rsidRPr="001B07E2">
        <w:t>Transparente Verarbeitung</w:t>
      </w:r>
    </w:p>
    <w:p w:rsidR="0036513F" w:rsidRPr="001B07E2" w:rsidRDefault="0036513F" w:rsidP="0036513F">
      <w:pPr>
        <w:pStyle w:val="Listenabsatz"/>
        <w:numPr>
          <w:ilvl w:val="0"/>
          <w:numId w:val="24"/>
        </w:numPr>
        <w:tabs>
          <w:tab w:val="clear" w:pos="1559"/>
        </w:tabs>
        <w:jc w:val="left"/>
      </w:pPr>
      <w:r w:rsidRPr="001B07E2">
        <w:t>Können die von der Verarbeitung betroffenen Personen die Verarbeitung „nachvollziehen“?</w:t>
      </w:r>
    </w:p>
    <w:p w:rsidR="0036513F" w:rsidRPr="001B07E2" w:rsidRDefault="0036513F" w:rsidP="0036513F">
      <w:pPr>
        <w:pStyle w:val="Listenabsatz"/>
        <w:numPr>
          <w:ilvl w:val="0"/>
          <w:numId w:val="24"/>
        </w:numPr>
        <w:tabs>
          <w:tab w:val="clear" w:pos="1559"/>
        </w:tabs>
        <w:jc w:val="left"/>
      </w:pPr>
      <w:r w:rsidRPr="001B07E2">
        <w:t>Wurden die der Anforderungen von</w:t>
      </w:r>
      <w:r w:rsidR="006C02A2" w:rsidRPr="001B07E2">
        <w:t xml:space="preserve"> Artt. </w:t>
      </w:r>
      <w:r w:rsidRPr="001B07E2">
        <w:t>12-15 DS-GVO umgesetzt?</w:t>
      </w:r>
    </w:p>
    <w:p w:rsidR="0036513F" w:rsidRPr="001B07E2" w:rsidRDefault="0036513F" w:rsidP="0036513F">
      <w:pPr>
        <w:spacing w:after="0"/>
      </w:pPr>
      <w:r w:rsidRPr="001B07E2">
        <w:t>Gewährleistung der Richtigkeit der Daten</w:t>
      </w:r>
    </w:p>
    <w:p w:rsidR="0036513F" w:rsidRPr="001B07E2" w:rsidRDefault="0036513F" w:rsidP="0036513F">
      <w:pPr>
        <w:pStyle w:val="Listenabsatz"/>
        <w:numPr>
          <w:ilvl w:val="0"/>
          <w:numId w:val="24"/>
        </w:numPr>
        <w:tabs>
          <w:tab w:val="clear" w:pos="1559"/>
        </w:tabs>
        <w:jc w:val="left"/>
      </w:pPr>
      <w:r w:rsidRPr="001B07E2">
        <w:t>Sind alle vertretbaren Schritte unternommen worden, damit unrichtige personenbezogene Daten gelöscht oder berichtigt werden?</w:t>
      </w:r>
    </w:p>
    <w:p w:rsidR="0036513F" w:rsidRPr="001B07E2" w:rsidRDefault="0036513F" w:rsidP="0036513F">
      <w:pPr>
        <w:pStyle w:val="Listenabsatz"/>
        <w:numPr>
          <w:ilvl w:val="0"/>
          <w:numId w:val="24"/>
        </w:numPr>
        <w:tabs>
          <w:tab w:val="clear" w:pos="1559"/>
        </w:tabs>
        <w:jc w:val="left"/>
      </w:pPr>
      <w:r w:rsidRPr="001B07E2">
        <w:t>Welche technischen und organisatorischen Maßnahmen gewährleisten die Verarbeitung von „richtigen“ Daten?</w:t>
      </w:r>
    </w:p>
    <w:p w:rsidR="0036513F" w:rsidRPr="001B07E2" w:rsidRDefault="0036513F" w:rsidP="0036513F">
      <w:pPr>
        <w:spacing w:after="0"/>
      </w:pPr>
      <w:r w:rsidRPr="001B07E2">
        <w:t>Begrenzung der Speicherdauer</w:t>
      </w:r>
    </w:p>
    <w:p w:rsidR="0036513F" w:rsidRPr="001B07E2" w:rsidRDefault="0036513F" w:rsidP="0036513F">
      <w:pPr>
        <w:pStyle w:val="Listenabsatz"/>
        <w:numPr>
          <w:ilvl w:val="0"/>
          <w:numId w:val="24"/>
        </w:numPr>
        <w:tabs>
          <w:tab w:val="clear" w:pos="1559"/>
        </w:tabs>
        <w:jc w:val="left"/>
      </w:pPr>
      <w:r w:rsidRPr="001B07E2">
        <w:t>Wurden Fristen für die Löschung der personenbezogenen Daten bzw. Fristen für die regelmäßige Überprüfung hinsichtlich zu erfolgender Löschung festgelegt?</w:t>
      </w:r>
    </w:p>
    <w:p w:rsidR="0036513F" w:rsidRPr="001B07E2" w:rsidRDefault="0036513F" w:rsidP="0036513F">
      <w:pPr>
        <w:pStyle w:val="Listenabsatz"/>
        <w:numPr>
          <w:ilvl w:val="0"/>
          <w:numId w:val="24"/>
        </w:numPr>
        <w:tabs>
          <w:tab w:val="clear" w:pos="1559"/>
        </w:tabs>
        <w:jc w:val="left"/>
      </w:pPr>
      <w:r w:rsidRPr="001B07E2">
        <w:t>Existieren Speicher-/Archivierungs- und Löschkonzepte für die Verarbeitung der personenbezogener Daten?</w:t>
      </w:r>
    </w:p>
    <w:p w:rsidR="0036513F" w:rsidRPr="001B07E2" w:rsidRDefault="0036513F" w:rsidP="0036513F">
      <w:pPr>
        <w:spacing w:after="0"/>
      </w:pPr>
      <w:r w:rsidRPr="001B07E2">
        <w:t>Sicherstellung von Integrität und Vertraulichkeit</w:t>
      </w:r>
    </w:p>
    <w:p w:rsidR="0036513F" w:rsidRPr="001B07E2" w:rsidRDefault="0036513F" w:rsidP="0036513F">
      <w:pPr>
        <w:pStyle w:val="Listenabsatz"/>
        <w:numPr>
          <w:ilvl w:val="0"/>
          <w:numId w:val="24"/>
        </w:numPr>
        <w:tabs>
          <w:tab w:val="clear" w:pos="1559"/>
        </w:tabs>
        <w:jc w:val="left"/>
      </w:pPr>
      <w:r w:rsidRPr="001B07E2">
        <w:t>Existieren geeignete technische Maßnahmen zum Schutz der personenbezogenen Daten?</w:t>
      </w:r>
    </w:p>
    <w:p w:rsidR="0036513F" w:rsidRPr="001B07E2" w:rsidRDefault="0036513F" w:rsidP="0036513F">
      <w:pPr>
        <w:pStyle w:val="Listenabsatz"/>
        <w:numPr>
          <w:ilvl w:val="0"/>
          <w:numId w:val="24"/>
        </w:numPr>
        <w:tabs>
          <w:tab w:val="clear" w:pos="1559"/>
        </w:tabs>
        <w:jc w:val="left"/>
      </w:pPr>
      <w:r w:rsidRPr="001B07E2">
        <w:t>Ist insbesondere Schutz vor</w:t>
      </w:r>
    </w:p>
    <w:p w:rsidR="0036513F" w:rsidRPr="001B07E2" w:rsidRDefault="0036513F" w:rsidP="0036513F">
      <w:pPr>
        <w:pStyle w:val="Listenabsatz"/>
        <w:numPr>
          <w:ilvl w:val="1"/>
          <w:numId w:val="24"/>
        </w:numPr>
        <w:tabs>
          <w:tab w:val="clear" w:pos="1559"/>
        </w:tabs>
        <w:jc w:val="left"/>
      </w:pPr>
      <w:r w:rsidRPr="001B07E2">
        <w:t>unbefugter Verarbeitung (= Verarbeitung durch unbefugte Dritte),</w:t>
      </w:r>
    </w:p>
    <w:p w:rsidR="0036513F" w:rsidRPr="001B07E2" w:rsidRDefault="0036513F" w:rsidP="0036513F">
      <w:pPr>
        <w:pStyle w:val="Listenabsatz"/>
        <w:numPr>
          <w:ilvl w:val="1"/>
          <w:numId w:val="24"/>
        </w:numPr>
        <w:tabs>
          <w:tab w:val="clear" w:pos="1559"/>
        </w:tabs>
        <w:jc w:val="left"/>
      </w:pPr>
      <w:r w:rsidRPr="001B07E2">
        <w:t>unrechtmäßiger Verarbeitung (z. B. Verarbeitung ohne ausreichende Rechtsgrundlage),</w:t>
      </w:r>
    </w:p>
    <w:p w:rsidR="0036513F" w:rsidRPr="001B07E2" w:rsidRDefault="0036513F" w:rsidP="0036513F">
      <w:pPr>
        <w:pStyle w:val="Listenabsatz"/>
        <w:numPr>
          <w:ilvl w:val="1"/>
          <w:numId w:val="24"/>
        </w:numPr>
        <w:tabs>
          <w:tab w:val="clear" w:pos="1559"/>
        </w:tabs>
        <w:jc w:val="left"/>
      </w:pPr>
      <w:r w:rsidRPr="001B07E2">
        <w:t>unbeabsichtigtem Verlust (z. B. die Daten kommen abhanden oder werden gelöscht),</w:t>
      </w:r>
    </w:p>
    <w:p w:rsidR="0036513F" w:rsidRPr="001B07E2" w:rsidRDefault="0036513F" w:rsidP="0036513F">
      <w:pPr>
        <w:pStyle w:val="Listenabsatz"/>
        <w:numPr>
          <w:ilvl w:val="1"/>
          <w:numId w:val="24"/>
        </w:numPr>
        <w:tabs>
          <w:tab w:val="clear" w:pos="1559"/>
        </w:tabs>
        <w:jc w:val="left"/>
      </w:pPr>
      <w:r w:rsidRPr="001B07E2">
        <w:lastRenderedPageBreak/>
        <w:t>unbeabsichtigter Zerstörung (z. B. wenn die Daten so geändert werden, dass sie zum vorgesehenen Zweck nicht mehr verwendet werden können) sowie</w:t>
      </w:r>
    </w:p>
    <w:p w:rsidR="0036513F" w:rsidRPr="001B07E2" w:rsidRDefault="0036513F" w:rsidP="0036513F">
      <w:pPr>
        <w:pStyle w:val="Listenabsatz"/>
        <w:numPr>
          <w:ilvl w:val="1"/>
          <w:numId w:val="24"/>
        </w:numPr>
        <w:tabs>
          <w:tab w:val="clear" w:pos="1559"/>
        </w:tabs>
        <w:jc w:val="left"/>
      </w:pPr>
      <w:r w:rsidRPr="001B07E2">
        <w:t>unbeabsichtigter Schädigung (z. B. wenn die Daten so geändert werden, dass sie zum vorgesehenen Zweck nur noch eingeschränkt verwendet werden können)</w:t>
      </w:r>
    </w:p>
    <w:p w:rsidR="0036513F" w:rsidRPr="001B07E2" w:rsidRDefault="0036513F" w:rsidP="0036513F">
      <w:pPr>
        <w:pStyle w:val="Listenabsatz"/>
      </w:pPr>
      <w:r w:rsidRPr="001B07E2">
        <w:t>gewährleistet?</w:t>
      </w:r>
    </w:p>
    <w:p w:rsidR="0036513F" w:rsidRPr="001B07E2" w:rsidRDefault="0036513F" w:rsidP="0036513F">
      <w:pPr>
        <w:spacing w:after="0"/>
      </w:pPr>
      <w:r w:rsidRPr="001B07E2">
        <w:t>Erfüllung der Rechenschaftspflicht</w:t>
      </w:r>
    </w:p>
    <w:p w:rsidR="0036513F" w:rsidRPr="001B07E2" w:rsidRDefault="0036513F" w:rsidP="0036513F">
      <w:pPr>
        <w:pStyle w:val="Listenabsatz"/>
        <w:numPr>
          <w:ilvl w:val="0"/>
          <w:numId w:val="24"/>
        </w:numPr>
        <w:tabs>
          <w:tab w:val="clear" w:pos="1559"/>
        </w:tabs>
        <w:jc w:val="left"/>
      </w:pPr>
      <w:r w:rsidRPr="001B07E2">
        <w:t>Wurden interne Strategien festgelegt und Maßnahmen ergriffen, um die Einhaltung der Anforderungen der DS-GVO nachweisen zu können?</w:t>
      </w:r>
    </w:p>
    <w:p w:rsidR="0036513F" w:rsidRPr="001B07E2" w:rsidRDefault="0036513F" w:rsidP="0036513F">
      <w:pPr>
        <w:pStyle w:val="Listenabsatz"/>
        <w:numPr>
          <w:ilvl w:val="0"/>
          <w:numId w:val="24"/>
        </w:numPr>
        <w:tabs>
          <w:tab w:val="clear" w:pos="1559"/>
        </w:tabs>
        <w:jc w:val="left"/>
      </w:pPr>
      <w:r w:rsidRPr="001B07E2">
        <w:t>Ist sichergestellt, dass Datenschutzfragen schon in der Planungsphase berücksichtigt werden und für die Umsetzung der zur Gewährleistung der Anforderungen der DS-GVO geplanten Maßnahmen ausreichend Ressourcen zur Verfügung stehen?</w:t>
      </w:r>
    </w:p>
    <w:p w:rsidR="0036513F" w:rsidRPr="001B07E2" w:rsidRDefault="006C02A2" w:rsidP="00CA4252">
      <w:pPr>
        <w:pStyle w:val="berschrift2"/>
      </w:pPr>
      <w:bookmarkStart w:id="121" w:name="_Toc514832500"/>
      <w:r w:rsidRPr="001B07E2">
        <w:t xml:space="preserve">Was </w:t>
      </w:r>
      <w:r w:rsidR="00CA4252" w:rsidRPr="001B07E2">
        <w:t>wird wo dokumentiert?</w:t>
      </w:r>
      <w:bookmarkEnd w:id="121"/>
    </w:p>
    <w:p w:rsidR="00CA4252" w:rsidRPr="001B07E2" w:rsidRDefault="00CA4252" w:rsidP="00CA4252">
      <w:r w:rsidRPr="001B07E2">
        <w:t xml:space="preserve">Dokumentation wird nicht nur von Art. 25 DS-GVO verlangt. Es gibt eine Vielzahl von Stellen, die </w:t>
      </w:r>
      <w:r w:rsidR="005E2265" w:rsidRPr="001B07E2">
        <w:t>neben den Anforderungen aus Art. 25 DS-GVO auch</w:t>
      </w:r>
      <w:r w:rsidR="005F7B11" w:rsidRPr="001B07E2">
        <w:t xml:space="preserve"> </w:t>
      </w:r>
      <w:r w:rsidRPr="001B07E2">
        <w:t xml:space="preserve">eine Dokumentation verlangen, die nachfolgende Tabelle zeigt beispielhaft ein paar </w:t>
      </w:r>
      <w:r w:rsidR="005E2265" w:rsidRPr="001B07E2">
        <w:t>Stellen</w:t>
      </w:r>
      <w:r w:rsidRPr="001B07E2">
        <w:t xml:space="preserve"> auf:</w:t>
      </w:r>
    </w:p>
    <w:tbl>
      <w:tblPr>
        <w:tblW w:w="9037" w:type="dxa"/>
        <w:tblInd w:w="55" w:type="dxa"/>
        <w:tblCellMar>
          <w:left w:w="70" w:type="dxa"/>
          <w:right w:w="70" w:type="dxa"/>
        </w:tblCellMar>
        <w:tblLook w:val="0600" w:firstRow="0" w:lastRow="0" w:firstColumn="0" w:lastColumn="0" w:noHBand="1" w:noVBand="1"/>
      </w:tblPr>
      <w:tblGrid>
        <w:gridCol w:w="1659"/>
        <w:gridCol w:w="1337"/>
        <w:gridCol w:w="1129"/>
        <w:gridCol w:w="1043"/>
        <w:gridCol w:w="1697"/>
        <w:gridCol w:w="1416"/>
        <w:gridCol w:w="756"/>
      </w:tblGrid>
      <w:tr w:rsidR="00CA4252" w:rsidRPr="001B07E2" w:rsidTr="00CA4252">
        <w:trPr>
          <w:trHeight w:val="615"/>
        </w:trPr>
        <w:tc>
          <w:tcPr>
            <w:tcW w:w="1614" w:type="dxa"/>
            <w:tcBorders>
              <w:top w:val="single" w:sz="8" w:space="0" w:color="FFFFFF"/>
              <w:left w:val="single" w:sz="8" w:space="0" w:color="FFFFFF"/>
              <w:bottom w:val="single" w:sz="8" w:space="0" w:color="000000"/>
              <w:right w:val="single" w:sz="8" w:space="0" w:color="000000"/>
            </w:tcBorders>
            <w:shd w:val="clear" w:color="000000" w:fill="FCFCFC"/>
            <w:vAlign w:val="bottom"/>
            <w:hideMark/>
          </w:tcPr>
          <w:p w:rsidR="006C02A2" w:rsidRPr="001B07E2" w:rsidRDefault="006C02A2" w:rsidP="006C02A2">
            <w:pPr>
              <w:spacing w:after="0" w:line="240" w:lineRule="auto"/>
              <w:jc w:val="left"/>
              <w:rPr>
                <w:rFonts w:eastAsia="Times New Roman" w:cs="Times New Roman"/>
                <w:sz w:val="20"/>
                <w:szCs w:val="20"/>
                <w:lang w:eastAsia="de-DE"/>
              </w:rPr>
            </w:pPr>
            <w:r w:rsidRPr="001B07E2">
              <w:rPr>
                <w:rFonts w:eastAsia="Times New Roman" w:cs="Times New Roman"/>
                <w:sz w:val="20"/>
                <w:szCs w:val="20"/>
                <w:lang w:eastAsia="de-DE"/>
              </w:rPr>
              <w:t> </w:t>
            </w:r>
          </w:p>
        </w:tc>
        <w:tc>
          <w:tcPr>
            <w:tcW w:w="1378" w:type="dxa"/>
            <w:tcBorders>
              <w:top w:val="single" w:sz="8" w:space="0" w:color="000000"/>
              <w:left w:val="nil"/>
              <w:bottom w:val="single" w:sz="8" w:space="0" w:color="000000"/>
              <w:right w:val="single" w:sz="8" w:space="0" w:color="000000"/>
            </w:tcBorders>
            <w:shd w:val="clear" w:color="000000" w:fill="FCFCFC"/>
            <w:vAlign w:val="center"/>
            <w:hideMark/>
          </w:tcPr>
          <w:p w:rsidR="006C02A2" w:rsidRPr="001B07E2" w:rsidRDefault="005E2265" w:rsidP="006C02A2">
            <w:pPr>
              <w:spacing w:after="0" w:line="240" w:lineRule="auto"/>
              <w:jc w:val="center"/>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Datenschutz-Grundsätze</w:t>
            </w:r>
          </w:p>
        </w:tc>
        <w:tc>
          <w:tcPr>
            <w:tcW w:w="1134" w:type="dxa"/>
            <w:tcBorders>
              <w:top w:val="single" w:sz="8" w:space="0" w:color="000000"/>
              <w:left w:val="nil"/>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center"/>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Einwilligung</w:t>
            </w:r>
          </w:p>
        </w:tc>
        <w:tc>
          <w:tcPr>
            <w:tcW w:w="1043" w:type="dxa"/>
            <w:tcBorders>
              <w:top w:val="single" w:sz="8" w:space="0" w:color="000000"/>
              <w:left w:val="nil"/>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center"/>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Tätigkeits-verzeichnis</w:t>
            </w:r>
          </w:p>
        </w:tc>
        <w:tc>
          <w:tcPr>
            <w:tcW w:w="1697" w:type="dxa"/>
            <w:tcBorders>
              <w:top w:val="single" w:sz="8" w:space="0" w:color="000000"/>
              <w:left w:val="nil"/>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center"/>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Datenschutz-Folgenabschätzung</w:t>
            </w:r>
          </w:p>
        </w:tc>
        <w:tc>
          <w:tcPr>
            <w:tcW w:w="1416" w:type="dxa"/>
            <w:tcBorders>
              <w:top w:val="single" w:sz="8" w:space="0" w:color="000000"/>
              <w:left w:val="nil"/>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center"/>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Dokumentation TOMs</w:t>
            </w:r>
          </w:p>
        </w:tc>
        <w:tc>
          <w:tcPr>
            <w:tcW w:w="755" w:type="dxa"/>
            <w:tcBorders>
              <w:top w:val="single" w:sz="8" w:space="0" w:color="000000"/>
              <w:left w:val="nil"/>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center"/>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Daten</w:t>
            </w:r>
            <w:r w:rsidR="00CA4252" w:rsidRPr="001B07E2">
              <w:rPr>
                <w:rFonts w:eastAsia="Times New Roman" w:cs="Times New Roman"/>
                <w:bCs/>
                <w:color w:val="000000"/>
                <w:sz w:val="20"/>
                <w:szCs w:val="20"/>
                <w:lang w:eastAsia="de-DE"/>
              </w:rPr>
              <w:t>-</w:t>
            </w:r>
            <w:r w:rsidRPr="001B07E2">
              <w:rPr>
                <w:rFonts w:eastAsia="Times New Roman" w:cs="Times New Roman"/>
                <w:bCs/>
                <w:color w:val="000000"/>
                <w:sz w:val="20"/>
                <w:szCs w:val="20"/>
                <w:lang w:eastAsia="de-DE"/>
              </w:rPr>
              <w:t>pannen</w:t>
            </w:r>
          </w:p>
        </w:tc>
      </w:tr>
      <w:tr w:rsidR="00CA4252" w:rsidRPr="001B07E2" w:rsidTr="00CA4252">
        <w:trPr>
          <w:trHeight w:val="315"/>
        </w:trPr>
        <w:tc>
          <w:tcPr>
            <w:tcW w:w="1614" w:type="dxa"/>
            <w:tcBorders>
              <w:top w:val="nil"/>
              <w:left w:val="single" w:sz="8" w:space="0" w:color="000000"/>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left"/>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Rechtmäßigkeit</w:t>
            </w:r>
          </w:p>
        </w:tc>
        <w:tc>
          <w:tcPr>
            <w:tcW w:w="1378"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134"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p>
        </w:tc>
        <w:tc>
          <w:tcPr>
            <w:tcW w:w="1043"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p>
        </w:tc>
        <w:tc>
          <w:tcPr>
            <w:tcW w:w="1697"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416"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p>
        </w:tc>
        <w:tc>
          <w:tcPr>
            <w:tcW w:w="755"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p>
        </w:tc>
      </w:tr>
      <w:tr w:rsidR="00CA4252" w:rsidRPr="001B07E2" w:rsidTr="00CA4252">
        <w:trPr>
          <w:trHeight w:val="315"/>
        </w:trPr>
        <w:tc>
          <w:tcPr>
            <w:tcW w:w="1614" w:type="dxa"/>
            <w:tcBorders>
              <w:top w:val="nil"/>
              <w:left w:val="single" w:sz="8" w:space="0" w:color="000000"/>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left"/>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Verantwortlicher</w:t>
            </w:r>
            <w:r w:rsidR="005E2265" w:rsidRPr="001B07E2">
              <w:rPr>
                <w:rStyle w:val="Funotenzeichen"/>
                <w:rFonts w:eastAsia="Times New Roman" w:cs="Times New Roman"/>
                <w:bCs/>
                <w:color w:val="000000"/>
                <w:sz w:val="20"/>
                <w:szCs w:val="20"/>
                <w:lang w:eastAsia="de-DE"/>
              </w:rPr>
              <w:footnoteReference w:id="22"/>
            </w:r>
          </w:p>
        </w:tc>
        <w:tc>
          <w:tcPr>
            <w:tcW w:w="1378"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134"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043"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p>
        </w:tc>
        <w:tc>
          <w:tcPr>
            <w:tcW w:w="1697"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p>
        </w:tc>
        <w:tc>
          <w:tcPr>
            <w:tcW w:w="1416"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p>
        </w:tc>
        <w:tc>
          <w:tcPr>
            <w:tcW w:w="755"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p>
        </w:tc>
      </w:tr>
      <w:tr w:rsidR="00CA4252" w:rsidRPr="001B07E2" w:rsidTr="00CA4252">
        <w:trPr>
          <w:trHeight w:val="315"/>
        </w:trPr>
        <w:tc>
          <w:tcPr>
            <w:tcW w:w="1614" w:type="dxa"/>
            <w:tcBorders>
              <w:top w:val="nil"/>
              <w:left w:val="single" w:sz="8" w:space="0" w:color="000000"/>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left"/>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Zweck(e)</w:t>
            </w:r>
          </w:p>
        </w:tc>
        <w:tc>
          <w:tcPr>
            <w:tcW w:w="1378"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134"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043"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697"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416"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755"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r>
      <w:tr w:rsidR="00CA4252" w:rsidRPr="001B07E2" w:rsidTr="00CA4252">
        <w:trPr>
          <w:trHeight w:val="615"/>
        </w:trPr>
        <w:tc>
          <w:tcPr>
            <w:tcW w:w="1614" w:type="dxa"/>
            <w:tcBorders>
              <w:top w:val="nil"/>
              <w:left w:val="single" w:sz="8" w:space="0" w:color="000000"/>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left"/>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Betroffene (Kategorien)</w:t>
            </w:r>
          </w:p>
        </w:tc>
        <w:tc>
          <w:tcPr>
            <w:tcW w:w="1378"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134"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p>
        </w:tc>
        <w:tc>
          <w:tcPr>
            <w:tcW w:w="1043"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697"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416"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p>
        </w:tc>
        <w:tc>
          <w:tcPr>
            <w:tcW w:w="755"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r>
      <w:tr w:rsidR="00CA4252" w:rsidRPr="001B07E2" w:rsidTr="00CA4252">
        <w:trPr>
          <w:trHeight w:val="315"/>
        </w:trPr>
        <w:tc>
          <w:tcPr>
            <w:tcW w:w="1614" w:type="dxa"/>
            <w:tcBorders>
              <w:top w:val="nil"/>
              <w:left w:val="single" w:sz="8" w:space="0" w:color="000000"/>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left"/>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Daten (Kategorien)</w:t>
            </w:r>
          </w:p>
        </w:tc>
        <w:tc>
          <w:tcPr>
            <w:tcW w:w="1378"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134"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043"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697"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416"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755"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r>
      <w:tr w:rsidR="00CA4252" w:rsidRPr="001B07E2" w:rsidTr="00CA4252">
        <w:trPr>
          <w:trHeight w:val="615"/>
        </w:trPr>
        <w:tc>
          <w:tcPr>
            <w:tcW w:w="1614" w:type="dxa"/>
            <w:tcBorders>
              <w:top w:val="nil"/>
              <w:left w:val="single" w:sz="8" w:space="0" w:color="000000"/>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left"/>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Empfänger (Kategorien)</w:t>
            </w:r>
          </w:p>
        </w:tc>
        <w:tc>
          <w:tcPr>
            <w:tcW w:w="1378"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134"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043"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697"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416"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755"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p>
        </w:tc>
      </w:tr>
      <w:tr w:rsidR="00CA4252" w:rsidRPr="001B07E2" w:rsidTr="00CA4252">
        <w:trPr>
          <w:trHeight w:val="315"/>
        </w:trPr>
        <w:tc>
          <w:tcPr>
            <w:tcW w:w="1614" w:type="dxa"/>
            <w:tcBorders>
              <w:top w:val="nil"/>
              <w:left w:val="single" w:sz="8" w:space="0" w:color="000000"/>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left"/>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Löschfristen</w:t>
            </w:r>
          </w:p>
        </w:tc>
        <w:tc>
          <w:tcPr>
            <w:tcW w:w="1378"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134"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043"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697"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416"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755"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p>
        </w:tc>
      </w:tr>
      <w:tr w:rsidR="00CA4252" w:rsidRPr="001B07E2" w:rsidTr="00CA4252">
        <w:trPr>
          <w:trHeight w:val="615"/>
        </w:trPr>
        <w:tc>
          <w:tcPr>
            <w:tcW w:w="1614" w:type="dxa"/>
            <w:tcBorders>
              <w:top w:val="nil"/>
              <w:left w:val="single" w:sz="8" w:space="0" w:color="000000"/>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left"/>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Drittland-Verarbeitung</w:t>
            </w:r>
          </w:p>
        </w:tc>
        <w:tc>
          <w:tcPr>
            <w:tcW w:w="1378"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134"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043"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697"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416"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755"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p>
        </w:tc>
      </w:tr>
      <w:tr w:rsidR="00CA4252" w:rsidRPr="001B07E2" w:rsidTr="00CA4252">
        <w:trPr>
          <w:trHeight w:val="315"/>
        </w:trPr>
        <w:tc>
          <w:tcPr>
            <w:tcW w:w="1614" w:type="dxa"/>
            <w:tcBorders>
              <w:top w:val="nil"/>
              <w:left w:val="single" w:sz="8" w:space="0" w:color="000000"/>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left"/>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Risikobetrachtung</w:t>
            </w:r>
          </w:p>
        </w:tc>
        <w:tc>
          <w:tcPr>
            <w:tcW w:w="1378"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p>
        </w:tc>
        <w:tc>
          <w:tcPr>
            <w:tcW w:w="1134"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p>
        </w:tc>
        <w:tc>
          <w:tcPr>
            <w:tcW w:w="1043"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p>
        </w:tc>
        <w:tc>
          <w:tcPr>
            <w:tcW w:w="1697"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416"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p>
        </w:tc>
        <w:tc>
          <w:tcPr>
            <w:tcW w:w="755"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r>
      <w:tr w:rsidR="00CA4252" w:rsidRPr="001B07E2" w:rsidTr="00CA4252">
        <w:trPr>
          <w:trHeight w:val="315"/>
        </w:trPr>
        <w:tc>
          <w:tcPr>
            <w:tcW w:w="1614" w:type="dxa"/>
            <w:tcBorders>
              <w:top w:val="nil"/>
              <w:left w:val="single" w:sz="8" w:space="0" w:color="000000"/>
              <w:bottom w:val="single" w:sz="8" w:space="0" w:color="000000"/>
              <w:right w:val="single" w:sz="8" w:space="0" w:color="000000"/>
            </w:tcBorders>
            <w:shd w:val="clear" w:color="000000" w:fill="FCFCFC"/>
            <w:vAlign w:val="center"/>
            <w:hideMark/>
          </w:tcPr>
          <w:p w:rsidR="006C02A2" w:rsidRPr="001B07E2" w:rsidRDefault="006C02A2" w:rsidP="006C02A2">
            <w:pPr>
              <w:spacing w:after="0" w:line="240" w:lineRule="auto"/>
              <w:jc w:val="left"/>
              <w:rPr>
                <w:rFonts w:eastAsia="Times New Roman" w:cs="Times New Roman"/>
                <w:bCs/>
                <w:color w:val="000000"/>
                <w:sz w:val="20"/>
                <w:szCs w:val="20"/>
                <w:lang w:eastAsia="de-DE"/>
              </w:rPr>
            </w:pPr>
            <w:r w:rsidRPr="001B07E2">
              <w:rPr>
                <w:rFonts w:eastAsia="Times New Roman" w:cs="Times New Roman"/>
                <w:bCs/>
                <w:color w:val="000000"/>
                <w:sz w:val="20"/>
                <w:szCs w:val="20"/>
                <w:lang w:eastAsia="de-DE"/>
              </w:rPr>
              <w:t>TOM</w:t>
            </w:r>
          </w:p>
        </w:tc>
        <w:tc>
          <w:tcPr>
            <w:tcW w:w="1378"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CA4252">
            <w:pPr>
              <w:spacing w:after="0" w:line="240" w:lineRule="auto"/>
              <w:jc w:val="center"/>
              <w:rPr>
                <w:rFonts w:eastAsia="Times New Roman" w:cs="Times New Roman"/>
                <w:color w:val="000000"/>
                <w:sz w:val="20"/>
                <w:szCs w:val="20"/>
                <w:lang w:eastAsia="de-DE"/>
              </w:rPr>
            </w:pPr>
          </w:p>
        </w:tc>
        <w:tc>
          <w:tcPr>
            <w:tcW w:w="1134"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043"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697"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1416"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rsidP="005E2265">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c>
          <w:tcPr>
            <w:tcW w:w="755" w:type="dxa"/>
            <w:tcBorders>
              <w:top w:val="nil"/>
              <w:left w:val="nil"/>
              <w:bottom w:val="single" w:sz="8" w:space="0" w:color="000000"/>
              <w:right w:val="single" w:sz="8" w:space="0" w:color="000000"/>
            </w:tcBorders>
            <w:shd w:val="clear" w:color="000000" w:fill="FCFCFC"/>
            <w:vAlign w:val="center"/>
            <w:hideMark/>
          </w:tcPr>
          <w:p w:rsidR="006C02A2" w:rsidRPr="001B07E2" w:rsidRDefault="006C02A2">
            <w:pPr>
              <w:spacing w:after="0" w:line="240" w:lineRule="auto"/>
              <w:jc w:val="center"/>
              <w:rPr>
                <w:rFonts w:eastAsia="Times New Roman" w:cs="Times New Roman"/>
                <w:color w:val="000000"/>
                <w:sz w:val="20"/>
                <w:szCs w:val="20"/>
                <w:lang w:eastAsia="de-DE"/>
              </w:rPr>
            </w:pPr>
            <w:r w:rsidRPr="001B07E2">
              <w:rPr>
                <w:rFonts w:eastAsia="Times New Roman" w:cs="Times New Roman"/>
                <w:color w:val="000000"/>
                <w:sz w:val="20"/>
                <w:szCs w:val="20"/>
                <w:lang w:eastAsia="de-DE"/>
              </w:rPr>
              <w:t>X</w:t>
            </w:r>
          </w:p>
        </w:tc>
      </w:tr>
    </w:tbl>
    <w:p w:rsidR="006C02A2" w:rsidRPr="001B07E2" w:rsidRDefault="006C02A2" w:rsidP="000A56EA"/>
    <w:p w:rsidR="00CA4252" w:rsidRPr="001B07E2" w:rsidRDefault="00CA4252" w:rsidP="000A56EA">
      <w:r w:rsidRPr="001B07E2">
        <w:t>Dabei muss natürlich nicht alles doppelt dokumentiert werden. Ein entsprechendes Datenschutz-Managementsystem vorausgesetzt werden die entsprechenden Punkte an einer Stelle dokumentiert und stehen dann überall dort zur Verfügung, wo sie benötigt werden.</w:t>
      </w:r>
    </w:p>
    <w:p w:rsidR="005F7B11" w:rsidRPr="001B07E2" w:rsidRDefault="005F7B11">
      <w:pPr>
        <w:jc w:val="left"/>
      </w:pPr>
      <w:r w:rsidRPr="001B07E2">
        <w:br w:type="page"/>
      </w:r>
    </w:p>
    <w:p w:rsidR="005F7B11" w:rsidRPr="001B07E2" w:rsidRDefault="005F7B11" w:rsidP="005F7B11">
      <w:pPr>
        <w:pStyle w:val="berschrift1"/>
      </w:pPr>
      <w:bookmarkStart w:id="122" w:name="_Toc514832501"/>
      <w:r w:rsidRPr="001B07E2">
        <w:lastRenderedPageBreak/>
        <w:t>Checkliste</w:t>
      </w:r>
      <w:bookmarkEnd w:id="122"/>
    </w:p>
    <w:p w:rsidR="005F7B11" w:rsidRPr="001B07E2" w:rsidRDefault="005F7B11" w:rsidP="005F7B11">
      <w:pPr>
        <w:pStyle w:val="berschrift2"/>
      </w:pPr>
      <w:bookmarkStart w:id="123" w:name="_Toc514832502"/>
      <w:r w:rsidRPr="001B07E2">
        <w:t xml:space="preserve">Datenschutz durch Technikgestaltung (Privacy </w:t>
      </w:r>
      <w:proofErr w:type="spellStart"/>
      <w:r w:rsidRPr="001B07E2">
        <w:t>by</w:t>
      </w:r>
      <w:proofErr w:type="spellEnd"/>
      <w:r w:rsidRPr="001B07E2">
        <w:t xml:space="preserve"> Design)</w:t>
      </w:r>
      <w:bookmarkEnd w:id="123"/>
    </w:p>
    <w:tbl>
      <w:tblPr>
        <w:tblStyle w:val="Tabellenraster"/>
        <w:tblW w:w="0" w:type="auto"/>
        <w:tblLook w:val="04A0" w:firstRow="1" w:lastRow="0" w:firstColumn="1" w:lastColumn="0" w:noHBand="0" w:noVBand="1"/>
      </w:tblPr>
      <w:tblGrid>
        <w:gridCol w:w="6629"/>
        <w:gridCol w:w="1276"/>
        <w:gridCol w:w="1307"/>
      </w:tblGrid>
      <w:tr w:rsidR="005F7B11" w:rsidRPr="001B07E2" w:rsidTr="001B07E2">
        <w:trPr>
          <w:tblHeader/>
        </w:trPr>
        <w:tc>
          <w:tcPr>
            <w:tcW w:w="6629" w:type="dxa"/>
          </w:tcPr>
          <w:p w:rsidR="005F7B11" w:rsidRPr="001B07E2" w:rsidRDefault="005F7B11" w:rsidP="001B07E2">
            <w:pPr>
              <w:jc w:val="center"/>
              <w:rPr>
                <w:b/>
              </w:rPr>
            </w:pPr>
          </w:p>
        </w:tc>
        <w:tc>
          <w:tcPr>
            <w:tcW w:w="1276" w:type="dxa"/>
          </w:tcPr>
          <w:p w:rsidR="005F7B11" w:rsidRPr="001B07E2" w:rsidRDefault="005F7B11" w:rsidP="001B07E2">
            <w:pPr>
              <w:jc w:val="center"/>
              <w:rPr>
                <w:b/>
              </w:rPr>
            </w:pPr>
            <w:r w:rsidRPr="001B07E2">
              <w:rPr>
                <w:b/>
              </w:rPr>
              <w:t>Ja</w:t>
            </w:r>
          </w:p>
        </w:tc>
        <w:tc>
          <w:tcPr>
            <w:tcW w:w="1307" w:type="dxa"/>
          </w:tcPr>
          <w:p w:rsidR="005F7B11" w:rsidRPr="001B07E2" w:rsidRDefault="005F7B11" w:rsidP="001B07E2">
            <w:pPr>
              <w:jc w:val="center"/>
              <w:rPr>
                <w:b/>
              </w:rPr>
            </w:pPr>
            <w:r w:rsidRPr="001B07E2">
              <w:rPr>
                <w:b/>
              </w:rPr>
              <w:t>Nein</w:t>
            </w:r>
          </w:p>
        </w:tc>
      </w:tr>
      <w:tr w:rsidR="005F7B11" w:rsidRPr="001B07E2" w:rsidTr="001B07E2">
        <w:tc>
          <w:tcPr>
            <w:tcW w:w="6629" w:type="dxa"/>
          </w:tcPr>
          <w:p w:rsidR="005F7B11" w:rsidRPr="001B07E2" w:rsidRDefault="005F7B11" w:rsidP="001B07E2">
            <w:r w:rsidRPr="001B07E2">
              <w:t>Wurde bereits bei der Entwicklung des Verarbeitungsprozesses dieser so konstruiert, dass Anforderungen des Datenschutzes standardmäßig implementiert sind?</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r w:rsidRPr="001B07E2">
              <w:t>Berücksichtigt und gewährleistet der Verarbeitungsprozess die Erfüllung der Betroffenenrechte aus den Art. 12–23 DS-GVO?</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pPr>
              <w:ind w:left="708"/>
            </w:pPr>
            <w:r w:rsidRPr="001B07E2">
              <w:t>Ist eine Funktion implementiert, die der betroffenen Person nutzen kann, um die zu seiner Person gespeicherten Daten einsehen zu können?</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pPr>
              <w:ind w:left="708"/>
            </w:pPr>
            <w:r w:rsidRPr="001B07E2">
              <w:t>Ist eine Funktion implementiert, die der betroffenen Person eine Kopie seiner Daten zur Verfügung stellt?</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pPr>
              <w:ind w:left="708"/>
            </w:pPr>
            <w:r w:rsidRPr="001B07E2">
              <w:t>Ist eine Funktion zur Löschung der Daten implementiert?</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pPr>
              <w:ind w:left="708"/>
            </w:pPr>
            <w:r w:rsidRPr="001B07E2">
              <w:t>Ist eine Funktion zur Übertragbarkeit der Daten implementiert?</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r w:rsidRPr="001B07E2">
              <w:t>Wird die Einhaltung des Grundsatzes des Datenschutzes durch Technik durch Vorlage eines Auditnachweises (z. B. ein entsprechendes Zertifikat) belegt?</w:t>
            </w:r>
          </w:p>
        </w:tc>
        <w:tc>
          <w:tcPr>
            <w:tcW w:w="1276" w:type="dxa"/>
          </w:tcPr>
          <w:p w:rsidR="005F7B11" w:rsidRPr="001B07E2" w:rsidRDefault="005F7B11" w:rsidP="001B07E2"/>
        </w:tc>
        <w:tc>
          <w:tcPr>
            <w:tcW w:w="1307" w:type="dxa"/>
          </w:tcPr>
          <w:p w:rsidR="005F7B11" w:rsidRPr="001B07E2" w:rsidRDefault="005F7B11" w:rsidP="001B07E2"/>
        </w:tc>
      </w:tr>
    </w:tbl>
    <w:p w:rsidR="005F7B11" w:rsidRPr="001B07E2" w:rsidRDefault="005F7B11" w:rsidP="005F7B11"/>
    <w:p w:rsidR="005F7B11" w:rsidRPr="001B07E2" w:rsidRDefault="005F7B11" w:rsidP="005F7B11">
      <w:pPr>
        <w:pStyle w:val="berschrift2"/>
      </w:pPr>
      <w:bookmarkStart w:id="124" w:name="_Toc514832503"/>
      <w:r w:rsidRPr="001B07E2">
        <w:t xml:space="preserve">Datenschutz durch datenschutzfreundliche Voreinstellungen (Privacy </w:t>
      </w:r>
      <w:proofErr w:type="spellStart"/>
      <w:r w:rsidRPr="001B07E2">
        <w:t>by</w:t>
      </w:r>
      <w:proofErr w:type="spellEnd"/>
      <w:r w:rsidRPr="001B07E2">
        <w:t xml:space="preserve"> Default)</w:t>
      </w:r>
      <w:bookmarkEnd w:id="124"/>
    </w:p>
    <w:tbl>
      <w:tblPr>
        <w:tblStyle w:val="Tabellenraster"/>
        <w:tblW w:w="0" w:type="auto"/>
        <w:tblLook w:val="04A0" w:firstRow="1" w:lastRow="0" w:firstColumn="1" w:lastColumn="0" w:noHBand="0" w:noVBand="1"/>
      </w:tblPr>
      <w:tblGrid>
        <w:gridCol w:w="6629"/>
        <w:gridCol w:w="1276"/>
        <w:gridCol w:w="1307"/>
      </w:tblGrid>
      <w:tr w:rsidR="005F7B11" w:rsidRPr="001B07E2" w:rsidTr="001B07E2">
        <w:trPr>
          <w:tblHeader/>
        </w:trPr>
        <w:tc>
          <w:tcPr>
            <w:tcW w:w="6629" w:type="dxa"/>
          </w:tcPr>
          <w:p w:rsidR="005F7B11" w:rsidRPr="001B07E2" w:rsidRDefault="005F7B11" w:rsidP="001B07E2">
            <w:pPr>
              <w:jc w:val="center"/>
              <w:rPr>
                <w:b/>
              </w:rPr>
            </w:pPr>
          </w:p>
        </w:tc>
        <w:tc>
          <w:tcPr>
            <w:tcW w:w="1276" w:type="dxa"/>
          </w:tcPr>
          <w:p w:rsidR="005F7B11" w:rsidRPr="001B07E2" w:rsidRDefault="005F7B11" w:rsidP="001B07E2">
            <w:pPr>
              <w:jc w:val="center"/>
              <w:rPr>
                <w:b/>
              </w:rPr>
            </w:pPr>
            <w:r w:rsidRPr="001B07E2">
              <w:rPr>
                <w:b/>
              </w:rPr>
              <w:t>Ja</w:t>
            </w:r>
          </w:p>
        </w:tc>
        <w:tc>
          <w:tcPr>
            <w:tcW w:w="1307" w:type="dxa"/>
          </w:tcPr>
          <w:p w:rsidR="005F7B11" w:rsidRPr="001B07E2" w:rsidRDefault="005F7B11" w:rsidP="001B07E2">
            <w:pPr>
              <w:jc w:val="center"/>
              <w:rPr>
                <w:b/>
              </w:rPr>
            </w:pPr>
            <w:r w:rsidRPr="001B07E2">
              <w:rPr>
                <w:b/>
              </w:rPr>
              <w:t>Nein</w:t>
            </w:r>
          </w:p>
        </w:tc>
      </w:tr>
      <w:tr w:rsidR="005F7B11" w:rsidRPr="001B07E2" w:rsidTr="001B07E2">
        <w:tc>
          <w:tcPr>
            <w:tcW w:w="6629" w:type="dxa"/>
          </w:tcPr>
          <w:p w:rsidR="005F7B11" w:rsidRPr="001B07E2" w:rsidRDefault="005F7B11" w:rsidP="001B07E2">
            <w:r w:rsidRPr="001B07E2">
              <w:t>Ist der Datenumfang, der für den Verarbeitungsprozessgenutzt wird, hinsichtlich der personenbezogenen Daten auf das zur Zweckerfüllung absolut Notwendige beschränkt?</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r w:rsidRPr="001B07E2">
              <w:t>Verfügt das Verarbeitungssystem über ein Berechtigungskonzept, welches gewährleistet, das ein Zugriff nur nach dem Need-</w:t>
            </w:r>
            <w:proofErr w:type="spellStart"/>
            <w:r w:rsidRPr="001B07E2">
              <w:t>to</w:t>
            </w:r>
            <w:proofErr w:type="spellEnd"/>
            <w:r w:rsidRPr="001B07E2">
              <w:t>-</w:t>
            </w:r>
            <w:proofErr w:type="spellStart"/>
            <w:r w:rsidRPr="001B07E2">
              <w:t>know</w:t>
            </w:r>
            <w:proofErr w:type="spellEnd"/>
            <w:r w:rsidRPr="001B07E2">
              <w:t>-Prinzip erfolgt?</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r w:rsidRPr="001B07E2">
              <w:t>Verfügt das Verarbeitungssystem über ein Berechtigungskonzept, welches gewährleistet, das ein Zugriff auf besonders schützenswerte Daten nur unter Einhaltung eines Vier-Augen-Prinzips erfolgt?</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r w:rsidRPr="001B07E2">
              <w:t>Werden Daten von vornherein mit einem Verfallsdatum gespeichert?</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r w:rsidRPr="001B07E2">
              <w:t>Werden Daten nach Erreichen der Speicherhöchstdauer (= Ablauf der gesetzlichen Aufbewahrungsfrist) / des Verfallsdatums automatisch durch das System gelöscht</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r w:rsidRPr="001B07E2">
              <w:t>Ist die Nutzung bestimmter Funktionen unmittelbar an das Vorliegen einer wirksamen Rechtsgrundlage (z. B. Einwilligung der betroffenen Person) gebunden?</w:t>
            </w:r>
          </w:p>
        </w:tc>
        <w:tc>
          <w:tcPr>
            <w:tcW w:w="1276" w:type="dxa"/>
          </w:tcPr>
          <w:p w:rsidR="005F7B11" w:rsidRPr="001B07E2" w:rsidRDefault="005F7B11" w:rsidP="001B07E2"/>
        </w:tc>
        <w:tc>
          <w:tcPr>
            <w:tcW w:w="1307" w:type="dxa"/>
          </w:tcPr>
          <w:p w:rsidR="005F7B11" w:rsidRPr="001B07E2" w:rsidRDefault="005F7B11" w:rsidP="001B07E2"/>
        </w:tc>
      </w:tr>
      <w:tr w:rsidR="005F7B11" w:rsidRPr="001B07E2" w:rsidTr="001B07E2">
        <w:tc>
          <w:tcPr>
            <w:tcW w:w="6629" w:type="dxa"/>
          </w:tcPr>
          <w:p w:rsidR="005F7B11" w:rsidRPr="001B07E2" w:rsidRDefault="005F7B11" w:rsidP="001B07E2">
            <w:r w:rsidRPr="001B07E2">
              <w:t>Wird die Einhaltung des Grundsatzes der datenschutzfreundlicher Voreinstellung durch Vorlage eines Auditnachweises (z. B. ein entsprechendes Zertifikat) belegt?</w:t>
            </w:r>
          </w:p>
        </w:tc>
        <w:tc>
          <w:tcPr>
            <w:tcW w:w="1276" w:type="dxa"/>
          </w:tcPr>
          <w:p w:rsidR="005F7B11" w:rsidRPr="001B07E2" w:rsidRDefault="005F7B11" w:rsidP="001B07E2"/>
        </w:tc>
        <w:tc>
          <w:tcPr>
            <w:tcW w:w="1307" w:type="dxa"/>
          </w:tcPr>
          <w:p w:rsidR="005F7B11" w:rsidRPr="001B07E2" w:rsidRDefault="005F7B11" w:rsidP="001B07E2"/>
        </w:tc>
      </w:tr>
    </w:tbl>
    <w:p w:rsidR="005F7B11" w:rsidRPr="001B07E2" w:rsidRDefault="005F7B11" w:rsidP="005F7B11"/>
    <w:p w:rsidR="00DB4DC9" w:rsidRPr="001B07E2" w:rsidRDefault="00DB4DC9">
      <w:pPr>
        <w:jc w:val="left"/>
        <w:rPr>
          <w:rFonts w:asciiTheme="majorHAnsi" w:eastAsiaTheme="majorEastAsia" w:hAnsiTheme="majorHAnsi" w:cstheme="majorBidi"/>
          <w:b/>
          <w:bCs/>
          <w:color w:val="365F91" w:themeColor="accent1" w:themeShade="BF"/>
          <w:sz w:val="28"/>
          <w:szCs w:val="28"/>
        </w:rPr>
      </w:pPr>
      <w:r w:rsidRPr="001B07E2">
        <w:br w:type="page"/>
      </w:r>
    </w:p>
    <w:p w:rsidR="0051779C" w:rsidRPr="001B07E2" w:rsidRDefault="0051779C" w:rsidP="0051779C">
      <w:pPr>
        <w:pStyle w:val="berschrift1"/>
      </w:pPr>
      <w:bookmarkStart w:id="125" w:name="_Toc514832504"/>
      <w:r w:rsidRPr="001B07E2">
        <w:lastRenderedPageBreak/>
        <w:t>Abkürzungen</w:t>
      </w:r>
      <w:bookmarkEnd w:id="125"/>
    </w:p>
    <w:tbl>
      <w:tblPr>
        <w:tblStyle w:val="Tabellenraster"/>
        <w:tblW w:w="0" w:type="auto"/>
        <w:tblLook w:val="04A0" w:firstRow="1" w:lastRow="0" w:firstColumn="1" w:lastColumn="0" w:noHBand="0" w:noVBand="1"/>
      </w:tblPr>
      <w:tblGrid>
        <w:gridCol w:w="1242"/>
        <w:gridCol w:w="7970"/>
      </w:tblGrid>
      <w:tr w:rsidR="00A11FFB" w:rsidRPr="001B07E2" w:rsidTr="00A40957">
        <w:tc>
          <w:tcPr>
            <w:tcW w:w="1242" w:type="dxa"/>
          </w:tcPr>
          <w:p w:rsidR="00A11FFB" w:rsidRPr="001B07E2" w:rsidRDefault="00A11FFB" w:rsidP="00A40957">
            <w:pPr>
              <w:ind w:left="708" w:hanging="708"/>
            </w:pPr>
            <w:proofErr w:type="spellStart"/>
            <w:r w:rsidRPr="001B07E2">
              <w:t>Abs</w:t>
            </w:r>
            <w:proofErr w:type="spellEnd"/>
          </w:p>
        </w:tc>
        <w:tc>
          <w:tcPr>
            <w:tcW w:w="7970" w:type="dxa"/>
          </w:tcPr>
          <w:p w:rsidR="00A11FFB" w:rsidRPr="001B07E2" w:rsidRDefault="00A11FFB" w:rsidP="00A40957">
            <w:pPr>
              <w:rPr>
                <w:rFonts w:eastAsiaTheme="majorEastAsia"/>
              </w:rPr>
            </w:pPr>
            <w:r w:rsidRPr="001B07E2">
              <w:rPr>
                <w:rFonts w:eastAsiaTheme="majorEastAsia"/>
              </w:rPr>
              <w:t>Absatz</w:t>
            </w:r>
          </w:p>
        </w:tc>
      </w:tr>
      <w:tr w:rsidR="00A11FFB" w:rsidRPr="001B07E2" w:rsidTr="00A40957">
        <w:tc>
          <w:tcPr>
            <w:tcW w:w="1242" w:type="dxa"/>
          </w:tcPr>
          <w:p w:rsidR="00A11FFB" w:rsidRPr="001B07E2" w:rsidRDefault="00A11FFB" w:rsidP="00A40957">
            <w:pPr>
              <w:ind w:left="708" w:hanging="708"/>
            </w:pPr>
            <w:r w:rsidRPr="001B07E2">
              <w:t>Art</w:t>
            </w:r>
          </w:p>
        </w:tc>
        <w:tc>
          <w:tcPr>
            <w:tcW w:w="7970" w:type="dxa"/>
          </w:tcPr>
          <w:p w:rsidR="00A11FFB" w:rsidRPr="001B07E2" w:rsidRDefault="00A11FFB" w:rsidP="00A40957">
            <w:pPr>
              <w:rPr>
                <w:rFonts w:eastAsiaTheme="majorEastAsia"/>
              </w:rPr>
            </w:pPr>
            <w:r w:rsidRPr="001B07E2">
              <w:rPr>
                <w:rFonts w:eastAsiaTheme="majorEastAsia"/>
              </w:rPr>
              <w:t>Artikel</w:t>
            </w:r>
          </w:p>
        </w:tc>
      </w:tr>
      <w:tr w:rsidR="00A11FFB" w:rsidRPr="001B07E2" w:rsidTr="00A40957">
        <w:tc>
          <w:tcPr>
            <w:tcW w:w="1242" w:type="dxa"/>
          </w:tcPr>
          <w:p w:rsidR="00A11FFB" w:rsidRPr="001B07E2" w:rsidRDefault="00A11FFB" w:rsidP="00A40957">
            <w:pPr>
              <w:ind w:left="708" w:hanging="708"/>
            </w:pPr>
            <w:r w:rsidRPr="001B07E2">
              <w:t>Artt</w:t>
            </w:r>
          </w:p>
        </w:tc>
        <w:tc>
          <w:tcPr>
            <w:tcW w:w="7970" w:type="dxa"/>
          </w:tcPr>
          <w:p w:rsidR="00A11FFB" w:rsidRPr="001B07E2" w:rsidRDefault="00A11FFB" w:rsidP="00A40957">
            <w:pPr>
              <w:rPr>
                <w:rFonts w:eastAsiaTheme="majorEastAsia"/>
              </w:rPr>
            </w:pPr>
            <w:r w:rsidRPr="001B07E2">
              <w:rPr>
                <w:rFonts w:eastAsiaTheme="majorEastAsia"/>
              </w:rPr>
              <w:t>Artikel (Mehrzahl)</w:t>
            </w:r>
          </w:p>
        </w:tc>
      </w:tr>
      <w:tr w:rsidR="00A11FFB" w:rsidRPr="001B07E2" w:rsidTr="0051779C">
        <w:tc>
          <w:tcPr>
            <w:tcW w:w="1242" w:type="dxa"/>
          </w:tcPr>
          <w:p w:rsidR="00A11FFB" w:rsidRPr="001B07E2" w:rsidRDefault="00A11FFB" w:rsidP="00A11FFB">
            <w:pPr>
              <w:ind w:left="708" w:hanging="708"/>
            </w:pPr>
            <w:r w:rsidRPr="001B07E2">
              <w:t>BCR</w:t>
            </w:r>
          </w:p>
        </w:tc>
        <w:tc>
          <w:tcPr>
            <w:tcW w:w="7970" w:type="dxa"/>
          </w:tcPr>
          <w:p w:rsidR="00A11FFB" w:rsidRPr="001B07E2" w:rsidRDefault="00A11FFB" w:rsidP="00A40957">
            <w:pPr>
              <w:rPr>
                <w:rFonts w:eastAsiaTheme="majorEastAsia"/>
              </w:rPr>
            </w:pPr>
            <w:r w:rsidRPr="001B07E2">
              <w:rPr>
                <w:rFonts w:eastAsiaTheme="majorEastAsia"/>
              </w:rPr>
              <w:t>Binding Corporate Rules</w:t>
            </w:r>
          </w:p>
        </w:tc>
      </w:tr>
      <w:tr w:rsidR="00A11FFB" w:rsidRPr="001B07E2" w:rsidTr="0051779C">
        <w:tc>
          <w:tcPr>
            <w:tcW w:w="1242" w:type="dxa"/>
          </w:tcPr>
          <w:p w:rsidR="00A11FFB" w:rsidRPr="001B07E2" w:rsidRDefault="00A11FFB" w:rsidP="00A40957">
            <w:pPr>
              <w:ind w:left="708" w:hanging="708"/>
            </w:pPr>
            <w:r w:rsidRPr="001B07E2">
              <w:t>bvitg</w:t>
            </w:r>
          </w:p>
        </w:tc>
        <w:tc>
          <w:tcPr>
            <w:tcW w:w="7970" w:type="dxa"/>
          </w:tcPr>
          <w:p w:rsidR="00A11FFB" w:rsidRPr="001B07E2" w:rsidRDefault="00A11FFB" w:rsidP="00A11FFB">
            <w:pPr>
              <w:rPr>
                <w:rFonts w:eastAsiaTheme="majorEastAsia"/>
              </w:rPr>
            </w:pPr>
            <w:r w:rsidRPr="001B07E2">
              <w:rPr>
                <w:rFonts w:eastAsiaTheme="majorEastAsia"/>
              </w:rPr>
              <w:t>Bundesverband Gesundheits-IT e.V.</w:t>
            </w:r>
          </w:p>
        </w:tc>
      </w:tr>
      <w:tr w:rsidR="00A11FFB" w:rsidRPr="001B07E2" w:rsidTr="0051779C">
        <w:tc>
          <w:tcPr>
            <w:tcW w:w="1242" w:type="dxa"/>
          </w:tcPr>
          <w:p w:rsidR="00A11FFB" w:rsidRPr="001B07E2" w:rsidRDefault="00A11FFB" w:rsidP="00A40957">
            <w:pPr>
              <w:ind w:left="708" w:hanging="708"/>
            </w:pPr>
            <w:r w:rsidRPr="001B07E2">
              <w:t>DSG</w:t>
            </w:r>
          </w:p>
        </w:tc>
        <w:tc>
          <w:tcPr>
            <w:tcW w:w="7970" w:type="dxa"/>
          </w:tcPr>
          <w:p w:rsidR="00A11FFB" w:rsidRPr="001B07E2" w:rsidRDefault="00A11FFB" w:rsidP="00A40957">
            <w:pPr>
              <w:rPr>
                <w:rFonts w:eastAsiaTheme="majorEastAsia"/>
              </w:rPr>
            </w:pPr>
            <w:r w:rsidRPr="001B07E2">
              <w:rPr>
                <w:rFonts w:eastAsiaTheme="majorEastAsia"/>
              </w:rPr>
              <w:t>Datenschutzgesetz</w:t>
            </w:r>
          </w:p>
        </w:tc>
      </w:tr>
      <w:tr w:rsidR="00A11FFB" w:rsidRPr="001B07E2" w:rsidTr="0051779C">
        <w:tc>
          <w:tcPr>
            <w:tcW w:w="1242" w:type="dxa"/>
          </w:tcPr>
          <w:p w:rsidR="00A11FFB" w:rsidRPr="001B07E2" w:rsidRDefault="00A11FFB" w:rsidP="00A40957">
            <w:pPr>
              <w:ind w:left="708" w:hanging="708"/>
              <w:rPr>
                <w:rFonts w:eastAsiaTheme="majorEastAsia"/>
              </w:rPr>
            </w:pPr>
            <w:r w:rsidRPr="001B07E2">
              <w:rPr>
                <w:rFonts w:eastAsiaTheme="majorEastAsia"/>
              </w:rPr>
              <w:t>DS-GVO</w:t>
            </w:r>
          </w:p>
        </w:tc>
        <w:tc>
          <w:tcPr>
            <w:tcW w:w="7970" w:type="dxa"/>
          </w:tcPr>
          <w:p w:rsidR="00A11FFB" w:rsidRPr="001B07E2" w:rsidRDefault="00A11FFB" w:rsidP="00A40957">
            <w:pPr>
              <w:rPr>
                <w:rFonts w:eastAsiaTheme="majorEastAsia"/>
              </w:rPr>
            </w:pPr>
            <w:r w:rsidRPr="001B07E2">
              <w:rPr>
                <w:rFonts w:eastAsiaTheme="majorEastAsia"/>
              </w:rPr>
              <w:t>Datenschutz-Grundverordnung</w:t>
            </w:r>
          </w:p>
        </w:tc>
      </w:tr>
      <w:tr w:rsidR="00A11FFB" w:rsidRPr="001B07E2" w:rsidTr="0051779C">
        <w:tc>
          <w:tcPr>
            <w:tcW w:w="1242" w:type="dxa"/>
          </w:tcPr>
          <w:p w:rsidR="00A11FFB" w:rsidRPr="001B07E2" w:rsidRDefault="00A11FFB" w:rsidP="00A40957">
            <w:pPr>
              <w:ind w:left="708" w:hanging="708"/>
            </w:pPr>
            <w:r w:rsidRPr="001B07E2">
              <w:t>ErwGr</w:t>
            </w:r>
          </w:p>
        </w:tc>
        <w:tc>
          <w:tcPr>
            <w:tcW w:w="7970" w:type="dxa"/>
          </w:tcPr>
          <w:p w:rsidR="00A11FFB" w:rsidRPr="001B07E2" w:rsidRDefault="00A11FFB" w:rsidP="00A40957">
            <w:r w:rsidRPr="001B07E2">
              <w:t>Erwägungsgrund/Erwägungsgründe</w:t>
            </w:r>
          </w:p>
        </w:tc>
      </w:tr>
      <w:tr w:rsidR="00A11FFB" w:rsidRPr="001B07E2" w:rsidTr="0051779C">
        <w:tc>
          <w:tcPr>
            <w:tcW w:w="1242" w:type="dxa"/>
          </w:tcPr>
          <w:p w:rsidR="00A11FFB" w:rsidRPr="001B07E2" w:rsidRDefault="00A11FFB" w:rsidP="00A40957">
            <w:r w:rsidRPr="001B07E2">
              <w:t>EU</w:t>
            </w:r>
          </w:p>
        </w:tc>
        <w:tc>
          <w:tcPr>
            <w:tcW w:w="7970" w:type="dxa"/>
          </w:tcPr>
          <w:p w:rsidR="00A11FFB" w:rsidRPr="001B07E2" w:rsidRDefault="00A11FFB" w:rsidP="00A40957">
            <w:r w:rsidRPr="001B07E2">
              <w:t>Europäische Union</w:t>
            </w:r>
          </w:p>
        </w:tc>
      </w:tr>
      <w:tr w:rsidR="00A11FFB" w:rsidRPr="001B07E2" w:rsidTr="0051779C">
        <w:tc>
          <w:tcPr>
            <w:tcW w:w="1242" w:type="dxa"/>
          </w:tcPr>
          <w:p w:rsidR="00A11FFB" w:rsidRPr="001B07E2" w:rsidRDefault="00A11FFB" w:rsidP="00A40957">
            <w:pPr>
              <w:ind w:left="708" w:hanging="708"/>
            </w:pPr>
            <w:r w:rsidRPr="001B07E2">
              <w:t>GDD</w:t>
            </w:r>
          </w:p>
        </w:tc>
        <w:tc>
          <w:tcPr>
            <w:tcW w:w="7970" w:type="dxa"/>
          </w:tcPr>
          <w:p w:rsidR="00A11FFB" w:rsidRPr="001B07E2" w:rsidRDefault="00A11FFB" w:rsidP="00A11FFB">
            <w:pPr>
              <w:rPr>
                <w:rFonts w:eastAsiaTheme="majorEastAsia"/>
              </w:rPr>
            </w:pPr>
            <w:r w:rsidRPr="001B07E2">
              <w:rPr>
                <w:rFonts w:eastAsiaTheme="majorEastAsia"/>
              </w:rPr>
              <w:t>Gesellschaft für Datenschutz und Datensicherheit e.V.</w:t>
            </w:r>
          </w:p>
        </w:tc>
      </w:tr>
      <w:tr w:rsidR="00A11FFB" w:rsidRPr="001B07E2" w:rsidTr="0051779C">
        <w:tc>
          <w:tcPr>
            <w:tcW w:w="1242" w:type="dxa"/>
          </w:tcPr>
          <w:p w:rsidR="00A11FFB" w:rsidRPr="001B07E2" w:rsidRDefault="00A11FFB" w:rsidP="00A40957">
            <w:pPr>
              <w:ind w:left="708" w:hanging="708"/>
            </w:pPr>
            <w:r w:rsidRPr="001B07E2">
              <w:t>GMDS</w:t>
            </w:r>
          </w:p>
        </w:tc>
        <w:tc>
          <w:tcPr>
            <w:tcW w:w="7970" w:type="dxa"/>
          </w:tcPr>
          <w:p w:rsidR="00A11FFB" w:rsidRPr="001B07E2" w:rsidRDefault="00A11FFB" w:rsidP="00A40957">
            <w:pPr>
              <w:rPr>
                <w:rFonts w:eastAsiaTheme="majorEastAsia"/>
              </w:rPr>
            </w:pPr>
            <w:r w:rsidRPr="001B07E2">
              <w:rPr>
                <w:rFonts w:eastAsiaTheme="majorEastAsia"/>
              </w:rPr>
              <w:t>Deutsche Gesellschaft für Medizinische Informatik, Biometrie und Epidemiologie e.V.</w:t>
            </w:r>
          </w:p>
        </w:tc>
      </w:tr>
      <w:tr w:rsidR="00A11FFB" w:rsidRPr="001B07E2" w:rsidTr="0051779C">
        <w:tc>
          <w:tcPr>
            <w:tcW w:w="1242" w:type="dxa"/>
          </w:tcPr>
          <w:p w:rsidR="00A11FFB" w:rsidRPr="001B07E2" w:rsidRDefault="00A11FFB" w:rsidP="00A40957">
            <w:pPr>
              <w:ind w:left="708" w:hanging="708"/>
            </w:pPr>
            <w:r w:rsidRPr="001B07E2">
              <w:t>IT</w:t>
            </w:r>
          </w:p>
        </w:tc>
        <w:tc>
          <w:tcPr>
            <w:tcW w:w="7970" w:type="dxa"/>
          </w:tcPr>
          <w:p w:rsidR="00A11FFB" w:rsidRPr="001B07E2" w:rsidRDefault="00A11FFB" w:rsidP="00A40957">
            <w:r w:rsidRPr="001B07E2">
              <w:t>Informationstechnik, informationstechnisches…</w:t>
            </w:r>
          </w:p>
        </w:tc>
      </w:tr>
      <w:tr w:rsidR="00A11FFB" w:rsidRPr="001B07E2" w:rsidTr="0051779C">
        <w:tc>
          <w:tcPr>
            <w:tcW w:w="1242" w:type="dxa"/>
          </w:tcPr>
          <w:p w:rsidR="00A11FFB" w:rsidRPr="001B07E2" w:rsidRDefault="00A11FFB" w:rsidP="00A40957">
            <w:pPr>
              <w:ind w:left="708" w:hanging="708"/>
            </w:pPr>
            <w:r w:rsidRPr="001B07E2">
              <w:t>Kap</w:t>
            </w:r>
          </w:p>
        </w:tc>
        <w:tc>
          <w:tcPr>
            <w:tcW w:w="7970" w:type="dxa"/>
          </w:tcPr>
          <w:p w:rsidR="00A11FFB" w:rsidRPr="001B07E2" w:rsidRDefault="00A11FFB" w:rsidP="00A40957">
            <w:pPr>
              <w:rPr>
                <w:rFonts w:eastAsiaTheme="majorEastAsia"/>
              </w:rPr>
            </w:pPr>
            <w:r w:rsidRPr="001B07E2">
              <w:rPr>
                <w:rFonts w:eastAsiaTheme="majorEastAsia"/>
              </w:rPr>
              <w:t>Kapitel</w:t>
            </w:r>
          </w:p>
        </w:tc>
      </w:tr>
      <w:tr w:rsidR="00A11FFB" w:rsidRPr="001B07E2" w:rsidTr="0051779C">
        <w:tc>
          <w:tcPr>
            <w:tcW w:w="1242" w:type="dxa"/>
          </w:tcPr>
          <w:p w:rsidR="00A11FFB" w:rsidRPr="001B07E2" w:rsidRDefault="00A11FFB" w:rsidP="00A40957">
            <w:pPr>
              <w:ind w:left="708" w:hanging="708"/>
            </w:pPr>
            <w:r w:rsidRPr="001B07E2">
              <w:t>lit</w:t>
            </w:r>
          </w:p>
        </w:tc>
        <w:tc>
          <w:tcPr>
            <w:tcW w:w="7970" w:type="dxa"/>
          </w:tcPr>
          <w:p w:rsidR="00A11FFB" w:rsidRPr="001B07E2" w:rsidRDefault="00A11FFB" w:rsidP="00A40957">
            <w:pPr>
              <w:rPr>
                <w:rFonts w:eastAsiaTheme="majorEastAsia"/>
              </w:rPr>
            </w:pPr>
            <w:proofErr w:type="spellStart"/>
            <w:r w:rsidRPr="001B07E2">
              <w:rPr>
                <w:rFonts w:eastAsiaTheme="majorEastAsia"/>
              </w:rPr>
              <w:t>littera</w:t>
            </w:r>
            <w:proofErr w:type="spellEnd"/>
            <w:r w:rsidRPr="001B07E2">
              <w:rPr>
                <w:rFonts w:eastAsiaTheme="majorEastAsia"/>
              </w:rPr>
              <w:t xml:space="preserve"> (lat. „Buchstabe“)</w:t>
            </w:r>
          </w:p>
        </w:tc>
      </w:tr>
      <w:tr w:rsidR="00A11FFB" w:rsidRPr="001B07E2" w:rsidTr="0051779C">
        <w:tc>
          <w:tcPr>
            <w:tcW w:w="1242" w:type="dxa"/>
          </w:tcPr>
          <w:p w:rsidR="00A11FFB" w:rsidRPr="001B07E2" w:rsidRDefault="00A11FFB" w:rsidP="00A40957">
            <w:pPr>
              <w:ind w:left="708" w:hanging="708"/>
            </w:pPr>
            <w:r w:rsidRPr="001B07E2">
              <w:t>RL</w:t>
            </w:r>
          </w:p>
        </w:tc>
        <w:tc>
          <w:tcPr>
            <w:tcW w:w="7970" w:type="dxa"/>
          </w:tcPr>
          <w:p w:rsidR="00A11FFB" w:rsidRPr="001B07E2" w:rsidRDefault="00A11FFB" w:rsidP="00A40957">
            <w:pPr>
              <w:rPr>
                <w:rFonts w:eastAsiaTheme="majorEastAsia"/>
              </w:rPr>
            </w:pPr>
            <w:r w:rsidRPr="001B07E2">
              <w:rPr>
                <w:rFonts w:eastAsiaTheme="majorEastAsia"/>
              </w:rPr>
              <w:t>Richtlinie</w:t>
            </w:r>
          </w:p>
        </w:tc>
      </w:tr>
      <w:tr w:rsidR="00A11FFB" w:rsidRPr="001B07E2" w:rsidTr="0051779C">
        <w:tc>
          <w:tcPr>
            <w:tcW w:w="1242" w:type="dxa"/>
          </w:tcPr>
          <w:p w:rsidR="00A11FFB" w:rsidRPr="001B07E2" w:rsidRDefault="00A11FFB" w:rsidP="00A11FFB">
            <w:pPr>
              <w:ind w:left="708" w:hanging="708"/>
            </w:pPr>
            <w:proofErr w:type="spellStart"/>
            <w:r w:rsidRPr="001B07E2">
              <w:t>Ziff</w:t>
            </w:r>
            <w:proofErr w:type="spellEnd"/>
          </w:p>
        </w:tc>
        <w:tc>
          <w:tcPr>
            <w:tcW w:w="7970" w:type="dxa"/>
          </w:tcPr>
          <w:p w:rsidR="00A11FFB" w:rsidRPr="001B07E2" w:rsidRDefault="00A11FFB" w:rsidP="00A40957">
            <w:pPr>
              <w:rPr>
                <w:rFonts w:eastAsiaTheme="majorEastAsia"/>
              </w:rPr>
            </w:pPr>
            <w:r w:rsidRPr="001B07E2">
              <w:rPr>
                <w:rFonts w:eastAsiaTheme="majorEastAsia"/>
              </w:rPr>
              <w:t>Ziffer</w:t>
            </w:r>
          </w:p>
        </w:tc>
      </w:tr>
    </w:tbl>
    <w:p w:rsidR="0051779C" w:rsidRPr="001B07E2" w:rsidRDefault="0051779C" w:rsidP="00B8254E"/>
    <w:p w:rsidR="00DB4DC9" w:rsidRPr="001B07E2" w:rsidRDefault="00DB4DC9">
      <w:pPr>
        <w:jc w:val="left"/>
        <w:rPr>
          <w:rFonts w:asciiTheme="majorHAnsi" w:eastAsiaTheme="majorEastAsia" w:hAnsiTheme="majorHAnsi" w:cstheme="majorBidi"/>
          <w:b/>
          <w:bCs/>
          <w:color w:val="365F91" w:themeColor="accent1" w:themeShade="BF"/>
          <w:sz w:val="28"/>
          <w:szCs w:val="28"/>
        </w:rPr>
      </w:pPr>
      <w:r w:rsidRPr="001B07E2">
        <w:br w:type="page"/>
      </w:r>
    </w:p>
    <w:p w:rsidR="0051779C" w:rsidRPr="001B07E2" w:rsidRDefault="0051779C" w:rsidP="0051779C">
      <w:pPr>
        <w:pStyle w:val="berschrift1"/>
      </w:pPr>
      <w:bookmarkStart w:id="126" w:name="_Toc514832505"/>
      <w:r w:rsidRPr="001B07E2">
        <w:lastRenderedPageBreak/>
        <w:t>Literatur</w:t>
      </w:r>
      <w:bookmarkEnd w:id="126"/>
    </w:p>
    <w:p w:rsidR="0051779C" w:rsidRPr="001B07E2" w:rsidRDefault="0051779C" w:rsidP="0051779C">
      <w:pPr>
        <w:pStyle w:val="berschrift2"/>
      </w:pPr>
      <w:bookmarkStart w:id="127" w:name="_Toc514832506"/>
      <w:r w:rsidRPr="001B07E2">
        <w:t>Fachzeitschriften</w:t>
      </w:r>
      <w:bookmarkEnd w:id="127"/>
    </w:p>
    <w:p w:rsidR="0051779C" w:rsidRPr="001B07E2" w:rsidRDefault="0051779C" w:rsidP="00C94108">
      <w:pPr>
        <w:pStyle w:val="Listenabsatz"/>
        <w:numPr>
          <w:ilvl w:val="0"/>
          <w:numId w:val="10"/>
        </w:numPr>
        <w:jc w:val="left"/>
      </w:pPr>
      <w:proofErr w:type="spellStart"/>
      <w:r w:rsidRPr="001B07E2">
        <w:t>Aldeen</w:t>
      </w:r>
      <w:proofErr w:type="spellEnd"/>
      <w:r w:rsidRPr="001B07E2">
        <w:t xml:space="preserve"> YAAS, </w:t>
      </w:r>
      <w:proofErr w:type="spellStart"/>
      <w:r w:rsidRPr="001B07E2">
        <w:t>Salleh</w:t>
      </w:r>
      <w:proofErr w:type="spellEnd"/>
      <w:r w:rsidRPr="001B07E2">
        <w:t xml:space="preserve"> M, </w:t>
      </w:r>
      <w:proofErr w:type="spellStart"/>
      <w:r w:rsidRPr="001B07E2">
        <w:t>Razzaque</w:t>
      </w:r>
      <w:proofErr w:type="spellEnd"/>
      <w:r w:rsidRPr="001B07E2">
        <w:t xml:space="preserve"> MA. (2015) A </w:t>
      </w:r>
      <w:proofErr w:type="spellStart"/>
      <w:r w:rsidRPr="001B07E2">
        <w:t>comprehensive</w:t>
      </w:r>
      <w:proofErr w:type="spellEnd"/>
      <w:r w:rsidRPr="001B07E2">
        <w:t xml:space="preserve"> </w:t>
      </w:r>
      <w:proofErr w:type="spellStart"/>
      <w:r w:rsidRPr="001B07E2">
        <w:t>review</w:t>
      </w:r>
      <w:proofErr w:type="spellEnd"/>
      <w:r w:rsidRPr="001B07E2">
        <w:t xml:space="preserve"> on </w:t>
      </w:r>
      <w:proofErr w:type="spellStart"/>
      <w:r w:rsidRPr="001B07E2">
        <w:t>privacy</w:t>
      </w:r>
      <w:proofErr w:type="spellEnd"/>
      <w:r w:rsidRPr="001B07E2">
        <w:t xml:space="preserve"> </w:t>
      </w:r>
      <w:proofErr w:type="spellStart"/>
      <w:r w:rsidRPr="001B07E2">
        <w:t>preserving</w:t>
      </w:r>
      <w:proofErr w:type="spellEnd"/>
      <w:r w:rsidRPr="001B07E2">
        <w:t xml:space="preserve"> </w:t>
      </w:r>
      <w:proofErr w:type="spellStart"/>
      <w:r w:rsidRPr="001B07E2">
        <w:t>data</w:t>
      </w:r>
      <w:proofErr w:type="spellEnd"/>
      <w:r w:rsidRPr="001B07E2">
        <w:t xml:space="preserve"> </w:t>
      </w:r>
      <w:proofErr w:type="spellStart"/>
      <w:r w:rsidRPr="001B07E2">
        <w:t>mining</w:t>
      </w:r>
      <w:proofErr w:type="spellEnd"/>
      <w:r w:rsidRPr="001B07E2">
        <w:t xml:space="preserve">. </w:t>
      </w:r>
      <w:proofErr w:type="spellStart"/>
      <w:r w:rsidRPr="001B07E2">
        <w:t>SpringerPlus</w:t>
      </w:r>
      <w:proofErr w:type="spellEnd"/>
      <w:r w:rsidRPr="001B07E2">
        <w:t xml:space="preserve"> (4): 694-730</w:t>
      </w:r>
    </w:p>
    <w:p w:rsidR="0051779C" w:rsidRPr="001B07E2" w:rsidRDefault="0051779C" w:rsidP="00C94108">
      <w:pPr>
        <w:pStyle w:val="Listenabsatz"/>
        <w:numPr>
          <w:ilvl w:val="0"/>
          <w:numId w:val="10"/>
        </w:numPr>
        <w:jc w:val="left"/>
      </w:pPr>
      <w:r w:rsidRPr="001B07E2">
        <w:t xml:space="preserve">Baumgartner U, </w:t>
      </w:r>
      <w:proofErr w:type="spellStart"/>
      <w:r w:rsidRPr="001B07E2">
        <w:t>Gausling</w:t>
      </w:r>
      <w:proofErr w:type="spellEnd"/>
      <w:r w:rsidRPr="001B07E2">
        <w:t xml:space="preserve"> T. (2017) Datenschutz durch Technikgestaltung und datenschutzfreundliche Voreinstellungen. ZD: 308-313</w:t>
      </w:r>
    </w:p>
    <w:p w:rsidR="0051779C" w:rsidRPr="001B07E2" w:rsidRDefault="0051779C" w:rsidP="00C94108">
      <w:pPr>
        <w:pStyle w:val="Listenabsatz"/>
        <w:numPr>
          <w:ilvl w:val="0"/>
          <w:numId w:val="10"/>
        </w:numPr>
        <w:jc w:val="left"/>
      </w:pPr>
      <w:proofErr w:type="spellStart"/>
      <w:r w:rsidRPr="001B07E2">
        <w:t>Bieker</w:t>
      </w:r>
      <w:proofErr w:type="spellEnd"/>
      <w:r w:rsidRPr="001B07E2">
        <w:t xml:space="preserve"> F, Hansen M. (2017) Datenschutz "</w:t>
      </w:r>
      <w:proofErr w:type="spellStart"/>
      <w:r w:rsidRPr="001B07E2">
        <w:t>by</w:t>
      </w:r>
      <w:proofErr w:type="spellEnd"/>
      <w:r w:rsidRPr="001B07E2">
        <w:t xml:space="preserve"> Design" und "</w:t>
      </w:r>
      <w:proofErr w:type="spellStart"/>
      <w:r w:rsidRPr="001B07E2">
        <w:t>by</w:t>
      </w:r>
      <w:proofErr w:type="spellEnd"/>
      <w:r w:rsidRPr="001B07E2">
        <w:t xml:space="preserve"> Default" nach der neuen europäischen Datenschutz-Grundverordnung. RDV: 165-170</w:t>
      </w:r>
    </w:p>
    <w:p w:rsidR="0091762C" w:rsidRPr="001B07E2" w:rsidRDefault="0091762C" w:rsidP="00C94108">
      <w:pPr>
        <w:pStyle w:val="Listenabsatz"/>
        <w:numPr>
          <w:ilvl w:val="0"/>
          <w:numId w:val="10"/>
        </w:numPr>
        <w:jc w:val="left"/>
      </w:pPr>
      <w:proofErr w:type="spellStart"/>
      <w:r w:rsidRPr="001B07E2">
        <w:t>Cavoukian</w:t>
      </w:r>
      <w:proofErr w:type="spellEnd"/>
      <w:r w:rsidRPr="001B07E2">
        <w:t xml:space="preserve"> A. (2010) Privacy </w:t>
      </w:r>
      <w:proofErr w:type="spellStart"/>
      <w:r w:rsidRPr="001B07E2">
        <w:t>by</w:t>
      </w:r>
      <w:proofErr w:type="spellEnd"/>
      <w:r w:rsidRPr="001B07E2">
        <w:t xml:space="preserve"> design: </w:t>
      </w:r>
      <w:proofErr w:type="spellStart"/>
      <w:r w:rsidRPr="001B07E2">
        <w:t>the</w:t>
      </w:r>
      <w:proofErr w:type="spellEnd"/>
      <w:r w:rsidRPr="001B07E2">
        <w:t xml:space="preserve"> definitive </w:t>
      </w:r>
      <w:proofErr w:type="spellStart"/>
      <w:r w:rsidRPr="001B07E2">
        <w:t>workshop</w:t>
      </w:r>
      <w:proofErr w:type="spellEnd"/>
      <w:r w:rsidRPr="001B07E2">
        <w:t xml:space="preserve">. A </w:t>
      </w:r>
      <w:proofErr w:type="spellStart"/>
      <w:r w:rsidRPr="001B07E2">
        <w:t>foreword</w:t>
      </w:r>
      <w:proofErr w:type="spellEnd"/>
      <w:r w:rsidRPr="001B07E2">
        <w:t xml:space="preserve"> </w:t>
      </w:r>
      <w:proofErr w:type="spellStart"/>
      <w:r w:rsidRPr="001B07E2">
        <w:t>by</w:t>
      </w:r>
      <w:proofErr w:type="spellEnd"/>
      <w:r w:rsidRPr="001B07E2">
        <w:t xml:space="preserve"> Ann </w:t>
      </w:r>
      <w:proofErr w:type="spellStart"/>
      <w:r w:rsidRPr="001B07E2">
        <w:t>Cavoukian</w:t>
      </w:r>
      <w:proofErr w:type="spellEnd"/>
      <w:r w:rsidRPr="001B07E2">
        <w:t xml:space="preserve">, </w:t>
      </w:r>
      <w:proofErr w:type="spellStart"/>
      <w:r w:rsidRPr="001B07E2">
        <w:t>Ph.D</w:t>
      </w:r>
      <w:proofErr w:type="spellEnd"/>
      <w:r w:rsidRPr="001B07E2">
        <w:t>. IDIS (3): 247–251</w:t>
      </w:r>
    </w:p>
    <w:p w:rsidR="0091762C" w:rsidRPr="001B07E2" w:rsidRDefault="0091762C" w:rsidP="00C94108">
      <w:pPr>
        <w:pStyle w:val="Listenabsatz"/>
        <w:numPr>
          <w:ilvl w:val="0"/>
          <w:numId w:val="10"/>
        </w:numPr>
        <w:jc w:val="left"/>
      </w:pPr>
      <w:proofErr w:type="spellStart"/>
      <w:r w:rsidRPr="001B07E2">
        <w:t>Cavoukian</w:t>
      </w:r>
      <w:proofErr w:type="spellEnd"/>
      <w:r w:rsidRPr="001B07E2">
        <w:t xml:space="preserve"> A, Taylor S, Abrams ME. (2010) Privacy </w:t>
      </w:r>
      <w:proofErr w:type="spellStart"/>
      <w:r w:rsidRPr="001B07E2">
        <w:t>by</w:t>
      </w:r>
      <w:proofErr w:type="spellEnd"/>
      <w:r w:rsidRPr="001B07E2">
        <w:t xml:space="preserve"> Design: essential </w:t>
      </w:r>
      <w:proofErr w:type="spellStart"/>
      <w:r w:rsidRPr="001B07E2">
        <w:t>for</w:t>
      </w:r>
      <w:proofErr w:type="spellEnd"/>
      <w:r w:rsidRPr="001B07E2">
        <w:t xml:space="preserve"> </w:t>
      </w:r>
      <w:proofErr w:type="spellStart"/>
      <w:r w:rsidRPr="001B07E2">
        <w:t>organizational</w:t>
      </w:r>
      <w:proofErr w:type="spellEnd"/>
      <w:r w:rsidRPr="001B07E2">
        <w:t xml:space="preserve"> </w:t>
      </w:r>
      <w:proofErr w:type="spellStart"/>
      <w:r w:rsidRPr="001B07E2">
        <w:t>accountability</w:t>
      </w:r>
      <w:proofErr w:type="spellEnd"/>
      <w:r w:rsidRPr="001B07E2">
        <w:t xml:space="preserve"> </w:t>
      </w:r>
      <w:proofErr w:type="spellStart"/>
      <w:r w:rsidRPr="001B07E2">
        <w:t>and</w:t>
      </w:r>
      <w:proofErr w:type="spellEnd"/>
      <w:r w:rsidRPr="001B07E2">
        <w:t xml:space="preserve"> strong </w:t>
      </w:r>
      <w:proofErr w:type="spellStart"/>
      <w:r w:rsidRPr="001B07E2">
        <w:t>business</w:t>
      </w:r>
      <w:proofErr w:type="spellEnd"/>
      <w:r w:rsidRPr="001B07E2">
        <w:t xml:space="preserve"> </w:t>
      </w:r>
      <w:proofErr w:type="spellStart"/>
      <w:r w:rsidRPr="001B07E2">
        <w:t>practices</w:t>
      </w:r>
      <w:proofErr w:type="spellEnd"/>
      <w:r w:rsidRPr="001B07E2">
        <w:t>. IDIS (3): 405–413</w:t>
      </w:r>
    </w:p>
    <w:p w:rsidR="0091762C" w:rsidRPr="001B07E2" w:rsidRDefault="0091762C" w:rsidP="00C94108">
      <w:pPr>
        <w:pStyle w:val="Listenabsatz"/>
        <w:numPr>
          <w:ilvl w:val="0"/>
          <w:numId w:val="10"/>
        </w:numPr>
        <w:jc w:val="left"/>
      </w:pPr>
      <w:r w:rsidRPr="001B07E2">
        <w:t xml:space="preserve">David JS, </w:t>
      </w:r>
      <w:proofErr w:type="spellStart"/>
      <w:r w:rsidRPr="001B07E2">
        <w:t>Prosch</w:t>
      </w:r>
      <w:proofErr w:type="spellEnd"/>
      <w:r w:rsidRPr="001B07E2">
        <w:t xml:space="preserve"> M. (2010) </w:t>
      </w:r>
      <w:proofErr w:type="spellStart"/>
      <w:r w:rsidRPr="001B07E2">
        <w:t>Extending</w:t>
      </w:r>
      <w:proofErr w:type="spellEnd"/>
      <w:r w:rsidRPr="001B07E2">
        <w:t xml:space="preserve"> </w:t>
      </w:r>
      <w:proofErr w:type="spellStart"/>
      <w:r w:rsidRPr="001B07E2">
        <w:t>the</w:t>
      </w:r>
      <w:proofErr w:type="spellEnd"/>
      <w:r w:rsidRPr="001B07E2">
        <w:t xml:space="preserve"> </w:t>
      </w:r>
      <w:proofErr w:type="spellStart"/>
      <w:r w:rsidRPr="001B07E2">
        <w:t>value</w:t>
      </w:r>
      <w:proofErr w:type="spellEnd"/>
      <w:r w:rsidRPr="001B07E2">
        <w:t xml:space="preserve"> </w:t>
      </w:r>
      <w:proofErr w:type="spellStart"/>
      <w:r w:rsidRPr="001B07E2">
        <w:t>chain</w:t>
      </w:r>
      <w:proofErr w:type="spellEnd"/>
      <w:r w:rsidRPr="001B07E2">
        <w:t xml:space="preserve"> </w:t>
      </w:r>
      <w:proofErr w:type="spellStart"/>
      <w:r w:rsidRPr="001B07E2">
        <w:t>to</w:t>
      </w:r>
      <w:proofErr w:type="spellEnd"/>
      <w:r w:rsidRPr="001B07E2">
        <w:t xml:space="preserve"> </w:t>
      </w:r>
      <w:proofErr w:type="spellStart"/>
      <w:r w:rsidRPr="001B07E2">
        <w:t>incorporate</w:t>
      </w:r>
      <w:proofErr w:type="spellEnd"/>
      <w:r w:rsidRPr="001B07E2">
        <w:t xml:space="preserve"> </w:t>
      </w:r>
      <w:proofErr w:type="spellStart"/>
      <w:r w:rsidRPr="001B07E2">
        <w:t>privacy</w:t>
      </w:r>
      <w:proofErr w:type="spellEnd"/>
      <w:r w:rsidRPr="001B07E2">
        <w:t xml:space="preserve"> </w:t>
      </w:r>
      <w:proofErr w:type="spellStart"/>
      <w:r w:rsidRPr="001B07E2">
        <w:t>by</w:t>
      </w:r>
      <w:proofErr w:type="spellEnd"/>
      <w:r w:rsidRPr="001B07E2">
        <w:t xml:space="preserve"> design </w:t>
      </w:r>
      <w:proofErr w:type="spellStart"/>
      <w:r w:rsidRPr="001B07E2">
        <w:t>principles</w:t>
      </w:r>
      <w:proofErr w:type="spellEnd"/>
      <w:r w:rsidRPr="001B07E2">
        <w:t>. IDIS (3): 295–318</w:t>
      </w:r>
    </w:p>
    <w:p w:rsidR="00B10FE8" w:rsidRPr="001B07E2" w:rsidRDefault="00B10FE8" w:rsidP="00C94108">
      <w:pPr>
        <w:pStyle w:val="Listenabsatz"/>
        <w:numPr>
          <w:ilvl w:val="0"/>
          <w:numId w:val="10"/>
        </w:numPr>
        <w:jc w:val="left"/>
      </w:pPr>
      <w:r w:rsidRPr="001B07E2">
        <w:t xml:space="preserve">Hansen M. (2011) Top 10 </w:t>
      </w:r>
      <w:proofErr w:type="spellStart"/>
      <w:r w:rsidRPr="001B07E2">
        <w:t>Mistakes</w:t>
      </w:r>
      <w:proofErr w:type="spellEnd"/>
      <w:r w:rsidRPr="001B07E2">
        <w:t xml:space="preserve"> in System Design </w:t>
      </w:r>
      <w:proofErr w:type="spellStart"/>
      <w:r w:rsidRPr="001B07E2">
        <w:t>from</w:t>
      </w:r>
      <w:proofErr w:type="spellEnd"/>
      <w:r w:rsidRPr="001B07E2">
        <w:t xml:space="preserve"> a Privacy </w:t>
      </w:r>
      <w:proofErr w:type="spellStart"/>
      <w:r w:rsidRPr="001B07E2">
        <w:t>Perspective</w:t>
      </w:r>
      <w:proofErr w:type="spellEnd"/>
      <w:r w:rsidRPr="001B07E2">
        <w:t xml:space="preserve"> </w:t>
      </w:r>
      <w:proofErr w:type="spellStart"/>
      <w:r w:rsidRPr="001B07E2">
        <w:t>and</w:t>
      </w:r>
      <w:proofErr w:type="spellEnd"/>
      <w:r w:rsidRPr="001B07E2">
        <w:t xml:space="preserve"> Privacy </w:t>
      </w:r>
      <w:proofErr w:type="spellStart"/>
      <w:r w:rsidRPr="001B07E2">
        <w:t>Protection</w:t>
      </w:r>
      <w:proofErr w:type="spellEnd"/>
      <w:r w:rsidRPr="001B07E2">
        <w:t xml:space="preserve"> Goals. IFIP AICT (375): 14–31</w:t>
      </w:r>
    </w:p>
    <w:p w:rsidR="00180951" w:rsidRPr="001B07E2" w:rsidRDefault="00180951" w:rsidP="00C94108">
      <w:pPr>
        <w:pStyle w:val="Listenabsatz"/>
        <w:numPr>
          <w:ilvl w:val="0"/>
          <w:numId w:val="10"/>
        </w:numPr>
        <w:jc w:val="left"/>
      </w:pPr>
      <w:r w:rsidRPr="001B07E2">
        <w:t xml:space="preserve">Hansen M. (2013) Data </w:t>
      </w:r>
      <w:proofErr w:type="spellStart"/>
      <w:r w:rsidRPr="001B07E2">
        <w:t>Protection</w:t>
      </w:r>
      <w:proofErr w:type="spellEnd"/>
      <w:r w:rsidRPr="001B07E2">
        <w:t xml:space="preserve"> </w:t>
      </w:r>
      <w:proofErr w:type="spellStart"/>
      <w:r w:rsidRPr="001B07E2">
        <w:t>by</w:t>
      </w:r>
      <w:proofErr w:type="spellEnd"/>
      <w:r w:rsidRPr="001B07E2">
        <w:t xml:space="preserve"> Default in Identity-</w:t>
      </w:r>
      <w:proofErr w:type="spellStart"/>
      <w:r w:rsidRPr="001B07E2">
        <w:t>Related</w:t>
      </w:r>
      <w:proofErr w:type="spellEnd"/>
      <w:r w:rsidRPr="001B07E2">
        <w:t xml:space="preserve"> </w:t>
      </w:r>
      <w:proofErr w:type="spellStart"/>
      <w:r w:rsidRPr="001B07E2">
        <w:t>Applications</w:t>
      </w:r>
      <w:proofErr w:type="spellEnd"/>
      <w:r w:rsidRPr="001B07E2">
        <w:t xml:space="preserve">. IFIP AICT </w:t>
      </w:r>
      <w:r w:rsidR="00B10FE8" w:rsidRPr="001B07E2">
        <w:t>(</w:t>
      </w:r>
      <w:r w:rsidRPr="001B07E2">
        <w:t>396</w:t>
      </w:r>
      <w:r w:rsidR="00B10FE8" w:rsidRPr="001B07E2">
        <w:t>)</w:t>
      </w:r>
      <w:r w:rsidRPr="001B07E2">
        <w:t>: 4–17</w:t>
      </w:r>
    </w:p>
    <w:p w:rsidR="0091762C" w:rsidRPr="001B07E2" w:rsidRDefault="0091762C" w:rsidP="00C94108">
      <w:pPr>
        <w:pStyle w:val="Listenabsatz"/>
        <w:numPr>
          <w:ilvl w:val="0"/>
          <w:numId w:val="10"/>
        </w:numPr>
        <w:jc w:val="left"/>
      </w:pPr>
      <w:proofErr w:type="spellStart"/>
      <w:r w:rsidRPr="001B07E2">
        <w:t>Hustinx</w:t>
      </w:r>
      <w:proofErr w:type="spellEnd"/>
      <w:r w:rsidRPr="001B07E2">
        <w:t xml:space="preserve"> P. (2010) Privacy </w:t>
      </w:r>
      <w:proofErr w:type="spellStart"/>
      <w:r w:rsidRPr="001B07E2">
        <w:t>by</w:t>
      </w:r>
      <w:proofErr w:type="spellEnd"/>
      <w:r w:rsidRPr="001B07E2">
        <w:t xml:space="preserve"> design: </w:t>
      </w:r>
      <w:proofErr w:type="spellStart"/>
      <w:r w:rsidRPr="001B07E2">
        <w:t>delivering</w:t>
      </w:r>
      <w:proofErr w:type="spellEnd"/>
      <w:r w:rsidRPr="001B07E2">
        <w:t xml:space="preserve"> </w:t>
      </w:r>
      <w:proofErr w:type="spellStart"/>
      <w:r w:rsidRPr="001B07E2">
        <w:t>the</w:t>
      </w:r>
      <w:proofErr w:type="spellEnd"/>
      <w:r w:rsidRPr="001B07E2">
        <w:t xml:space="preserve"> </w:t>
      </w:r>
      <w:proofErr w:type="spellStart"/>
      <w:r w:rsidRPr="001B07E2">
        <w:t>promises</w:t>
      </w:r>
      <w:proofErr w:type="spellEnd"/>
      <w:r w:rsidRPr="001B07E2">
        <w:t>. IDIS (3): 253–255</w:t>
      </w:r>
    </w:p>
    <w:p w:rsidR="00180951" w:rsidRPr="001B07E2" w:rsidRDefault="00180951" w:rsidP="00C94108">
      <w:pPr>
        <w:pStyle w:val="Listenabsatz"/>
        <w:numPr>
          <w:ilvl w:val="0"/>
          <w:numId w:val="10"/>
        </w:numPr>
        <w:jc w:val="left"/>
      </w:pPr>
      <w:proofErr w:type="spellStart"/>
      <w:r w:rsidRPr="001B07E2">
        <w:t>Jandt</w:t>
      </w:r>
      <w:proofErr w:type="spellEnd"/>
      <w:r w:rsidRPr="001B07E2">
        <w:t xml:space="preserve"> S. (2017) Datenschutz durch Technik in der DS-GVO. </w:t>
      </w:r>
      <w:proofErr w:type="spellStart"/>
      <w:r w:rsidRPr="001B07E2">
        <w:t>DuD</w:t>
      </w:r>
      <w:proofErr w:type="spellEnd"/>
      <w:r w:rsidRPr="001B07E2">
        <w:t>: 562-566</w:t>
      </w:r>
    </w:p>
    <w:p w:rsidR="0091762C" w:rsidRPr="001B07E2" w:rsidRDefault="0091762C" w:rsidP="00C94108">
      <w:pPr>
        <w:pStyle w:val="Listenabsatz"/>
        <w:numPr>
          <w:ilvl w:val="0"/>
          <w:numId w:val="10"/>
        </w:numPr>
        <w:jc w:val="left"/>
      </w:pPr>
      <w:proofErr w:type="spellStart"/>
      <w:r w:rsidRPr="001B07E2">
        <w:t>Nordgren</w:t>
      </w:r>
      <w:proofErr w:type="spellEnd"/>
      <w:r w:rsidRPr="001B07E2">
        <w:t xml:space="preserve"> A. (2015) Privacy </w:t>
      </w:r>
      <w:proofErr w:type="spellStart"/>
      <w:r w:rsidRPr="001B07E2">
        <w:t>by</w:t>
      </w:r>
      <w:proofErr w:type="spellEnd"/>
      <w:r w:rsidRPr="001B07E2">
        <w:t xml:space="preserve"> Design in Personal </w:t>
      </w:r>
      <w:proofErr w:type="spellStart"/>
      <w:r w:rsidRPr="001B07E2">
        <w:t>Health</w:t>
      </w:r>
      <w:proofErr w:type="spellEnd"/>
      <w:r w:rsidRPr="001B07E2">
        <w:t xml:space="preserve"> Monitoring. </w:t>
      </w:r>
      <w:proofErr w:type="spellStart"/>
      <w:r w:rsidRPr="001B07E2">
        <w:t>Health</w:t>
      </w:r>
      <w:proofErr w:type="spellEnd"/>
      <w:r w:rsidRPr="001B07E2">
        <w:t xml:space="preserve"> Care Anal (23): 148–164</w:t>
      </w:r>
    </w:p>
    <w:p w:rsidR="0091762C" w:rsidRPr="001B07E2" w:rsidRDefault="0091762C" w:rsidP="00C94108">
      <w:pPr>
        <w:pStyle w:val="Listenabsatz"/>
        <w:numPr>
          <w:ilvl w:val="0"/>
          <w:numId w:val="10"/>
        </w:numPr>
        <w:jc w:val="left"/>
      </w:pPr>
      <w:r w:rsidRPr="001B07E2">
        <w:t xml:space="preserve">Ochs C, Richter P, Uhlmann, M. (2016) Technikgestaltung demokratisieren – Partizipatives Privacy </w:t>
      </w:r>
      <w:proofErr w:type="spellStart"/>
      <w:r w:rsidRPr="001B07E2">
        <w:t>by</w:t>
      </w:r>
      <w:proofErr w:type="spellEnd"/>
      <w:r w:rsidRPr="001B07E2">
        <w:t xml:space="preserve"> Design. ZD-Aktuell</w:t>
      </w:r>
      <w:r w:rsidR="00B10FE8" w:rsidRPr="001B07E2">
        <w:t>: 05424</w:t>
      </w:r>
    </w:p>
    <w:p w:rsidR="0051779C" w:rsidRPr="001B07E2" w:rsidRDefault="0051779C" w:rsidP="00C94108">
      <w:pPr>
        <w:pStyle w:val="Listenabsatz"/>
        <w:numPr>
          <w:ilvl w:val="0"/>
          <w:numId w:val="10"/>
        </w:numPr>
        <w:jc w:val="left"/>
      </w:pPr>
      <w:proofErr w:type="spellStart"/>
      <w:r w:rsidRPr="001B07E2">
        <w:t>PearsonS</w:t>
      </w:r>
      <w:proofErr w:type="spellEnd"/>
      <w:r w:rsidRPr="001B07E2">
        <w:t xml:space="preserve">, </w:t>
      </w:r>
      <w:proofErr w:type="spellStart"/>
      <w:r w:rsidRPr="001B07E2">
        <w:t>Benameur</w:t>
      </w:r>
      <w:proofErr w:type="spellEnd"/>
      <w:r w:rsidRPr="001B07E2">
        <w:t xml:space="preserve"> A. (201</w:t>
      </w:r>
      <w:r w:rsidR="00180951" w:rsidRPr="001B07E2">
        <w:t>0</w:t>
      </w:r>
      <w:r w:rsidRPr="001B07E2">
        <w:t xml:space="preserve">) A </w:t>
      </w:r>
      <w:proofErr w:type="spellStart"/>
      <w:r w:rsidRPr="001B07E2">
        <w:t>Decision</w:t>
      </w:r>
      <w:proofErr w:type="spellEnd"/>
      <w:r w:rsidRPr="001B07E2">
        <w:t xml:space="preserve"> Support System </w:t>
      </w:r>
      <w:proofErr w:type="spellStart"/>
      <w:r w:rsidRPr="001B07E2">
        <w:t>for</w:t>
      </w:r>
      <w:proofErr w:type="spellEnd"/>
      <w:r w:rsidRPr="001B07E2">
        <w:t xml:space="preserve"> Design </w:t>
      </w:r>
      <w:proofErr w:type="spellStart"/>
      <w:r w:rsidRPr="001B07E2">
        <w:t>for</w:t>
      </w:r>
      <w:proofErr w:type="spellEnd"/>
      <w:r w:rsidRPr="001B07E2">
        <w:t xml:space="preserve"> Privacy. IFIP AICT </w:t>
      </w:r>
      <w:r w:rsidR="00B10FE8" w:rsidRPr="001B07E2">
        <w:t>(</w:t>
      </w:r>
      <w:r w:rsidRPr="001B07E2">
        <w:t>352</w:t>
      </w:r>
      <w:r w:rsidR="00B10FE8" w:rsidRPr="001B07E2">
        <w:t>)</w:t>
      </w:r>
      <w:r w:rsidR="00180951" w:rsidRPr="001B07E2">
        <w:t>: 293-296</w:t>
      </w:r>
    </w:p>
    <w:p w:rsidR="00180951" w:rsidRPr="001B07E2" w:rsidRDefault="00180951" w:rsidP="00C94108">
      <w:pPr>
        <w:pStyle w:val="Listenabsatz"/>
        <w:numPr>
          <w:ilvl w:val="0"/>
          <w:numId w:val="10"/>
        </w:numPr>
        <w:jc w:val="left"/>
      </w:pPr>
      <w:r w:rsidRPr="001B07E2">
        <w:t xml:space="preserve">Richter P. (2012) Datenschutz durch Technik und die Grundverordnung der EU-Kommission. </w:t>
      </w:r>
      <w:proofErr w:type="spellStart"/>
      <w:r w:rsidRPr="001B07E2">
        <w:t>DuD</w:t>
      </w:r>
      <w:proofErr w:type="spellEnd"/>
      <w:r w:rsidRPr="001B07E2">
        <w:t>: 576-580</w:t>
      </w:r>
    </w:p>
    <w:p w:rsidR="0091762C" w:rsidRPr="001B07E2" w:rsidRDefault="0091762C" w:rsidP="00C94108">
      <w:pPr>
        <w:pStyle w:val="Listenabsatz"/>
        <w:numPr>
          <w:ilvl w:val="0"/>
          <w:numId w:val="10"/>
        </w:numPr>
        <w:jc w:val="left"/>
      </w:pPr>
      <w:r w:rsidRPr="001B07E2">
        <w:t xml:space="preserve">Schaar P. (2010) Privacy </w:t>
      </w:r>
      <w:proofErr w:type="spellStart"/>
      <w:r w:rsidRPr="001B07E2">
        <w:t>by</w:t>
      </w:r>
      <w:proofErr w:type="spellEnd"/>
      <w:r w:rsidRPr="001B07E2">
        <w:t xml:space="preserve"> Design. IDIS (3) 267–274</w:t>
      </w:r>
    </w:p>
    <w:p w:rsidR="0051779C" w:rsidRPr="001B07E2" w:rsidRDefault="0051779C" w:rsidP="0051779C">
      <w:pPr>
        <w:pStyle w:val="berschrift2"/>
      </w:pPr>
      <w:bookmarkStart w:id="128" w:name="_Toc514832507"/>
      <w:r w:rsidRPr="001B07E2">
        <w:t>Internet</w:t>
      </w:r>
      <w:bookmarkEnd w:id="128"/>
    </w:p>
    <w:p w:rsidR="00B10FE8" w:rsidRPr="001B07E2" w:rsidRDefault="00B10FE8" w:rsidP="00C94108">
      <w:pPr>
        <w:pStyle w:val="Listenabsatz"/>
        <w:numPr>
          <w:ilvl w:val="0"/>
          <w:numId w:val="10"/>
        </w:numPr>
        <w:jc w:val="left"/>
      </w:pPr>
      <w:r w:rsidRPr="001B07E2">
        <w:t xml:space="preserve">ENISA - European Union Agency </w:t>
      </w:r>
      <w:proofErr w:type="spellStart"/>
      <w:r w:rsidRPr="001B07E2">
        <w:t>for</w:t>
      </w:r>
      <w:proofErr w:type="spellEnd"/>
      <w:r w:rsidRPr="001B07E2">
        <w:t xml:space="preserve"> Network </w:t>
      </w:r>
      <w:proofErr w:type="spellStart"/>
      <w:r w:rsidRPr="001B07E2">
        <w:t>and</w:t>
      </w:r>
      <w:proofErr w:type="spellEnd"/>
      <w:r w:rsidRPr="001B07E2">
        <w:t xml:space="preserve"> Information Security (2015) Privacy </w:t>
      </w:r>
      <w:proofErr w:type="spellStart"/>
      <w:r w:rsidRPr="001B07E2">
        <w:t>and</w:t>
      </w:r>
      <w:proofErr w:type="spellEnd"/>
      <w:r w:rsidRPr="001B07E2">
        <w:t xml:space="preserve"> Data </w:t>
      </w:r>
      <w:proofErr w:type="spellStart"/>
      <w:r w:rsidRPr="001B07E2">
        <w:t>Protection</w:t>
      </w:r>
      <w:proofErr w:type="spellEnd"/>
      <w:r w:rsidRPr="001B07E2">
        <w:t xml:space="preserve"> </w:t>
      </w:r>
      <w:proofErr w:type="spellStart"/>
      <w:r w:rsidRPr="001B07E2">
        <w:t>by</w:t>
      </w:r>
      <w:proofErr w:type="spellEnd"/>
      <w:r w:rsidRPr="001B07E2">
        <w:t xml:space="preserve"> Design. [Online, zitiert am 2018-02-14]; Verfügbar unter </w:t>
      </w:r>
      <w:hyperlink r:id="rId19" w:history="1">
        <w:r w:rsidR="000D6368" w:rsidRPr="001B07E2">
          <w:rPr>
            <w:rStyle w:val="Hyperlink"/>
          </w:rPr>
          <w:t>https://www.enisa.europa.eu/publications/privacy-and-data-protection-by-design/at_download/fullReport</w:t>
        </w:r>
      </w:hyperlink>
    </w:p>
    <w:p w:rsidR="000D6368" w:rsidRPr="001B07E2" w:rsidRDefault="000D6368" w:rsidP="00C94108">
      <w:pPr>
        <w:pStyle w:val="Listenabsatz"/>
        <w:numPr>
          <w:ilvl w:val="0"/>
          <w:numId w:val="10"/>
        </w:numPr>
        <w:jc w:val="left"/>
      </w:pPr>
      <w:r w:rsidRPr="001B07E2">
        <w:t xml:space="preserve">ENISA - European Union Agency </w:t>
      </w:r>
      <w:proofErr w:type="spellStart"/>
      <w:r w:rsidRPr="001B07E2">
        <w:t>for</w:t>
      </w:r>
      <w:proofErr w:type="spellEnd"/>
      <w:r w:rsidRPr="001B07E2">
        <w:t xml:space="preserve"> Network </w:t>
      </w:r>
      <w:proofErr w:type="spellStart"/>
      <w:r w:rsidRPr="001B07E2">
        <w:t>and</w:t>
      </w:r>
      <w:proofErr w:type="spellEnd"/>
      <w:r w:rsidRPr="001B07E2">
        <w:t xml:space="preserve"> Information Security (2015) Privacy </w:t>
      </w:r>
      <w:proofErr w:type="spellStart"/>
      <w:r w:rsidRPr="001B07E2">
        <w:t>by</w:t>
      </w:r>
      <w:proofErr w:type="spellEnd"/>
      <w:r w:rsidRPr="001B07E2">
        <w:t xml:space="preserve"> design in </w:t>
      </w:r>
      <w:proofErr w:type="spellStart"/>
      <w:r w:rsidRPr="001B07E2">
        <w:t>big</w:t>
      </w:r>
      <w:proofErr w:type="spellEnd"/>
      <w:r w:rsidRPr="001B07E2">
        <w:t xml:space="preserve"> </w:t>
      </w:r>
      <w:proofErr w:type="spellStart"/>
      <w:r w:rsidRPr="001B07E2">
        <w:t>data</w:t>
      </w:r>
      <w:proofErr w:type="spellEnd"/>
      <w:r w:rsidRPr="001B07E2">
        <w:t>. [Online, zitiert am 2018-02-14]; Verfügbar unter https://www.enisa.europa.eu/publications/big-data-protection/at_download/fullReport</w:t>
      </w:r>
    </w:p>
    <w:p w:rsidR="0091762C" w:rsidRPr="001B07E2" w:rsidRDefault="0091762C" w:rsidP="00C94108">
      <w:pPr>
        <w:pStyle w:val="Listenabsatz"/>
        <w:numPr>
          <w:ilvl w:val="0"/>
          <w:numId w:val="10"/>
        </w:numPr>
        <w:jc w:val="left"/>
      </w:pPr>
      <w:proofErr w:type="spellStart"/>
      <w:r w:rsidRPr="001B07E2">
        <w:t>Gurses</w:t>
      </w:r>
      <w:proofErr w:type="spellEnd"/>
      <w:r w:rsidRPr="001B07E2">
        <w:t xml:space="preserve"> S, </w:t>
      </w:r>
      <w:proofErr w:type="spellStart"/>
      <w:r w:rsidRPr="001B07E2">
        <w:t>Troncoso</w:t>
      </w:r>
      <w:proofErr w:type="spellEnd"/>
      <w:r w:rsidRPr="001B07E2">
        <w:t xml:space="preserve">, C, Diaz C. (2015) Engineering Privacy </w:t>
      </w:r>
      <w:proofErr w:type="spellStart"/>
      <w:r w:rsidRPr="001B07E2">
        <w:t>by</w:t>
      </w:r>
      <w:proofErr w:type="spellEnd"/>
      <w:r w:rsidRPr="001B07E2">
        <w:t xml:space="preserve"> Design. [Online, zitiert am 2018-02-14]; Verfügbar unter https://www.esat.kuleuven.be/cosic/publications/article-1542.pdf</w:t>
      </w:r>
    </w:p>
    <w:p w:rsidR="00BB3D1F" w:rsidRPr="001B07E2" w:rsidRDefault="00BB3D1F" w:rsidP="00C94108">
      <w:pPr>
        <w:pStyle w:val="Listenabsatz"/>
        <w:numPr>
          <w:ilvl w:val="0"/>
          <w:numId w:val="10"/>
        </w:numPr>
        <w:jc w:val="left"/>
      </w:pPr>
      <w:proofErr w:type="spellStart"/>
      <w:r w:rsidRPr="001B07E2">
        <w:t>Gurses</w:t>
      </w:r>
      <w:proofErr w:type="spellEnd"/>
      <w:r w:rsidRPr="001B07E2">
        <w:t xml:space="preserve"> S, </w:t>
      </w:r>
      <w:proofErr w:type="spellStart"/>
      <w:r w:rsidRPr="001B07E2">
        <w:t>Troncoso</w:t>
      </w:r>
      <w:proofErr w:type="spellEnd"/>
      <w:r w:rsidRPr="001B07E2">
        <w:t xml:space="preserve">, C, Diaz C. (2015) Engineering Privacy </w:t>
      </w:r>
      <w:proofErr w:type="spellStart"/>
      <w:r w:rsidRPr="001B07E2">
        <w:t>by</w:t>
      </w:r>
      <w:proofErr w:type="spellEnd"/>
      <w:r w:rsidRPr="001B07E2">
        <w:t xml:space="preserve"> Design </w:t>
      </w:r>
      <w:proofErr w:type="spellStart"/>
      <w:r w:rsidRPr="001B07E2">
        <w:t>Reloaded</w:t>
      </w:r>
      <w:proofErr w:type="spellEnd"/>
      <w:r w:rsidRPr="001B07E2">
        <w:t>. In Amsterdam Privacy Conference</w:t>
      </w:r>
      <w:r w:rsidR="0091762C" w:rsidRPr="001B07E2">
        <w:t xml:space="preserve">. [Online, zitiert am 2018-02-14]; Verfügbar unter </w:t>
      </w:r>
      <w:hyperlink r:id="rId20" w:history="1">
        <w:r w:rsidR="000D6368" w:rsidRPr="001B07E2">
          <w:rPr>
            <w:rStyle w:val="Hyperlink"/>
          </w:rPr>
          <w:t>https://www.esat.kuleuven.be/cosic/publications/article-2589.pdf</w:t>
        </w:r>
      </w:hyperlink>
    </w:p>
    <w:p w:rsidR="000D6368" w:rsidRPr="001B07E2" w:rsidRDefault="000D6368" w:rsidP="00C94108">
      <w:pPr>
        <w:pStyle w:val="Listenabsatz"/>
        <w:numPr>
          <w:ilvl w:val="0"/>
          <w:numId w:val="10"/>
        </w:numPr>
        <w:jc w:val="left"/>
      </w:pPr>
      <w:r w:rsidRPr="001B07E2">
        <w:lastRenderedPageBreak/>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(2009) Privacy </w:t>
      </w:r>
      <w:proofErr w:type="spellStart"/>
      <w:r w:rsidRPr="001B07E2">
        <w:t>by</w:t>
      </w:r>
      <w:proofErr w:type="spellEnd"/>
      <w:r w:rsidRPr="001B07E2">
        <w:t xml:space="preserve"> Design: The 7 </w:t>
      </w:r>
      <w:proofErr w:type="spellStart"/>
      <w:r w:rsidRPr="001B07E2">
        <w:t>Foundational</w:t>
      </w:r>
      <w:proofErr w:type="spellEnd"/>
      <w:r w:rsidRPr="001B07E2">
        <w:t xml:space="preserve"> </w:t>
      </w:r>
      <w:proofErr w:type="spellStart"/>
      <w:r w:rsidRPr="001B07E2">
        <w:t>Principles</w:t>
      </w:r>
      <w:proofErr w:type="spellEnd"/>
      <w:r w:rsidRPr="001B07E2">
        <w:t>. [Online, zitiert am 2018-02-14]; Verfügbar unter https://www.ipc.on.ca/wp-content/uploads/Resources/7foundationalprinciples.pdf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(2009) A </w:t>
      </w:r>
      <w:proofErr w:type="spellStart"/>
      <w:r w:rsidRPr="001B07E2">
        <w:t>Pragmatic</w:t>
      </w:r>
      <w:proofErr w:type="spellEnd"/>
      <w:r w:rsidRPr="001B07E2">
        <w:t xml:space="preserve"> Approach </w:t>
      </w:r>
      <w:proofErr w:type="spellStart"/>
      <w:r w:rsidRPr="001B07E2">
        <w:t>to</w:t>
      </w:r>
      <w:proofErr w:type="spellEnd"/>
      <w:r w:rsidRPr="001B07E2">
        <w:t xml:space="preserve"> Privacy </w:t>
      </w:r>
      <w:proofErr w:type="spellStart"/>
      <w:r w:rsidRPr="001B07E2">
        <w:t>Risk</w:t>
      </w:r>
      <w:proofErr w:type="spellEnd"/>
      <w:r w:rsidRPr="001B07E2">
        <w:t xml:space="preserve"> </w:t>
      </w:r>
      <w:proofErr w:type="spellStart"/>
      <w:r w:rsidRPr="001B07E2">
        <w:t>Optimization</w:t>
      </w:r>
      <w:proofErr w:type="spellEnd"/>
      <w:r w:rsidRPr="001B07E2">
        <w:t xml:space="preserve">: Privacy </w:t>
      </w:r>
      <w:proofErr w:type="spellStart"/>
      <w:r w:rsidRPr="001B07E2">
        <w:t>by</w:t>
      </w:r>
      <w:proofErr w:type="spellEnd"/>
      <w:r w:rsidRPr="001B07E2">
        <w:t xml:space="preserve"> Design </w:t>
      </w:r>
      <w:proofErr w:type="spellStart"/>
      <w:r w:rsidRPr="001B07E2">
        <w:t>for</w:t>
      </w:r>
      <w:proofErr w:type="spellEnd"/>
      <w:r w:rsidRPr="001B07E2">
        <w:t xml:space="preserve"> Business Practices. [Online, zitiert am 2018-02-14]; Verfügbar unter https://www.ipc.on.ca/wp-content/uploads/Resources/pbd-privacy-risk.pdf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(2009) Privacy </w:t>
      </w:r>
      <w:proofErr w:type="spellStart"/>
      <w:r w:rsidRPr="001B07E2">
        <w:t>by</w:t>
      </w:r>
      <w:proofErr w:type="spellEnd"/>
      <w:r w:rsidRPr="001B07E2">
        <w:t xml:space="preserve"> Design … Take </w:t>
      </w:r>
      <w:proofErr w:type="spellStart"/>
      <w:r w:rsidRPr="001B07E2">
        <w:t>the</w:t>
      </w:r>
      <w:proofErr w:type="spellEnd"/>
      <w:r w:rsidRPr="001B07E2">
        <w:t xml:space="preserve"> Challenge. [Online, zitiert am 2018-02-14]; Verfügbar unter https://www.ipc.on.ca/wp-content/uploads/Resources/PrivacybyDesignBook.pdf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(2009) </w:t>
      </w:r>
      <w:proofErr w:type="spellStart"/>
      <w:r w:rsidRPr="001B07E2">
        <w:t>Whole</w:t>
      </w:r>
      <w:proofErr w:type="spellEnd"/>
      <w:r w:rsidRPr="001B07E2">
        <w:t xml:space="preserve"> Body Imaging in Airport Scanners: Building in Privacy </w:t>
      </w:r>
      <w:proofErr w:type="spellStart"/>
      <w:r w:rsidRPr="001B07E2">
        <w:t>by</w:t>
      </w:r>
      <w:proofErr w:type="spellEnd"/>
      <w:r w:rsidRPr="001B07E2">
        <w:t xml:space="preserve"> Design. [Online, zitiert am 2018-02-14]; Verfügbar unter https://www.ipc.on.ca/wp-content/uploads/Resources/wholebodyimaging.pdf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(2010) Access </w:t>
      </w:r>
      <w:proofErr w:type="spellStart"/>
      <w:r w:rsidRPr="001B07E2">
        <w:t>by</w:t>
      </w:r>
      <w:proofErr w:type="spellEnd"/>
      <w:r w:rsidRPr="001B07E2">
        <w:t xml:space="preserve"> Design: The 7 Fundamental </w:t>
      </w:r>
      <w:proofErr w:type="spellStart"/>
      <w:r w:rsidRPr="001B07E2">
        <w:t>Principles</w:t>
      </w:r>
      <w:proofErr w:type="spellEnd"/>
      <w:r w:rsidRPr="001B07E2">
        <w:t>. [Online, zitiert am 2018-02-14]; Verfügbar unter https://www.ipc.on.ca/wp-content/uploads/2010/05/accessbydesign_7fundamentalprinciples.pdf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(2012) Privacy </w:t>
      </w:r>
      <w:proofErr w:type="spellStart"/>
      <w:r w:rsidRPr="001B07E2">
        <w:t>by</w:t>
      </w:r>
      <w:proofErr w:type="spellEnd"/>
      <w:r w:rsidRPr="001B07E2">
        <w:t xml:space="preserve"> Design </w:t>
      </w:r>
      <w:proofErr w:type="spellStart"/>
      <w:r w:rsidRPr="001B07E2">
        <w:t>and</w:t>
      </w:r>
      <w:proofErr w:type="spellEnd"/>
      <w:r w:rsidRPr="001B07E2">
        <w:t xml:space="preserve"> User Interfaces: Emerging Design </w:t>
      </w:r>
      <w:proofErr w:type="spellStart"/>
      <w:r w:rsidRPr="001B07E2">
        <w:t>Criteria</w:t>
      </w:r>
      <w:proofErr w:type="spellEnd"/>
      <w:r w:rsidRPr="001B07E2">
        <w:t xml:space="preserve"> – Keep </w:t>
      </w:r>
      <w:proofErr w:type="spellStart"/>
      <w:r w:rsidRPr="001B07E2">
        <w:t>it</w:t>
      </w:r>
      <w:proofErr w:type="spellEnd"/>
      <w:r w:rsidRPr="001B07E2">
        <w:t xml:space="preserve"> User-</w:t>
      </w:r>
      <w:proofErr w:type="spellStart"/>
      <w:r w:rsidRPr="001B07E2">
        <w:t>Centric</w:t>
      </w:r>
      <w:proofErr w:type="spellEnd"/>
      <w:r w:rsidRPr="001B07E2">
        <w:t>. [Online, zitiert am 2018-02-14]; Verfügbar unter https://www.ipc.on.ca/wp-content/uploads/Resources/pbd-user-interfaces_Yahoo.pdf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(2012) Privacy </w:t>
      </w:r>
      <w:proofErr w:type="spellStart"/>
      <w:r w:rsidRPr="001B07E2">
        <w:t>by</w:t>
      </w:r>
      <w:proofErr w:type="spellEnd"/>
      <w:r w:rsidRPr="001B07E2">
        <w:t xml:space="preserve"> Design </w:t>
      </w:r>
      <w:proofErr w:type="spellStart"/>
      <w:r w:rsidRPr="001B07E2">
        <w:t>and</w:t>
      </w:r>
      <w:proofErr w:type="spellEnd"/>
      <w:r w:rsidRPr="001B07E2">
        <w:t xml:space="preserve"> </w:t>
      </w:r>
      <w:proofErr w:type="spellStart"/>
      <w:r w:rsidRPr="001B07E2">
        <w:t>the</w:t>
      </w:r>
      <w:proofErr w:type="spellEnd"/>
      <w:r w:rsidRPr="001B07E2">
        <w:t xml:space="preserve"> Emerging Personal Data </w:t>
      </w:r>
      <w:proofErr w:type="spellStart"/>
      <w:r w:rsidRPr="001B07E2">
        <w:t>Ecosystem</w:t>
      </w:r>
      <w:proofErr w:type="spellEnd"/>
      <w:r w:rsidRPr="001B07E2">
        <w:t>. [Online, zitiert am 2018-02-14]; Verfügbar unter https://www.ipc.on.ca/wp-content/uploads/Resources/pbd-pde.pdf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(2013) Privacy </w:t>
      </w:r>
      <w:proofErr w:type="spellStart"/>
      <w:r w:rsidRPr="001B07E2">
        <w:t>by</w:t>
      </w:r>
      <w:proofErr w:type="spellEnd"/>
      <w:r w:rsidRPr="001B07E2">
        <w:t xml:space="preserve"> Design. [Online, zitiert am 2018-02-14]; Verfügbar unter https://www.ipc.on.ca/wp-content/uploads/2013/09/pbd-primer.pdf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(2013) Privacy </w:t>
      </w:r>
      <w:proofErr w:type="spellStart"/>
      <w:r w:rsidRPr="001B07E2">
        <w:t>and</w:t>
      </w:r>
      <w:proofErr w:type="spellEnd"/>
      <w:r w:rsidRPr="001B07E2">
        <w:t xml:space="preserve"> Security </w:t>
      </w:r>
      <w:proofErr w:type="spellStart"/>
      <w:r w:rsidRPr="001B07E2">
        <w:t>by</w:t>
      </w:r>
      <w:proofErr w:type="spellEnd"/>
      <w:r w:rsidRPr="001B07E2">
        <w:t xml:space="preserve"> Design: An Enterprise </w:t>
      </w:r>
      <w:proofErr w:type="spellStart"/>
      <w:r w:rsidRPr="001B07E2">
        <w:t>Architecture</w:t>
      </w:r>
      <w:proofErr w:type="spellEnd"/>
      <w:r w:rsidRPr="001B07E2">
        <w:t xml:space="preserve"> Approach. [Online, zitiert am 2018-02-14]; Verfügbar unter https://www.ipc.on.ca/wp-content/uploads/Resources/pbd-privacy-and-security-by-design-oracle.pdf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(2013) Personal Data </w:t>
      </w:r>
      <w:proofErr w:type="spellStart"/>
      <w:r w:rsidRPr="001B07E2">
        <w:t>Ecosystem</w:t>
      </w:r>
      <w:proofErr w:type="spellEnd"/>
      <w:r w:rsidRPr="001B07E2">
        <w:t xml:space="preserve"> (PDE) – A Privacy </w:t>
      </w:r>
      <w:proofErr w:type="spellStart"/>
      <w:r w:rsidRPr="001B07E2">
        <w:t>by</w:t>
      </w:r>
      <w:proofErr w:type="spellEnd"/>
      <w:r w:rsidRPr="001B07E2">
        <w:t xml:space="preserve"> Design Approach </w:t>
      </w:r>
      <w:proofErr w:type="spellStart"/>
      <w:r w:rsidRPr="001B07E2">
        <w:t>to</w:t>
      </w:r>
      <w:proofErr w:type="spellEnd"/>
      <w:r w:rsidRPr="001B07E2">
        <w:t xml:space="preserve"> an </w:t>
      </w:r>
      <w:proofErr w:type="spellStart"/>
      <w:r w:rsidRPr="001B07E2">
        <w:t>Individual’s</w:t>
      </w:r>
      <w:proofErr w:type="spellEnd"/>
      <w:r w:rsidRPr="001B07E2">
        <w:t xml:space="preserve"> </w:t>
      </w:r>
      <w:proofErr w:type="spellStart"/>
      <w:r w:rsidRPr="001B07E2">
        <w:t>Pursuit</w:t>
      </w:r>
      <w:proofErr w:type="spellEnd"/>
      <w:r w:rsidRPr="001B07E2">
        <w:t xml:space="preserve"> </w:t>
      </w:r>
      <w:proofErr w:type="spellStart"/>
      <w:r w:rsidRPr="001B07E2">
        <w:t>of</w:t>
      </w:r>
      <w:proofErr w:type="spellEnd"/>
      <w:r w:rsidRPr="001B07E2">
        <w:t xml:space="preserve"> </w:t>
      </w:r>
      <w:proofErr w:type="spellStart"/>
      <w:r w:rsidRPr="001B07E2">
        <w:t>Radical</w:t>
      </w:r>
      <w:proofErr w:type="spellEnd"/>
      <w:r w:rsidRPr="001B07E2">
        <w:t xml:space="preserve"> Control. [Online, zitiert am 2018-02-14]; Verfügbar unter https://www.ipc.on.ca/wp-content/uploads/Resources/digital-enlightenment-yearbook2013.pdf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(2014) Privacy Engineering: </w:t>
      </w:r>
      <w:proofErr w:type="spellStart"/>
      <w:r w:rsidRPr="001B07E2">
        <w:t>Proactively</w:t>
      </w:r>
      <w:proofErr w:type="spellEnd"/>
      <w:r w:rsidRPr="001B07E2">
        <w:t xml:space="preserve"> Embedding Privacy, </w:t>
      </w:r>
      <w:proofErr w:type="spellStart"/>
      <w:r w:rsidRPr="001B07E2">
        <w:t>by</w:t>
      </w:r>
      <w:proofErr w:type="spellEnd"/>
      <w:r w:rsidRPr="001B07E2">
        <w:t xml:space="preserve"> Design. [Online, zitiert am 2018-02-14]; Verfügbar unter https://www.ipc.on.ca/wp-content/uploads/Resources/pbd-priv-engineering.pdf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(2014) Privacy </w:t>
      </w:r>
      <w:proofErr w:type="spellStart"/>
      <w:r w:rsidRPr="001B07E2">
        <w:t>by</w:t>
      </w:r>
      <w:proofErr w:type="spellEnd"/>
      <w:r w:rsidRPr="001B07E2">
        <w:t xml:space="preserve"> Design Solutions </w:t>
      </w:r>
      <w:proofErr w:type="spellStart"/>
      <w:r w:rsidRPr="001B07E2">
        <w:t>for</w:t>
      </w:r>
      <w:proofErr w:type="spellEnd"/>
      <w:r w:rsidRPr="001B07E2">
        <w:t xml:space="preserve"> </w:t>
      </w:r>
      <w:proofErr w:type="spellStart"/>
      <w:r w:rsidRPr="001B07E2">
        <w:t>Biometric</w:t>
      </w:r>
      <w:proofErr w:type="spellEnd"/>
      <w:r w:rsidRPr="001B07E2">
        <w:t xml:space="preserve"> </w:t>
      </w:r>
      <w:proofErr w:type="spellStart"/>
      <w:r w:rsidRPr="001B07E2">
        <w:t>One-to-Many</w:t>
      </w:r>
      <w:proofErr w:type="spellEnd"/>
      <w:r w:rsidRPr="001B07E2">
        <w:t xml:space="preserve"> </w:t>
      </w:r>
      <w:proofErr w:type="spellStart"/>
      <w:r w:rsidRPr="001B07E2">
        <w:t>Identification</w:t>
      </w:r>
      <w:proofErr w:type="spellEnd"/>
      <w:r w:rsidRPr="001B07E2">
        <w:t xml:space="preserve"> Systems. [Online, zitiert am 2018-02-14]; Verfügbar unter https://www.ipc.on.ca/wp-content/uploads/2014/06/pbd-solutions-biometric.pdf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(2014) A New </w:t>
      </w:r>
      <w:proofErr w:type="spellStart"/>
      <w:r w:rsidRPr="001B07E2">
        <w:t>Possibility</w:t>
      </w:r>
      <w:proofErr w:type="spellEnd"/>
      <w:r w:rsidRPr="001B07E2">
        <w:t xml:space="preserve"> </w:t>
      </w:r>
      <w:proofErr w:type="spellStart"/>
      <w:r w:rsidRPr="001B07E2">
        <w:t>for</w:t>
      </w:r>
      <w:proofErr w:type="spellEnd"/>
      <w:r w:rsidRPr="001B07E2">
        <w:t xml:space="preserve"> Security </w:t>
      </w:r>
      <w:proofErr w:type="spellStart"/>
      <w:r w:rsidRPr="001B07E2">
        <w:t>and</w:t>
      </w:r>
      <w:proofErr w:type="spellEnd"/>
      <w:r w:rsidRPr="001B07E2">
        <w:t xml:space="preserve"> Privacy </w:t>
      </w:r>
      <w:proofErr w:type="spellStart"/>
      <w:r w:rsidRPr="001B07E2">
        <w:t>by</w:t>
      </w:r>
      <w:proofErr w:type="spellEnd"/>
      <w:r w:rsidRPr="001B07E2">
        <w:t xml:space="preserve"> Design: Fault-Free Software. [Online, zitiert am 2018-02-14]; Verfügbar unter https://www.ipc.on.ca/wp-content/uploads/2014/06/pbd-fault-free-software.pdf</w:t>
      </w:r>
    </w:p>
    <w:p w:rsidR="000D6368" w:rsidRPr="001B07E2" w:rsidRDefault="000D6368" w:rsidP="00C94108">
      <w:pPr>
        <w:pStyle w:val="Listenabsatz"/>
        <w:numPr>
          <w:ilvl w:val="0"/>
          <w:numId w:val="10"/>
        </w:numPr>
        <w:jc w:val="left"/>
      </w:pPr>
      <w:r w:rsidRPr="001B07E2">
        <w:t xml:space="preserve">Privacy </w:t>
      </w:r>
      <w:proofErr w:type="spellStart"/>
      <w:r w:rsidRPr="001B07E2">
        <w:t>Commissioner</w:t>
      </w:r>
      <w:proofErr w:type="spellEnd"/>
      <w:r w:rsidRPr="001B07E2">
        <w:t xml:space="preserve"> </w:t>
      </w:r>
      <w:proofErr w:type="spellStart"/>
      <w:r w:rsidRPr="001B07E2">
        <w:t>of</w:t>
      </w:r>
      <w:proofErr w:type="spellEnd"/>
      <w:r w:rsidRPr="001B07E2">
        <w:t xml:space="preserve"> Ontario (2018) Privacy </w:t>
      </w:r>
      <w:proofErr w:type="spellStart"/>
      <w:r w:rsidRPr="001B07E2">
        <w:t>by</w:t>
      </w:r>
      <w:proofErr w:type="spellEnd"/>
      <w:r w:rsidRPr="001B07E2">
        <w:t xml:space="preserve"> Design -</w:t>
      </w:r>
      <w:r w:rsidR="00C94108" w:rsidRPr="001B07E2">
        <w:t xml:space="preserve"> </w:t>
      </w:r>
      <w:r w:rsidRPr="001B07E2">
        <w:t xml:space="preserve">Seven </w:t>
      </w:r>
      <w:proofErr w:type="spellStart"/>
      <w:r w:rsidRPr="001B07E2">
        <w:t>foundational</w:t>
      </w:r>
      <w:proofErr w:type="spellEnd"/>
      <w:r w:rsidRPr="001B07E2">
        <w:t xml:space="preserve"> </w:t>
      </w:r>
      <w:proofErr w:type="spellStart"/>
      <w:r w:rsidRPr="001B07E2">
        <w:t>principles</w:t>
      </w:r>
      <w:proofErr w:type="spellEnd"/>
      <w:r w:rsidRPr="001B07E2">
        <w:t>. [Online, zitiert am 2018-02-14]; Verfügbar unter https://www.ipc.on.ca/wp-content/uploads/2018/01/pbd.pdf</w:t>
      </w:r>
    </w:p>
    <w:p w:rsidR="0091762C" w:rsidRPr="001B07E2" w:rsidRDefault="00B10FE8" w:rsidP="00C94108">
      <w:pPr>
        <w:pStyle w:val="Listenabsatz"/>
        <w:numPr>
          <w:ilvl w:val="0"/>
          <w:numId w:val="10"/>
        </w:numPr>
        <w:jc w:val="left"/>
      </w:pPr>
      <w:r w:rsidRPr="001B07E2">
        <w:t xml:space="preserve">Rubinstein IS, </w:t>
      </w:r>
      <w:proofErr w:type="spellStart"/>
      <w:r w:rsidRPr="001B07E2">
        <w:t>Good</w:t>
      </w:r>
      <w:proofErr w:type="spellEnd"/>
      <w:r w:rsidRPr="001B07E2">
        <w:t xml:space="preserve"> N. (2013) Privacy </w:t>
      </w:r>
      <w:proofErr w:type="spellStart"/>
      <w:r w:rsidRPr="001B07E2">
        <w:t>by</w:t>
      </w:r>
      <w:proofErr w:type="spellEnd"/>
      <w:r w:rsidRPr="001B07E2">
        <w:t xml:space="preserve"> Design: A </w:t>
      </w:r>
      <w:proofErr w:type="spellStart"/>
      <w:r w:rsidRPr="001B07E2">
        <w:t>Counterfactual</w:t>
      </w:r>
      <w:proofErr w:type="spellEnd"/>
      <w:r w:rsidRPr="001B07E2">
        <w:t xml:space="preserve"> Analysis </w:t>
      </w:r>
      <w:proofErr w:type="spellStart"/>
      <w:r w:rsidRPr="001B07E2">
        <w:t>of</w:t>
      </w:r>
      <w:proofErr w:type="spellEnd"/>
      <w:r w:rsidRPr="001B07E2">
        <w:t xml:space="preserve"> Google </w:t>
      </w:r>
      <w:proofErr w:type="spellStart"/>
      <w:r w:rsidRPr="001B07E2">
        <w:t>and</w:t>
      </w:r>
      <w:proofErr w:type="spellEnd"/>
      <w:r w:rsidRPr="001B07E2">
        <w:t xml:space="preserve"> Facebook </w:t>
      </w:r>
      <w:proofErr w:type="spellStart"/>
      <w:r w:rsidRPr="001B07E2">
        <w:t>privacy</w:t>
      </w:r>
      <w:proofErr w:type="spellEnd"/>
      <w:r w:rsidRPr="001B07E2">
        <w:t xml:space="preserve"> </w:t>
      </w:r>
      <w:proofErr w:type="spellStart"/>
      <w:r w:rsidRPr="001B07E2">
        <w:t>incidents</w:t>
      </w:r>
      <w:proofErr w:type="spellEnd"/>
      <w:r w:rsidRPr="001B07E2">
        <w:t xml:space="preserve">. [Online, zitiert am 2018-02-14]; Verfügbar unter </w:t>
      </w:r>
      <w:r w:rsidRPr="001B07E2">
        <w:lastRenderedPageBreak/>
        <w:t>https://scholarship.law.berkeley.edu/cgi/viewcontent.cgi?referer=https://www.google.de/&amp;httpsredir=1&amp;article=2007&amp;context=btlj</w:t>
      </w:r>
    </w:p>
    <w:p w:rsidR="0051779C" w:rsidRPr="001B07E2" w:rsidRDefault="00B10FE8" w:rsidP="00B10FE8">
      <w:pPr>
        <w:pStyle w:val="berschrift2"/>
      </w:pPr>
      <w:bookmarkStart w:id="129" w:name="_Toc514832508"/>
      <w:r w:rsidRPr="001B07E2">
        <w:t>Bücher</w:t>
      </w:r>
      <w:bookmarkEnd w:id="129"/>
    </w:p>
    <w:p w:rsidR="00AB780B" w:rsidRPr="001B07E2" w:rsidRDefault="00AB780B" w:rsidP="00C94108">
      <w:pPr>
        <w:pStyle w:val="Listenabsatz"/>
        <w:numPr>
          <w:ilvl w:val="0"/>
          <w:numId w:val="10"/>
        </w:numPr>
        <w:jc w:val="left"/>
      </w:pPr>
      <w:proofErr w:type="spellStart"/>
      <w:r w:rsidRPr="001B07E2">
        <w:t>Blokdyk</w:t>
      </w:r>
      <w:proofErr w:type="spellEnd"/>
      <w:r w:rsidRPr="001B07E2">
        <w:t xml:space="preserve"> G. (2017) Privacy </w:t>
      </w:r>
      <w:proofErr w:type="spellStart"/>
      <w:r w:rsidRPr="001B07E2">
        <w:t>by</w:t>
      </w:r>
      <w:proofErr w:type="spellEnd"/>
      <w:r w:rsidRPr="001B07E2">
        <w:t xml:space="preserve"> Design: A Hands-On Tutorial. </w:t>
      </w:r>
      <w:r w:rsidR="00C50C49" w:rsidRPr="001B07E2">
        <w:t xml:space="preserve">Verlag </w:t>
      </w:r>
      <w:proofErr w:type="spellStart"/>
      <w:r w:rsidRPr="001B07E2">
        <w:t>CreateSpace</w:t>
      </w:r>
      <w:proofErr w:type="spellEnd"/>
      <w:r w:rsidRPr="001B07E2">
        <w:t xml:space="preserve"> Independent Publishing </w:t>
      </w:r>
      <w:proofErr w:type="spellStart"/>
      <w:r w:rsidRPr="001B07E2">
        <w:t>Platform</w:t>
      </w:r>
      <w:proofErr w:type="spellEnd"/>
      <w:r w:rsidRPr="001B07E2">
        <w:t>. ISBN 978-1978276338</w:t>
      </w:r>
    </w:p>
    <w:p w:rsidR="00C50C49" w:rsidRPr="001B07E2" w:rsidRDefault="00C50C49" w:rsidP="00C94108">
      <w:pPr>
        <w:pStyle w:val="Listenabsatz"/>
        <w:numPr>
          <w:ilvl w:val="0"/>
          <w:numId w:val="10"/>
        </w:numPr>
        <w:jc w:val="left"/>
      </w:pPr>
      <w:proofErr w:type="spellStart"/>
      <w:r w:rsidRPr="001B07E2">
        <w:t>Bartschat</w:t>
      </w:r>
      <w:proofErr w:type="spellEnd"/>
      <w:r w:rsidRPr="001B07E2">
        <w:t xml:space="preserve"> N. (2018) Datenschutzprinzipien für vernetzte Fahrzeuge. Umsetzung von Privacy </w:t>
      </w:r>
      <w:proofErr w:type="spellStart"/>
      <w:r w:rsidRPr="001B07E2">
        <w:t>by</w:t>
      </w:r>
      <w:proofErr w:type="spellEnd"/>
      <w:r w:rsidRPr="001B07E2">
        <w:t xml:space="preserve"> Default und Privacy </w:t>
      </w:r>
      <w:proofErr w:type="spellStart"/>
      <w:r w:rsidRPr="001B07E2">
        <w:t>by</w:t>
      </w:r>
      <w:proofErr w:type="spellEnd"/>
      <w:r w:rsidRPr="001B07E2">
        <w:t xml:space="preserve"> Design: Herausforderungen und Gestaltungsempfehlungen. Verlag </w:t>
      </w:r>
      <w:proofErr w:type="spellStart"/>
      <w:r w:rsidRPr="001B07E2">
        <w:t>Grin</w:t>
      </w:r>
      <w:proofErr w:type="spellEnd"/>
      <w:r w:rsidRPr="001B07E2">
        <w:t>. ISBN 978-3668598386</w:t>
      </w:r>
    </w:p>
    <w:p w:rsidR="00AB780B" w:rsidRPr="001B07E2" w:rsidRDefault="00AB780B" w:rsidP="00C94108">
      <w:pPr>
        <w:pStyle w:val="Listenabsatz"/>
        <w:numPr>
          <w:ilvl w:val="0"/>
          <w:numId w:val="10"/>
        </w:numPr>
        <w:jc w:val="left"/>
      </w:pPr>
      <w:proofErr w:type="spellStart"/>
      <w:r w:rsidRPr="001B07E2">
        <w:t>Tschersich</w:t>
      </w:r>
      <w:proofErr w:type="spellEnd"/>
      <w:r w:rsidRPr="001B07E2">
        <w:t xml:space="preserve"> M. (2015) Privacy </w:t>
      </w:r>
      <w:proofErr w:type="spellStart"/>
      <w:r w:rsidRPr="001B07E2">
        <w:t>by</w:t>
      </w:r>
      <w:proofErr w:type="spellEnd"/>
      <w:r w:rsidRPr="001B07E2">
        <w:t xml:space="preserve"> Default in </w:t>
      </w:r>
      <w:proofErr w:type="spellStart"/>
      <w:r w:rsidRPr="001B07E2">
        <w:t>the</w:t>
      </w:r>
      <w:proofErr w:type="spellEnd"/>
      <w:r w:rsidRPr="001B07E2">
        <w:t xml:space="preserve"> European Union </w:t>
      </w:r>
      <w:proofErr w:type="spellStart"/>
      <w:r w:rsidRPr="001B07E2">
        <w:t>Proposal</w:t>
      </w:r>
      <w:proofErr w:type="spellEnd"/>
      <w:r w:rsidRPr="001B07E2">
        <w:t xml:space="preserve"> </w:t>
      </w:r>
      <w:proofErr w:type="spellStart"/>
      <w:r w:rsidRPr="001B07E2">
        <w:t>for</w:t>
      </w:r>
      <w:proofErr w:type="spellEnd"/>
      <w:r w:rsidRPr="001B07E2">
        <w:t xml:space="preserve"> Data </w:t>
      </w:r>
      <w:proofErr w:type="spellStart"/>
      <w:r w:rsidRPr="001B07E2">
        <w:t>Protection</w:t>
      </w:r>
      <w:proofErr w:type="spellEnd"/>
      <w:r w:rsidRPr="001B07E2">
        <w:t xml:space="preserve"> Regulation: Studies on </w:t>
      </w:r>
      <w:proofErr w:type="spellStart"/>
      <w:r w:rsidRPr="001B07E2">
        <w:t>the</w:t>
      </w:r>
      <w:proofErr w:type="spellEnd"/>
      <w:r w:rsidRPr="001B07E2">
        <w:t xml:space="preserve"> Impact </w:t>
      </w:r>
      <w:proofErr w:type="spellStart"/>
      <w:r w:rsidRPr="001B07E2">
        <w:t>of</w:t>
      </w:r>
      <w:proofErr w:type="spellEnd"/>
      <w:r w:rsidRPr="001B07E2">
        <w:t xml:space="preserve"> </w:t>
      </w:r>
      <w:proofErr w:type="spellStart"/>
      <w:r w:rsidRPr="001B07E2">
        <w:t>Restrictive</w:t>
      </w:r>
      <w:proofErr w:type="spellEnd"/>
      <w:r w:rsidRPr="001B07E2">
        <w:t xml:space="preserve"> Default Privacy. Verlag Dr. Kovac. ISBN 978-3830082118</w:t>
      </w:r>
    </w:p>
    <w:p w:rsidR="00B10FE8" w:rsidRPr="001B07E2" w:rsidRDefault="00B10FE8" w:rsidP="00C94108">
      <w:pPr>
        <w:pStyle w:val="Listenabsatz"/>
        <w:numPr>
          <w:ilvl w:val="0"/>
          <w:numId w:val="10"/>
        </w:numPr>
        <w:jc w:val="left"/>
      </w:pPr>
      <w:proofErr w:type="spellStart"/>
      <w:r w:rsidRPr="001B07E2">
        <w:t>Vagts</w:t>
      </w:r>
      <w:proofErr w:type="spellEnd"/>
      <w:r w:rsidRPr="001B07E2">
        <w:t xml:space="preserve"> HH (2013) Privatheit und Datenschutz in der intelligenten Überwachung: Ein datenschutzgewährendes System, entworfen nach dem „Privacy </w:t>
      </w:r>
      <w:proofErr w:type="spellStart"/>
      <w:r w:rsidRPr="001B07E2">
        <w:t>by</w:t>
      </w:r>
      <w:proofErr w:type="spellEnd"/>
      <w:r w:rsidRPr="001B07E2">
        <w:t xml:space="preserve"> Design“ Prinzip. </w:t>
      </w:r>
      <w:r w:rsidR="00C50C49" w:rsidRPr="001B07E2">
        <w:t xml:space="preserve">Verlag </w:t>
      </w:r>
      <w:r w:rsidRPr="001B07E2">
        <w:t>KIT Scientific Publishing. ISBN 978-3-7315-0041-4</w:t>
      </w:r>
    </w:p>
    <w:sectPr w:rsidR="00B10FE8" w:rsidRPr="001B07E2" w:rsidSect="009B25E9">
      <w:headerReference w:type="default" r:id="rId21"/>
      <w:footerReference w:type="default" r:id="rId2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A5" w:rsidRDefault="00B006A5" w:rsidP="00B8254E">
      <w:pPr>
        <w:spacing w:after="0" w:line="240" w:lineRule="auto"/>
      </w:pPr>
      <w:r>
        <w:separator/>
      </w:r>
    </w:p>
  </w:endnote>
  <w:endnote w:type="continuationSeparator" w:id="0">
    <w:p w:rsidR="00B006A5" w:rsidRDefault="00B006A5" w:rsidP="00B8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A8" w:rsidRDefault="003761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A8" w:rsidRDefault="003761A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A8" w:rsidRDefault="003761A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3761A8" w:rsidTr="001B07E2">
      <w:tc>
        <w:tcPr>
          <w:tcW w:w="9212" w:type="dxa"/>
        </w:tcPr>
        <w:p w:rsidR="003761A8" w:rsidRPr="006E57A5" w:rsidRDefault="003761A8" w:rsidP="001B07E2">
          <w:pPr>
            <w:pStyle w:val="Fuzeile"/>
            <w:jc w:val="center"/>
            <w:rPr>
              <w:sz w:val="18"/>
              <w:szCs w:val="18"/>
            </w:rPr>
          </w:pPr>
          <w:r w:rsidRPr="006E57A5">
            <w:rPr>
              <w:sz w:val="18"/>
              <w:szCs w:val="18"/>
            </w:rPr>
            <w:t xml:space="preserve">Seite </w:t>
          </w:r>
          <w:r w:rsidRPr="006E57A5">
            <w:rPr>
              <w:b/>
              <w:sz w:val="18"/>
              <w:szCs w:val="18"/>
            </w:rPr>
            <w:fldChar w:fldCharType="begin"/>
          </w:r>
          <w:r w:rsidRPr="006E57A5">
            <w:rPr>
              <w:b/>
              <w:sz w:val="18"/>
              <w:szCs w:val="18"/>
            </w:rPr>
            <w:instrText>PAGE  \* Arabic  \* MERGEFORMAT</w:instrText>
          </w:r>
          <w:r w:rsidRPr="006E57A5">
            <w:rPr>
              <w:b/>
              <w:sz w:val="18"/>
              <w:szCs w:val="18"/>
            </w:rPr>
            <w:fldChar w:fldCharType="separate"/>
          </w:r>
          <w:r w:rsidR="003F260A">
            <w:rPr>
              <w:b/>
              <w:noProof/>
              <w:sz w:val="18"/>
              <w:szCs w:val="18"/>
            </w:rPr>
            <w:t>24</w:t>
          </w:r>
          <w:r w:rsidRPr="006E57A5">
            <w:rPr>
              <w:b/>
              <w:sz w:val="18"/>
              <w:szCs w:val="18"/>
            </w:rPr>
            <w:fldChar w:fldCharType="end"/>
          </w:r>
          <w:r w:rsidRPr="006E57A5">
            <w:rPr>
              <w:sz w:val="18"/>
              <w:szCs w:val="18"/>
            </w:rPr>
            <w:t xml:space="preserve"> von </w:t>
          </w:r>
          <w:r w:rsidRPr="006E57A5">
            <w:rPr>
              <w:sz w:val="18"/>
              <w:szCs w:val="18"/>
            </w:rPr>
            <w:fldChar w:fldCharType="begin"/>
          </w:r>
          <w:r w:rsidRPr="006E57A5">
            <w:rPr>
              <w:sz w:val="18"/>
              <w:szCs w:val="18"/>
            </w:rPr>
            <w:instrText xml:space="preserve"> =</w:instrText>
          </w:r>
          <w:r w:rsidRPr="006E57A5">
            <w:rPr>
              <w:b/>
              <w:sz w:val="18"/>
              <w:szCs w:val="18"/>
            </w:rPr>
            <w:fldChar w:fldCharType="begin"/>
          </w:r>
          <w:r w:rsidRPr="006E57A5">
            <w:rPr>
              <w:b/>
              <w:sz w:val="18"/>
              <w:szCs w:val="18"/>
            </w:rPr>
            <w:instrText>NUMPAGES  \* Arabic  \* MERGEFORMAT</w:instrText>
          </w:r>
          <w:r w:rsidRPr="006E57A5">
            <w:rPr>
              <w:b/>
              <w:sz w:val="18"/>
              <w:szCs w:val="18"/>
            </w:rPr>
            <w:fldChar w:fldCharType="separate"/>
          </w:r>
          <w:r w:rsidR="003F260A">
            <w:rPr>
              <w:b/>
              <w:noProof/>
              <w:sz w:val="18"/>
              <w:szCs w:val="18"/>
            </w:rPr>
            <w:instrText>26</w:instrText>
          </w:r>
          <w:r w:rsidRPr="006E57A5">
            <w:rPr>
              <w:b/>
              <w:sz w:val="18"/>
              <w:szCs w:val="18"/>
            </w:rPr>
            <w:fldChar w:fldCharType="end"/>
          </w:r>
          <w:r w:rsidRPr="006E57A5">
            <w:rPr>
              <w:sz w:val="18"/>
              <w:szCs w:val="18"/>
            </w:rPr>
            <w:instrText>-2</w:instrText>
          </w:r>
          <w:r w:rsidRPr="006E57A5">
            <w:rPr>
              <w:sz w:val="18"/>
              <w:szCs w:val="18"/>
            </w:rPr>
            <w:fldChar w:fldCharType="separate"/>
          </w:r>
          <w:r w:rsidR="003F260A">
            <w:rPr>
              <w:noProof/>
              <w:sz w:val="18"/>
              <w:szCs w:val="18"/>
            </w:rPr>
            <w:t>24</w:t>
          </w:r>
          <w:r w:rsidRPr="006E57A5">
            <w:rPr>
              <w:sz w:val="18"/>
              <w:szCs w:val="18"/>
            </w:rPr>
            <w:fldChar w:fldCharType="end"/>
          </w:r>
        </w:p>
      </w:tc>
    </w:tr>
  </w:tbl>
  <w:p w:rsidR="003761A8" w:rsidRPr="009B25E9" w:rsidRDefault="003761A8">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A5" w:rsidRDefault="00B006A5" w:rsidP="00B8254E">
      <w:pPr>
        <w:spacing w:after="0" w:line="240" w:lineRule="auto"/>
      </w:pPr>
      <w:r>
        <w:separator/>
      </w:r>
    </w:p>
  </w:footnote>
  <w:footnote w:type="continuationSeparator" w:id="0">
    <w:p w:rsidR="00B006A5" w:rsidRDefault="00B006A5" w:rsidP="00B8254E">
      <w:pPr>
        <w:spacing w:after="0" w:line="240" w:lineRule="auto"/>
      </w:pPr>
      <w:r>
        <w:continuationSeparator/>
      </w:r>
    </w:p>
  </w:footnote>
  <w:footnote w:id="1">
    <w:p w:rsidR="003761A8" w:rsidRDefault="003761A8" w:rsidP="00B8254E">
      <w:pPr>
        <w:pStyle w:val="Funotentext"/>
      </w:pPr>
      <w:r>
        <w:rPr>
          <w:rStyle w:val="Funotenzeichen"/>
        </w:rPr>
        <w:footnoteRef/>
      </w:r>
      <w:r>
        <w:t xml:space="preserve"> </w:t>
      </w:r>
      <w:r w:rsidRPr="00870952">
        <w:t xml:space="preserve">Ann </w:t>
      </w:r>
      <w:proofErr w:type="spellStart"/>
      <w:r w:rsidRPr="00870952">
        <w:t>Cavoukian</w:t>
      </w:r>
      <w:proofErr w:type="spellEnd"/>
      <w:r w:rsidRPr="00870952">
        <w:t xml:space="preserve">: Privacy </w:t>
      </w:r>
      <w:proofErr w:type="spellStart"/>
      <w:r w:rsidRPr="00870952">
        <w:t>by</w:t>
      </w:r>
      <w:proofErr w:type="spellEnd"/>
      <w:r w:rsidRPr="00870952">
        <w:t xml:space="preserve"> Design: Strong Privacy </w:t>
      </w:r>
      <w:proofErr w:type="spellStart"/>
      <w:r w:rsidRPr="00870952">
        <w:t>Protection</w:t>
      </w:r>
      <w:proofErr w:type="spellEnd"/>
      <w:r w:rsidRPr="00870952">
        <w:t xml:space="preserve"> - </w:t>
      </w:r>
      <w:proofErr w:type="spellStart"/>
      <w:r w:rsidRPr="00870952">
        <w:t>Now</w:t>
      </w:r>
      <w:proofErr w:type="spellEnd"/>
      <w:r w:rsidRPr="00870952">
        <w:t xml:space="preserve">, </w:t>
      </w:r>
      <w:proofErr w:type="spellStart"/>
      <w:r w:rsidRPr="00870952">
        <w:t>and</w:t>
      </w:r>
      <w:proofErr w:type="spellEnd"/>
      <w:r w:rsidRPr="00870952">
        <w:t xml:space="preserve"> </w:t>
      </w:r>
      <w:proofErr w:type="spellStart"/>
      <w:r w:rsidRPr="00870952">
        <w:t>Well</w:t>
      </w:r>
      <w:proofErr w:type="spellEnd"/>
      <w:r w:rsidRPr="00870952">
        <w:t xml:space="preserve"> </w:t>
      </w:r>
      <w:proofErr w:type="spellStart"/>
      <w:r w:rsidRPr="00870952">
        <w:t>into</w:t>
      </w:r>
      <w:proofErr w:type="spellEnd"/>
      <w:r w:rsidRPr="00870952">
        <w:t xml:space="preserve"> </w:t>
      </w:r>
      <w:proofErr w:type="spellStart"/>
      <w:r w:rsidRPr="00870952">
        <w:t>the</w:t>
      </w:r>
      <w:proofErr w:type="spellEnd"/>
      <w:r w:rsidRPr="00870952">
        <w:t xml:space="preserve"> Future</w:t>
      </w:r>
      <w:r>
        <w:t>. [</w:t>
      </w:r>
      <w:r w:rsidRPr="008F76FE">
        <w:t>Online, zitier</w:t>
      </w:r>
      <w:r>
        <w:t>t am 2017</w:t>
      </w:r>
      <w:r w:rsidRPr="008F76FE">
        <w:t>-1</w:t>
      </w:r>
      <w:r>
        <w:t>2</w:t>
      </w:r>
      <w:r w:rsidRPr="008F76FE">
        <w:t>-</w:t>
      </w:r>
      <w:r>
        <w:t>07</w:t>
      </w:r>
      <w:r w:rsidRPr="008F76FE">
        <w:t>]; Verfügbar unter</w:t>
      </w:r>
      <w:r>
        <w:t xml:space="preserve"> </w:t>
      </w:r>
      <w:r w:rsidRPr="00870952">
        <w:t>https://www.ipc.on.ca/wp-content/uploads/Resources/PbDReport.pdf</w:t>
      </w:r>
    </w:p>
  </w:footnote>
  <w:footnote w:id="2">
    <w:p w:rsidR="003761A8" w:rsidRDefault="003761A8">
      <w:pPr>
        <w:pStyle w:val="Funotentext"/>
      </w:pPr>
      <w:r>
        <w:rPr>
          <w:rStyle w:val="Funotenzeichen"/>
        </w:rPr>
        <w:footnoteRef/>
      </w:r>
      <w:r>
        <w:t xml:space="preserve"> </w:t>
      </w:r>
      <w:r w:rsidRPr="007E3928">
        <w:t>Richtlinie 95/46/EG des Europäischen Parlaments und des Rates vom 24. Oktober 1995 zum Schutz natürlicher Personen bei der Verarbeitung personenbezogener Daten und zum freien Datenverkehr</w:t>
      </w:r>
      <w:r>
        <w:t>. [</w:t>
      </w:r>
      <w:r w:rsidRPr="008F76FE">
        <w:t>Online, zitier</w:t>
      </w:r>
      <w:r>
        <w:t>t am 2017</w:t>
      </w:r>
      <w:r w:rsidRPr="008F76FE">
        <w:t>-1</w:t>
      </w:r>
      <w:r>
        <w:t>2</w:t>
      </w:r>
      <w:r w:rsidRPr="008F76FE">
        <w:t>-</w:t>
      </w:r>
      <w:r>
        <w:t>07</w:t>
      </w:r>
      <w:r w:rsidRPr="008F76FE">
        <w:t>]; Verfügbar unter</w:t>
      </w:r>
      <w:r>
        <w:t xml:space="preserve"> </w:t>
      </w:r>
      <w:r w:rsidRPr="007E3928">
        <w:t>http://eur-lex.europa.eu/legal-content/DE/TXT/?uri=celex%3A31995L0046</w:t>
      </w:r>
    </w:p>
  </w:footnote>
  <w:footnote w:id="3">
    <w:p w:rsidR="003761A8" w:rsidRDefault="003761A8">
      <w:pPr>
        <w:pStyle w:val="Funotentext"/>
      </w:pPr>
      <w:r>
        <w:rPr>
          <w:rStyle w:val="Funotenzeichen"/>
        </w:rPr>
        <w:footnoteRef/>
      </w:r>
      <w:r>
        <w:t xml:space="preserve"> Wenngleich ErwGr. 46 der RL 95/46/EG bereits darstellte, dass die Maßnahmen „</w:t>
      </w:r>
      <w:r w:rsidRPr="002B7F2D">
        <w:t>sowohl zum Zeitpunkt der Planung des Verarbeitungssystems als auch zum Zeitpunkt der eigentlichen Verarbeitung</w:t>
      </w:r>
      <w:r>
        <w:t>“ eine unrechtmäßige Verarbeitung verhindern müssen.</w:t>
      </w:r>
    </w:p>
  </w:footnote>
  <w:footnote w:id="4">
    <w:p w:rsidR="003761A8" w:rsidRDefault="003761A8" w:rsidP="00B8254E">
      <w:pPr>
        <w:pStyle w:val="Funotentext"/>
      </w:pPr>
      <w:r>
        <w:rPr>
          <w:rStyle w:val="Funotenzeichen"/>
        </w:rPr>
        <w:footnoteRef/>
      </w:r>
      <w:r>
        <w:t xml:space="preserve"> Hinweis bzgl. Art. 5 DS-GVO nicht in der DS-GVO, sie stammen von den Verfassern dieser Ausarbeitung</w:t>
      </w:r>
    </w:p>
  </w:footnote>
  <w:footnote w:id="5">
    <w:p w:rsidR="003761A8" w:rsidRDefault="003761A8">
      <w:pPr>
        <w:pStyle w:val="Funotentext"/>
      </w:pPr>
      <w:r>
        <w:rPr>
          <w:rStyle w:val="Funotenzeichen"/>
        </w:rPr>
        <w:footnoteRef/>
      </w:r>
      <w:r>
        <w:t xml:space="preserve"> So z. B. </w:t>
      </w:r>
      <w:r w:rsidRPr="001166CB">
        <w:t xml:space="preserve">Nolte N, Werkmeister C. </w:t>
      </w:r>
      <w:r>
        <w:t xml:space="preserve">  Art.  2</w:t>
      </w:r>
      <w:r w:rsidRPr="001166CB">
        <w:t xml:space="preserve">5 </w:t>
      </w:r>
      <w:r>
        <w:t>Rn. 13</w:t>
      </w:r>
      <w:r w:rsidRPr="001166CB">
        <w:t xml:space="preserve"> in </w:t>
      </w:r>
      <w:proofErr w:type="spellStart"/>
      <w:r w:rsidRPr="001166CB">
        <w:t>Gola</w:t>
      </w:r>
      <w:proofErr w:type="spellEnd"/>
      <w:r w:rsidRPr="001166CB">
        <w:t xml:space="preserve"> (Hrsg.) DSGVO: Datenschutz-Grundverordnung V= (EU) 2016/679 Kommentar. C. H. Beck Verlag 2017. ISBN 978-3-406-69543-8</w:t>
      </w:r>
    </w:p>
  </w:footnote>
  <w:footnote w:id="6">
    <w:p w:rsidR="003761A8" w:rsidRDefault="003761A8">
      <w:pPr>
        <w:pStyle w:val="Funotentext"/>
      </w:pPr>
      <w:r>
        <w:rPr>
          <w:rStyle w:val="Funotenzeichen"/>
        </w:rPr>
        <w:footnoteRef/>
      </w:r>
      <w:r>
        <w:t xml:space="preserve"> </w:t>
      </w:r>
      <w:proofErr w:type="spellStart"/>
      <w:r w:rsidRPr="00D02A66">
        <w:t>Demingkreis</w:t>
      </w:r>
      <w:proofErr w:type="spellEnd"/>
      <w:r w:rsidRPr="00D02A66">
        <w:t xml:space="preserve"> oder PDCA-Zyklus (PDCA steht für das englische Plan-Do-Check-Act): ein iterativer Prozess für Lernen und Verbesserung eines Prozesses: der Prozess wird geplant („plan“, dann umgesetzt („do“), anschließend Prozessablauf und Ergebnisse überprüft („check“) und basierend auf den Ergebnissen der Prüfung der Vorgang bei Bedarf angepasst („</w:t>
      </w:r>
      <w:proofErr w:type="spellStart"/>
      <w:r w:rsidRPr="00D02A66">
        <w:t>act</w:t>
      </w:r>
      <w:proofErr w:type="spellEnd"/>
      <w:r w:rsidRPr="00D02A66">
        <w:t>“)</w:t>
      </w:r>
    </w:p>
  </w:footnote>
  <w:footnote w:id="7">
    <w:p w:rsidR="003761A8" w:rsidRDefault="003761A8" w:rsidP="00304E4F">
      <w:pPr>
        <w:pStyle w:val="Funotentext"/>
      </w:pPr>
      <w:r>
        <w:rPr>
          <w:rStyle w:val="Funotenzeichen"/>
        </w:rPr>
        <w:footnoteRef/>
      </w:r>
      <w:r>
        <w:t xml:space="preserve"> Martini M. Art. 24 Rn. 33 in Plath (Hrsg.) BDSG/DSGVO: Kommentar zum BDSG und zur DSGVO sowie den Datenschutzbestimmungen des TMG und TKG. </w:t>
      </w:r>
      <w:proofErr w:type="spellStart"/>
      <w:r>
        <w:t>ottoschmidt</w:t>
      </w:r>
      <w:proofErr w:type="spellEnd"/>
      <w:r>
        <w:t xml:space="preserve"> Verlag 2016. ISBN 978-3-504-56074-4</w:t>
      </w:r>
    </w:p>
  </w:footnote>
  <w:footnote w:id="8">
    <w:p w:rsidR="003761A8" w:rsidRDefault="003761A8" w:rsidP="00304E4F">
      <w:pPr>
        <w:pStyle w:val="Funotentext"/>
      </w:pPr>
      <w:r>
        <w:rPr>
          <w:rStyle w:val="Funotenzeichen"/>
        </w:rPr>
        <w:footnoteRef/>
      </w:r>
      <w:r>
        <w:t xml:space="preserve"> </w:t>
      </w:r>
      <w:r w:rsidRPr="000B0B06">
        <w:t xml:space="preserve">DIN CEN ISO/TS 14265 </w:t>
      </w:r>
      <w:r>
        <w:t>(Stand 2014-03)</w:t>
      </w:r>
      <w:r w:rsidRPr="000B0B06">
        <w:t xml:space="preserve"> „Klassifikation des Zwecks zur Verarbeitung von persönlichen Gesundheitsinformationen</w:t>
      </w:r>
      <w:r>
        <w:t xml:space="preserve">“. [Online, zitiert am 2018-01-16]; Verfügbar unter </w:t>
      </w:r>
      <w:hyperlink r:id="rId1" w:history="1">
        <w:r w:rsidRPr="008B79F5">
          <w:rPr>
            <w:rStyle w:val="Hyperlink"/>
          </w:rPr>
          <w:t>https://www.beuth.de/de/ technische-regel/din-cen-iso-ts-14265/149023541</w:t>
        </w:r>
      </w:hyperlink>
    </w:p>
  </w:footnote>
  <w:footnote w:id="9">
    <w:p w:rsidR="003761A8" w:rsidRDefault="003761A8" w:rsidP="000F3C6F">
      <w:pPr>
        <w:pStyle w:val="Funotentext"/>
      </w:pPr>
      <w:r>
        <w:rPr>
          <w:rStyle w:val="Funotenzeichen"/>
        </w:rPr>
        <w:footnoteRef/>
      </w:r>
      <w:r>
        <w:t xml:space="preserve"> Martini M. Art. 35 Rn. 15 in Plath (Hrsg.) BDSG/DSGVO: Kommentar zum BDSG und zur DSGVO sowie den Datenschutzbestimmungen des TMG und TKG. </w:t>
      </w:r>
      <w:proofErr w:type="spellStart"/>
      <w:r>
        <w:t>ottoschmidt</w:t>
      </w:r>
      <w:proofErr w:type="spellEnd"/>
      <w:r>
        <w:t xml:space="preserve"> Verlag 2016. ISBN 978-3-504-56074-4</w:t>
      </w:r>
    </w:p>
  </w:footnote>
  <w:footnote w:id="10">
    <w:p w:rsidR="003761A8" w:rsidRDefault="003761A8" w:rsidP="000F3C6F">
      <w:pPr>
        <w:pStyle w:val="Funotentext"/>
      </w:pPr>
      <w:r>
        <w:rPr>
          <w:rStyle w:val="Funotenzeichen"/>
        </w:rPr>
        <w:footnoteRef/>
      </w:r>
      <w:r>
        <w:t xml:space="preserve"> Bzgl. Lebensrisiko siehe auch: </w:t>
      </w:r>
      <w:r w:rsidRPr="002A483A">
        <w:t>BGH</w:t>
      </w:r>
      <w:r>
        <w:t xml:space="preserve"> Urt. V.</w:t>
      </w:r>
      <w:r w:rsidRPr="002A483A">
        <w:t xml:space="preserve"> </w:t>
      </w:r>
      <w:r>
        <w:t>1993-05-</w:t>
      </w:r>
      <w:r w:rsidRPr="002A483A">
        <w:t>04</w:t>
      </w:r>
      <w:r>
        <w:t>, AZ</w:t>
      </w:r>
      <w:r w:rsidRPr="002A483A">
        <w:t xml:space="preserve"> VI ZR 283/92</w:t>
      </w:r>
      <w:r>
        <w:t xml:space="preserve">. Online, zitiert am 2017-11-21; Verfügbar unter </w:t>
      </w:r>
      <w:hyperlink r:id="rId2" w:history="1">
        <w:r w:rsidRPr="002A483A">
          <w:rPr>
            <w:rStyle w:val="Hyperlink"/>
          </w:rPr>
          <w:t>https://dejure.org/dienste/vernetzung/rechtsprechung?Gericht=BGH&amp;Datum=04.05.1993 &amp;Aktenzeichen=VI%20ZR%20283/92</w:t>
        </w:r>
      </w:hyperlink>
    </w:p>
  </w:footnote>
  <w:footnote w:id="11">
    <w:p w:rsidR="003761A8" w:rsidRDefault="003761A8" w:rsidP="000F3C6F">
      <w:pPr>
        <w:pStyle w:val="Funotentext"/>
      </w:pPr>
      <w:r>
        <w:rPr>
          <w:rStyle w:val="Funotenzeichen"/>
        </w:rPr>
        <w:footnoteRef/>
      </w:r>
      <w:r>
        <w:t xml:space="preserve"> Martini M. Art. 35 Rn. 25 in Plath (Hrsg.) BDSG/DSGVO: Kommentar zum BDSG und zur DSGVO sowie den Datenschutzbestimmungen des TMG und TKG. </w:t>
      </w:r>
      <w:proofErr w:type="spellStart"/>
      <w:r>
        <w:t>ottoschmidt</w:t>
      </w:r>
      <w:proofErr w:type="spellEnd"/>
      <w:r>
        <w:t xml:space="preserve"> Verlag 2016. ISBN 978-3-504-56074-4</w:t>
      </w:r>
    </w:p>
  </w:footnote>
  <w:footnote w:id="12">
    <w:p w:rsidR="003761A8" w:rsidRDefault="003761A8" w:rsidP="00B8254E">
      <w:pPr>
        <w:pStyle w:val="Funotentext"/>
      </w:pPr>
      <w:r>
        <w:rPr>
          <w:rStyle w:val="Funotenzeichen"/>
        </w:rPr>
        <w:footnoteRef/>
      </w:r>
      <w:r>
        <w:t xml:space="preserve"> </w:t>
      </w:r>
      <w:r w:rsidRPr="00870952">
        <w:t xml:space="preserve">Ann </w:t>
      </w:r>
      <w:proofErr w:type="spellStart"/>
      <w:r w:rsidRPr="00870952">
        <w:t>Cavoukian</w:t>
      </w:r>
      <w:proofErr w:type="spellEnd"/>
      <w:r w:rsidRPr="00870952">
        <w:t xml:space="preserve">: Privacy </w:t>
      </w:r>
      <w:proofErr w:type="spellStart"/>
      <w:r w:rsidRPr="00870952">
        <w:t>by</w:t>
      </w:r>
      <w:proofErr w:type="spellEnd"/>
      <w:r w:rsidRPr="00870952">
        <w:t xml:space="preserve"> Design - The 7 </w:t>
      </w:r>
      <w:proofErr w:type="spellStart"/>
      <w:r w:rsidRPr="00870952">
        <w:t>Foundational</w:t>
      </w:r>
      <w:proofErr w:type="spellEnd"/>
      <w:r w:rsidRPr="00870952">
        <w:t xml:space="preserve"> </w:t>
      </w:r>
      <w:proofErr w:type="spellStart"/>
      <w:r w:rsidRPr="00870952">
        <w:t>Principles</w:t>
      </w:r>
      <w:proofErr w:type="spellEnd"/>
      <w:r>
        <w:t>. [</w:t>
      </w:r>
      <w:r w:rsidRPr="008F76FE">
        <w:t>Online, zitier</w:t>
      </w:r>
      <w:r>
        <w:t>t am 2017</w:t>
      </w:r>
      <w:r w:rsidRPr="008F76FE">
        <w:t>-1</w:t>
      </w:r>
      <w:r>
        <w:t>2</w:t>
      </w:r>
      <w:r w:rsidRPr="008F76FE">
        <w:t>-</w:t>
      </w:r>
      <w:r>
        <w:t>07</w:t>
      </w:r>
      <w:r w:rsidRPr="008F76FE">
        <w:t>]; Verfügbar unter</w:t>
      </w:r>
      <w:r>
        <w:t xml:space="preserve"> </w:t>
      </w:r>
      <w:r w:rsidRPr="00870952">
        <w:t>https://www.ipc.on.ca/wp-content/uploads/Resources/7foundationalprinciples.pdf</w:t>
      </w:r>
    </w:p>
  </w:footnote>
  <w:footnote w:id="13">
    <w:p w:rsidR="003761A8" w:rsidRDefault="003761A8">
      <w:pPr>
        <w:pStyle w:val="Funotentext"/>
      </w:pPr>
      <w:r>
        <w:rPr>
          <w:rStyle w:val="Funotenzeichen"/>
        </w:rPr>
        <w:footnoteRef/>
      </w:r>
      <w:r>
        <w:t xml:space="preserve"> </w:t>
      </w:r>
      <w:r w:rsidRPr="00A40957">
        <w:t>Martini M.</w:t>
      </w:r>
      <w:r>
        <w:t xml:space="preserve"> Art. 25 Rn. 41</w:t>
      </w:r>
      <w:r w:rsidRPr="00A40957">
        <w:t xml:space="preserve"> in Paal /Pauly (Hrsg.) GVO Datenschutz-Grundverordnung. C.H.Beck Verlag 2017. ISBN 978-3-406-69570-4</w:t>
      </w:r>
    </w:p>
  </w:footnote>
  <w:footnote w:id="14">
    <w:p w:rsidR="003761A8" w:rsidRDefault="003761A8">
      <w:pPr>
        <w:pStyle w:val="Funotentext"/>
      </w:pPr>
      <w:r>
        <w:rPr>
          <w:rStyle w:val="Funotenzeichen"/>
        </w:rPr>
        <w:footnoteRef/>
      </w:r>
      <w:r>
        <w:t xml:space="preserve"> So z. B. </w:t>
      </w:r>
      <w:r w:rsidRPr="001166CB">
        <w:t>Nolte N, Werkmeister C.</w:t>
      </w:r>
      <w:r>
        <w:t xml:space="preserve"> Art. 2</w:t>
      </w:r>
      <w:r w:rsidRPr="001166CB">
        <w:t xml:space="preserve">5 </w:t>
      </w:r>
      <w:r>
        <w:t>Rn. 19</w:t>
      </w:r>
      <w:r w:rsidRPr="001166CB">
        <w:t xml:space="preserve"> in </w:t>
      </w:r>
      <w:proofErr w:type="spellStart"/>
      <w:r w:rsidRPr="001166CB">
        <w:t>Gola</w:t>
      </w:r>
      <w:proofErr w:type="spellEnd"/>
      <w:r w:rsidRPr="001166CB">
        <w:t xml:space="preserve"> (Hrsg.) DSGVO: Datenschutz-Grundverordnung V= (EU) 2016/679 Kommentar. C. H. Beck Verlag 2017. ISBN 978-3-406-69543-8</w:t>
      </w:r>
    </w:p>
  </w:footnote>
  <w:footnote w:id="15">
    <w:p w:rsidR="003761A8" w:rsidRDefault="003761A8" w:rsidP="00C94108">
      <w:pPr>
        <w:pStyle w:val="Funotentext"/>
      </w:pPr>
      <w:r>
        <w:rPr>
          <w:rStyle w:val="Funotenzeichen"/>
        </w:rPr>
        <w:footnoteRef/>
      </w:r>
      <w:r>
        <w:t xml:space="preserve"> Der Begriff „genehmigte Zertifizierungsverfahren“ ist hierbei im Sinne von Art. 42 DS-GVO zu interpretieren, d.h. um Verfahren die gemäß Art. 42 Abs. 5 DS-GVO durch „</w:t>
      </w:r>
      <w:r w:rsidRPr="008E2DB9">
        <w:t>Zertifizierungsstellen nach</w:t>
      </w:r>
      <w:r>
        <w:t xml:space="preserve"> Art. </w:t>
      </w:r>
      <w:r w:rsidRPr="008E2DB9">
        <w:t>43 oder durch die zuständige Aufsichtsbehörde anhand der von dieser zuständigen Aufsichtsbehörde gemäß</w:t>
      </w:r>
      <w:r>
        <w:t xml:space="preserve"> Art. </w:t>
      </w:r>
      <w:r w:rsidRPr="008E2DB9">
        <w:t>58</w:t>
      </w:r>
      <w:r>
        <w:t xml:space="preserve"> Abs. </w:t>
      </w:r>
      <w:r w:rsidRPr="008E2DB9">
        <w:t>3 oder - gemäß</w:t>
      </w:r>
      <w:r>
        <w:t xml:space="preserve"> Art. </w:t>
      </w:r>
      <w:r w:rsidRPr="008E2DB9">
        <w:t>63 - durch den Ausschuss genehmigten Kriterien</w:t>
      </w:r>
      <w:r>
        <w:t>“ zertifiziert wurden.</w:t>
      </w:r>
    </w:p>
  </w:footnote>
  <w:footnote w:id="16">
    <w:p w:rsidR="003761A8" w:rsidRDefault="003761A8" w:rsidP="00C94108">
      <w:pPr>
        <w:pStyle w:val="Funotentext"/>
      </w:pPr>
      <w:r>
        <w:rPr>
          <w:rStyle w:val="Funotenzeichen"/>
        </w:rPr>
        <w:footnoteRef/>
      </w:r>
      <w:r>
        <w:t xml:space="preserve"> </w:t>
      </w:r>
      <w:proofErr w:type="spellStart"/>
      <w:r>
        <w:t>Hanßen</w:t>
      </w:r>
      <w:proofErr w:type="spellEnd"/>
      <w:r>
        <w:t xml:space="preserve"> H</w:t>
      </w:r>
      <w:r w:rsidRPr="00AC0379">
        <w:t>.</w:t>
      </w:r>
      <w:r>
        <w:t xml:space="preserve"> Art. 2</w:t>
      </w:r>
      <w:r w:rsidRPr="00AC0379">
        <w:t xml:space="preserve">5 </w:t>
      </w:r>
      <w:r>
        <w:t>Rn. 16</w:t>
      </w:r>
      <w:r w:rsidRPr="00AC0379">
        <w:t xml:space="preserve"> in </w:t>
      </w:r>
      <w:proofErr w:type="spellStart"/>
      <w:r w:rsidRPr="00AC0379">
        <w:t>Wybitul</w:t>
      </w:r>
      <w:proofErr w:type="spellEnd"/>
      <w:r w:rsidRPr="00AC0379">
        <w:t xml:space="preserve"> (Hrsg.) EU-Datenschutz-Grundverordnung. Fachmedien Recht und Wirtschaft. ISBN 978-3-8005-1623-0</w:t>
      </w:r>
    </w:p>
  </w:footnote>
  <w:footnote w:id="17">
    <w:p w:rsidR="003761A8" w:rsidRDefault="003761A8">
      <w:pPr>
        <w:pStyle w:val="Funotentext"/>
      </w:pPr>
      <w:r>
        <w:rPr>
          <w:rStyle w:val="Funotenzeichen"/>
        </w:rPr>
        <w:footnoteRef/>
      </w:r>
      <w:r>
        <w:t xml:space="preserve"> Böhm WT, </w:t>
      </w:r>
      <w:proofErr w:type="spellStart"/>
      <w:r>
        <w:t>Ströbel</w:t>
      </w:r>
      <w:proofErr w:type="spellEnd"/>
      <w:r>
        <w:t xml:space="preserve"> L. Art. </w:t>
      </w:r>
      <w:r w:rsidRPr="00AC0379">
        <w:t xml:space="preserve">5 </w:t>
      </w:r>
      <w:r>
        <w:t>Rn. 8</w:t>
      </w:r>
      <w:r w:rsidRPr="00AC0379">
        <w:t xml:space="preserve"> in </w:t>
      </w:r>
      <w:proofErr w:type="spellStart"/>
      <w:r w:rsidRPr="00AC0379">
        <w:t>Wybitul</w:t>
      </w:r>
      <w:proofErr w:type="spellEnd"/>
      <w:r w:rsidRPr="00AC0379">
        <w:t xml:space="preserve"> (Hrsg.) EU-Datenschutz-Grundverordnung. Fachmedien Recht und Wirtschaft. ISBN 978-3-8005-1623-0</w:t>
      </w:r>
    </w:p>
  </w:footnote>
  <w:footnote w:id="18">
    <w:p w:rsidR="003761A8" w:rsidRDefault="003761A8" w:rsidP="00C94108">
      <w:pPr>
        <w:pStyle w:val="Funotentext"/>
      </w:pPr>
      <w:r>
        <w:rPr>
          <w:rStyle w:val="Funotenzeichen"/>
        </w:rPr>
        <w:footnoteRef/>
      </w:r>
      <w:r>
        <w:t xml:space="preserve"> </w:t>
      </w:r>
      <w:proofErr w:type="spellStart"/>
      <w:r>
        <w:t>Hanßen</w:t>
      </w:r>
      <w:proofErr w:type="spellEnd"/>
      <w:r>
        <w:t xml:space="preserve"> H</w:t>
      </w:r>
      <w:r w:rsidRPr="00AC0379">
        <w:t>.</w:t>
      </w:r>
      <w:r>
        <w:t xml:space="preserve"> Art. 2</w:t>
      </w:r>
      <w:r w:rsidRPr="00AC0379">
        <w:t xml:space="preserve">5 </w:t>
      </w:r>
      <w:r>
        <w:t>Rn. 46</w:t>
      </w:r>
      <w:r w:rsidRPr="00AC0379">
        <w:t xml:space="preserve"> in </w:t>
      </w:r>
      <w:proofErr w:type="spellStart"/>
      <w:r w:rsidRPr="00AC0379">
        <w:t>Wybitul</w:t>
      </w:r>
      <w:proofErr w:type="spellEnd"/>
      <w:r w:rsidRPr="00AC0379">
        <w:t xml:space="preserve"> (Hrsg.) EU-Datenschutz-Grundverordnung. Fachmedien Recht und Wirtschaft. ISBN 978-3-8005-1623-0</w:t>
      </w:r>
    </w:p>
  </w:footnote>
  <w:footnote w:id="19">
    <w:p w:rsidR="003761A8" w:rsidRDefault="003761A8">
      <w:pPr>
        <w:pStyle w:val="Funotentext"/>
      </w:pPr>
      <w:r>
        <w:rPr>
          <w:rStyle w:val="Funotenzeichen"/>
        </w:rPr>
        <w:footnoteRef/>
      </w:r>
      <w:r>
        <w:t xml:space="preserve"> So auch Böhm WT, </w:t>
      </w:r>
      <w:proofErr w:type="spellStart"/>
      <w:r>
        <w:t>Ströbel</w:t>
      </w:r>
      <w:proofErr w:type="spellEnd"/>
      <w:r>
        <w:t xml:space="preserve"> L. Art. </w:t>
      </w:r>
      <w:r w:rsidRPr="00AC0379">
        <w:t xml:space="preserve">5 </w:t>
      </w:r>
      <w:r>
        <w:t>Rn. 18</w:t>
      </w:r>
      <w:r w:rsidRPr="00AC0379">
        <w:t xml:space="preserve"> in </w:t>
      </w:r>
      <w:proofErr w:type="spellStart"/>
      <w:r w:rsidRPr="00AC0379">
        <w:t>Wybitul</w:t>
      </w:r>
      <w:proofErr w:type="spellEnd"/>
      <w:r w:rsidRPr="00AC0379">
        <w:t xml:space="preserve"> (Hrsg.) EU-Datenschutz-Grundverordnung. Fachmedien Recht und Wirtschaft. ISBN 978-3-8005-1623-0</w:t>
      </w:r>
    </w:p>
  </w:footnote>
  <w:footnote w:id="20">
    <w:p w:rsidR="003761A8" w:rsidRDefault="003761A8">
      <w:pPr>
        <w:pStyle w:val="Funotentext"/>
      </w:pPr>
      <w:r>
        <w:rPr>
          <w:rStyle w:val="Funotenzeichen"/>
        </w:rPr>
        <w:footnoteRef/>
      </w:r>
      <w:r>
        <w:t xml:space="preserve"> Böhm WT, </w:t>
      </w:r>
      <w:proofErr w:type="spellStart"/>
      <w:r>
        <w:t>Ströbel</w:t>
      </w:r>
      <w:proofErr w:type="spellEnd"/>
      <w:r>
        <w:t xml:space="preserve"> L. Art. </w:t>
      </w:r>
      <w:r w:rsidRPr="00AC0379">
        <w:t xml:space="preserve">5 </w:t>
      </w:r>
      <w:r>
        <w:t>Rn. 22</w:t>
      </w:r>
      <w:r w:rsidRPr="00AC0379">
        <w:t xml:space="preserve"> in </w:t>
      </w:r>
      <w:proofErr w:type="spellStart"/>
      <w:r w:rsidRPr="00AC0379">
        <w:t>Wybitul</w:t>
      </w:r>
      <w:proofErr w:type="spellEnd"/>
      <w:r w:rsidRPr="00AC0379">
        <w:t xml:space="preserve"> (Hrsg.) EU-Datenschutz-Grundverordnung. Fachmedien Recht und Wirtschaft. ISBN 978-3-8005-1623-0</w:t>
      </w:r>
    </w:p>
  </w:footnote>
  <w:footnote w:id="21">
    <w:p w:rsidR="003761A8" w:rsidRDefault="003761A8">
      <w:pPr>
        <w:pStyle w:val="Funotentext"/>
      </w:pPr>
      <w:r>
        <w:rPr>
          <w:rStyle w:val="Funotenzeichen"/>
        </w:rPr>
        <w:footnoteRef/>
      </w:r>
      <w:r>
        <w:t xml:space="preserve"> </w:t>
      </w:r>
      <w:r w:rsidRPr="000D2395">
        <w:t xml:space="preserve">Böhm WT, </w:t>
      </w:r>
      <w:proofErr w:type="spellStart"/>
      <w:r w:rsidRPr="000D2395">
        <w:t>Ströbel</w:t>
      </w:r>
      <w:proofErr w:type="spellEnd"/>
      <w:r w:rsidRPr="000D2395">
        <w:t xml:space="preserve"> L.</w:t>
      </w:r>
      <w:r>
        <w:t xml:space="preserve"> Art. </w:t>
      </w:r>
      <w:r w:rsidRPr="000D2395">
        <w:t>5 Rn.</w:t>
      </w:r>
      <w:r>
        <w:t> </w:t>
      </w:r>
      <w:r w:rsidRPr="000D2395">
        <w:t>2</w:t>
      </w:r>
      <w:r>
        <w:t>9</w:t>
      </w:r>
      <w:r w:rsidRPr="000D2395">
        <w:t xml:space="preserve"> in </w:t>
      </w:r>
      <w:proofErr w:type="spellStart"/>
      <w:r w:rsidRPr="000D2395">
        <w:t>Wybitul</w:t>
      </w:r>
      <w:proofErr w:type="spellEnd"/>
      <w:r w:rsidRPr="000D2395">
        <w:t xml:space="preserve"> (Hrsg.) EU-Datenschutz-Grundverordnung. Fachmedien Recht und Wirtschaft. ISBN 978-3-8005-1623-0</w:t>
      </w:r>
    </w:p>
  </w:footnote>
  <w:footnote w:id="22">
    <w:p w:rsidR="003761A8" w:rsidRDefault="003761A8">
      <w:pPr>
        <w:pStyle w:val="Funotentext"/>
      </w:pPr>
      <w:r>
        <w:rPr>
          <w:rStyle w:val="Funotenzeichen"/>
        </w:rPr>
        <w:footnoteRef/>
      </w:r>
      <w:r>
        <w:t xml:space="preserve"> Angaben zum Verantwortlichen: Adresse, Ansprechpartner wie Geschäftsführung, Datenschutzbeauftragter usw.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A8" w:rsidRDefault="003761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A8" w:rsidRDefault="003761A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A8" w:rsidRDefault="003761A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A8" w:rsidRDefault="003761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FE"/>
    <w:multiLevelType w:val="hybridMultilevel"/>
    <w:tmpl w:val="02D87A6E"/>
    <w:lvl w:ilvl="0" w:tplc="78EC9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E44655"/>
    <w:multiLevelType w:val="hybridMultilevel"/>
    <w:tmpl w:val="0DF4878A"/>
    <w:lvl w:ilvl="0" w:tplc="C4A44C2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450D25"/>
    <w:multiLevelType w:val="hybridMultilevel"/>
    <w:tmpl w:val="A0CC44FA"/>
    <w:lvl w:ilvl="0" w:tplc="F5569764">
      <w:start w:val="3"/>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BA0049"/>
    <w:multiLevelType w:val="hybridMultilevel"/>
    <w:tmpl w:val="3F0631EA"/>
    <w:lvl w:ilvl="0" w:tplc="78EC9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FF5A09"/>
    <w:multiLevelType w:val="hybridMultilevel"/>
    <w:tmpl w:val="6E2E490C"/>
    <w:lvl w:ilvl="0" w:tplc="26A022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883AA6"/>
    <w:multiLevelType w:val="hybridMultilevel"/>
    <w:tmpl w:val="5994049A"/>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5E35CA"/>
    <w:multiLevelType w:val="hybridMultilevel"/>
    <w:tmpl w:val="8F622F60"/>
    <w:lvl w:ilvl="0" w:tplc="354272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55F775A"/>
    <w:multiLevelType w:val="hybridMultilevel"/>
    <w:tmpl w:val="817AAD08"/>
    <w:lvl w:ilvl="0" w:tplc="915C178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7B56B6"/>
    <w:multiLevelType w:val="hybridMultilevel"/>
    <w:tmpl w:val="73760276"/>
    <w:lvl w:ilvl="0" w:tplc="B1F0F5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18676D7"/>
    <w:multiLevelType w:val="hybridMultilevel"/>
    <w:tmpl w:val="AF144770"/>
    <w:lvl w:ilvl="0" w:tplc="78EC9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50C2652"/>
    <w:multiLevelType w:val="hybridMultilevel"/>
    <w:tmpl w:val="B4D4A8B6"/>
    <w:lvl w:ilvl="0" w:tplc="78EC9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894E63"/>
    <w:multiLevelType w:val="hybridMultilevel"/>
    <w:tmpl w:val="E8B290B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8867D5"/>
    <w:multiLevelType w:val="hybridMultilevel"/>
    <w:tmpl w:val="513AA7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834418E"/>
    <w:multiLevelType w:val="hybridMultilevel"/>
    <w:tmpl w:val="817AAD08"/>
    <w:lvl w:ilvl="0" w:tplc="915C178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D48094C"/>
    <w:multiLevelType w:val="hybridMultilevel"/>
    <w:tmpl w:val="997CB670"/>
    <w:lvl w:ilvl="0" w:tplc="78EC9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0A56C9D"/>
    <w:multiLevelType w:val="hybridMultilevel"/>
    <w:tmpl w:val="2E4C6CD4"/>
    <w:lvl w:ilvl="0" w:tplc="78EC9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7032B94"/>
    <w:multiLevelType w:val="multilevel"/>
    <w:tmpl w:val="444C99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nsid w:val="68A974BF"/>
    <w:multiLevelType w:val="hybridMultilevel"/>
    <w:tmpl w:val="2D1ABC9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B3A4EBF"/>
    <w:multiLevelType w:val="hybridMultilevel"/>
    <w:tmpl w:val="699E4D80"/>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CB525C7"/>
    <w:multiLevelType w:val="hybridMultilevel"/>
    <w:tmpl w:val="F7CCD4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748B3EBE"/>
    <w:multiLevelType w:val="hybridMultilevel"/>
    <w:tmpl w:val="7B8899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786627B0"/>
    <w:multiLevelType w:val="hybridMultilevel"/>
    <w:tmpl w:val="8CF8AD1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7"/>
  </w:num>
  <w:num w:numId="2">
    <w:abstractNumId w:val="15"/>
  </w:num>
  <w:num w:numId="3">
    <w:abstractNumId w:val="3"/>
  </w:num>
  <w:num w:numId="4">
    <w:abstractNumId w:val="11"/>
  </w:num>
  <w:num w:numId="5">
    <w:abstractNumId w:val="10"/>
  </w:num>
  <w:num w:numId="6">
    <w:abstractNumId w:val="18"/>
  </w:num>
  <w:num w:numId="7">
    <w:abstractNumId w:val="16"/>
  </w:num>
  <w:num w:numId="8">
    <w:abstractNumId w:val="0"/>
  </w:num>
  <w:num w:numId="9">
    <w:abstractNumId w:val="17"/>
  </w:num>
  <w:num w:numId="10">
    <w:abstractNumId w:val="6"/>
  </w:num>
  <w:num w:numId="11">
    <w:abstractNumId w:val="17"/>
  </w:num>
  <w:num w:numId="12">
    <w:abstractNumId w:val="12"/>
  </w:num>
  <w:num w:numId="13">
    <w:abstractNumId w:val="17"/>
  </w:num>
  <w:num w:numId="14">
    <w:abstractNumId w:val="9"/>
  </w:num>
  <w:num w:numId="15">
    <w:abstractNumId w:val="2"/>
  </w:num>
  <w:num w:numId="16">
    <w:abstractNumId w:val="14"/>
  </w:num>
  <w:num w:numId="17">
    <w:abstractNumId w:val="4"/>
  </w:num>
  <w:num w:numId="18">
    <w:abstractNumId w:val="7"/>
  </w:num>
  <w:num w:numId="19">
    <w:abstractNumId w:val="22"/>
  </w:num>
  <w:num w:numId="20">
    <w:abstractNumId w:val="5"/>
  </w:num>
  <w:num w:numId="21">
    <w:abstractNumId w:val="19"/>
  </w:num>
  <w:num w:numId="22">
    <w:abstractNumId w:val="20"/>
  </w:num>
  <w:num w:numId="23">
    <w:abstractNumId w:val="21"/>
  </w:num>
  <w:num w:numId="24">
    <w:abstractNumId w:val="1"/>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4E"/>
    <w:rsid w:val="00002229"/>
    <w:rsid w:val="00015162"/>
    <w:rsid w:val="00032950"/>
    <w:rsid w:val="00035DC2"/>
    <w:rsid w:val="000553C2"/>
    <w:rsid w:val="00061C92"/>
    <w:rsid w:val="000A56EA"/>
    <w:rsid w:val="000D2395"/>
    <w:rsid w:val="000D6368"/>
    <w:rsid w:val="000F3C6F"/>
    <w:rsid w:val="001166CB"/>
    <w:rsid w:val="00120B15"/>
    <w:rsid w:val="00136187"/>
    <w:rsid w:val="00180951"/>
    <w:rsid w:val="00186A2A"/>
    <w:rsid w:val="001B07E2"/>
    <w:rsid w:val="00217641"/>
    <w:rsid w:val="00227220"/>
    <w:rsid w:val="002326BB"/>
    <w:rsid w:val="0025586F"/>
    <w:rsid w:val="0028415A"/>
    <w:rsid w:val="002B7F2D"/>
    <w:rsid w:val="00304E4F"/>
    <w:rsid w:val="00326376"/>
    <w:rsid w:val="003408DF"/>
    <w:rsid w:val="00352935"/>
    <w:rsid w:val="00360A3A"/>
    <w:rsid w:val="0036513F"/>
    <w:rsid w:val="003761A8"/>
    <w:rsid w:val="003C78BD"/>
    <w:rsid w:val="003F260A"/>
    <w:rsid w:val="00422111"/>
    <w:rsid w:val="004647C2"/>
    <w:rsid w:val="00487918"/>
    <w:rsid w:val="004B0AD0"/>
    <w:rsid w:val="004B6DD9"/>
    <w:rsid w:val="004D3107"/>
    <w:rsid w:val="0051779C"/>
    <w:rsid w:val="005C3859"/>
    <w:rsid w:val="005C5CDE"/>
    <w:rsid w:val="005E2265"/>
    <w:rsid w:val="005E47AB"/>
    <w:rsid w:val="005F1D86"/>
    <w:rsid w:val="005F7B11"/>
    <w:rsid w:val="0061269F"/>
    <w:rsid w:val="006C02A2"/>
    <w:rsid w:val="006E7439"/>
    <w:rsid w:val="006F7164"/>
    <w:rsid w:val="007373E2"/>
    <w:rsid w:val="00790039"/>
    <w:rsid w:val="007B1EC3"/>
    <w:rsid w:val="007B20D3"/>
    <w:rsid w:val="007E0E5C"/>
    <w:rsid w:val="007E3928"/>
    <w:rsid w:val="008B79F5"/>
    <w:rsid w:val="008E21DC"/>
    <w:rsid w:val="008E2DB9"/>
    <w:rsid w:val="0091762C"/>
    <w:rsid w:val="009A4D47"/>
    <w:rsid w:val="009B12AF"/>
    <w:rsid w:val="009B25E9"/>
    <w:rsid w:val="009D7AD9"/>
    <w:rsid w:val="009F765A"/>
    <w:rsid w:val="00A11FFB"/>
    <w:rsid w:val="00A23FE2"/>
    <w:rsid w:val="00A40957"/>
    <w:rsid w:val="00AB0F75"/>
    <w:rsid w:val="00AB780B"/>
    <w:rsid w:val="00AC0379"/>
    <w:rsid w:val="00AF5A49"/>
    <w:rsid w:val="00B006A5"/>
    <w:rsid w:val="00B10FE8"/>
    <w:rsid w:val="00B23A62"/>
    <w:rsid w:val="00B300BA"/>
    <w:rsid w:val="00B321B7"/>
    <w:rsid w:val="00B4553D"/>
    <w:rsid w:val="00B53E43"/>
    <w:rsid w:val="00B8254E"/>
    <w:rsid w:val="00BB3D1F"/>
    <w:rsid w:val="00BD737B"/>
    <w:rsid w:val="00C12EC4"/>
    <w:rsid w:val="00C257CB"/>
    <w:rsid w:val="00C50C49"/>
    <w:rsid w:val="00C52FF4"/>
    <w:rsid w:val="00C84D8B"/>
    <w:rsid w:val="00C94108"/>
    <w:rsid w:val="00CA4252"/>
    <w:rsid w:val="00CE18CA"/>
    <w:rsid w:val="00D02A66"/>
    <w:rsid w:val="00DB4DC9"/>
    <w:rsid w:val="00DB59B7"/>
    <w:rsid w:val="00E9509D"/>
    <w:rsid w:val="00EE5933"/>
    <w:rsid w:val="00EF65AC"/>
    <w:rsid w:val="00F11EF7"/>
    <w:rsid w:val="00F2196A"/>
    <w:rsid w:val="00FD1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C49"/>
    <w:pPr>
      <w:jc w:val="both"/>
    </w:pPr>
  </w:style>
  <w:style w:type="paragraph" w:styleId="berschrift1">
    <w:name w:val="heading 1"/>
    <w:basedOn w:val="Standard"/>
    <w:next w:val="Standard"/>
    <w:link w:val="berschrift1Zchn"/>
    <w:uiPriority w:val="9"/>
    <w:qFormat/>
    <w:rsid w:val="00B825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25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25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B825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825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825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825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25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825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unhideWhenUsed/>
    <w:rsid w:val="00B8254E"/>
    <w:rPr>
      <w:sz w:val="16"/>
      <w:szCs w:val="16"/>
    </w:rPr>
  </w:style>
  <w:style w:type="paragraph" w:styleId="Kommentartext">
    <w:name w:val="annotation text"/>
    <w:basedOn w:val="Standard"/>
    <w:link w:val="KommentartextZchn"/>
    <w:uiPriority w:val="99"/>
    <w:unhideWhenUsed/>
    <w:rsid w:val="00B8254E"/>
    <w:pPr>
      <w:spacing w:line="240" w:lineRule="auto"/>
    </w:pPr>
    <w:rPr>
      <w:sz w:val="20"/>
      <w:szCs w:val="20"/>
    </w:rPr>
  </w:style>
  <w:style w:type="character" w:customStyle="1" w:styleId="KommentartextZchn">
    <w:name w:val="Kommentartext Zchn"/>
    <w:basedOn w:val="Absatz-Standardschriftart"/>
    <w:link w:val="Kommentartext"/>
    <w:uiPriority w:val="99"/>
    <w:rsid w:val="00B8254E"/>
    <w:rPr>
      <w:sz w:val="20"/>
      <w:szCs w:val="20"/>
    </w:rPr>
  </w:style>
  <w:style w:type="paragraph" w:styleId="Sprechblasentext">
    <w:name w:val="Balloon Text"/>
    <w:basedOn w:val="Standard"/>
    <w:link w:val="SprechblasentextZchn"/>
    <w:uiPriority w:val="99"/>
    <w:semiHidden/>
    <w:unhideWhenUsed/>
    <w:rsid w:val="00B825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54E"/>
    <w:rPr>
      <w:rFonts w:ascii="Tahoma" w:hAnsi="Tahoma" w:cs="Tahoma"/>
      <w:sz w:val="16"/>
      <w:szCs w:val="16"/>
    </w:rPr>
  </w:style>
  <w:style w:type="paragraph" w:styleId="Titel">
    <w:name w:val="Title"/>
    <w:basedOn w:val="Standard"/>
    <w:next w:val="Standard"/>
    <w:link w:val="TitelZchn"/>
    <w:uiPriority w:val="10"/>
    <w:qFormat/>
    <w:rsid w:val="00AB780B"/>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B780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8254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8254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8254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B8254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8254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8254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8254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8254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254E"/>
    <w:rPr>
      <w:rFonts w:asciiTheme="majorHAnsi" w:eastAsiaTheme="majorEastAsia" w:hAnsiTheme="majorHAnsi" w:cstheme="majorBidi"/>
      <w:i/>
      <w:iCs/>
      <w:color w:val="404040" w:themeColor="text1" w:themeTint="BF"/>
      <w:sz w:val="20"/>
      <w:szCs w:val="20"/>
    </w:rPr>
  </w:style>
  <w:style w:type="paragraph" w:styleId="Listenabsatz">
    <w:name w:val="List Paragraph"/>
    <w:aliases w:val="Nummerierung,Listenabsatz1"/>
    <w:basedOn w:val="Standard"/>
    <w:link w:val="ListenabsatzZchn"/>
    <w:uiPriority w:val="34"/>
    <w:qFormat/>
    <w:rsid w:val="00B8254E"/>
    <w:pPr>
      <w:tabs>
        <w:tab w:val="left" w:pos="1559"/>
      </w:tabs>
      <w:ind w:left="720"/>
      <w:contextualSpacing/>
    </w:pPr>
  </w:style>
  <w:style w:type="paragraph" w:styleId="Funotentext">
    <w:name w:val="footnote text"/>
    <w:aliases w:val="MWV-Fußnotentext"/>
    <w:basedOn w:val="Standard"/>
    <w:link w:val="FunotentextZchn"/>
    <w:uiPriority w:val="99"/>
    <w:unhideWhenUsed/>
    <w:rsid w:val="00B8254E"/>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sid w:val="00B8254E"/>
    <w:rPr>
      <w:sz w:val="20"/>
      <w:szCs w:val="20"/>
    </w:rPr>
  </w:style>
  <w:style w:type="character" w:styleId="Funotenzeichen">
    <w:name w:val="footnote reference"/>
    <w:basedOn w:val="Absatz-Standardschriftart"/>
    <w:uiPriority w:val="99"/>
    <w:unhideWhenUsed/>
    <w:rsid w:val="00B8254E"/>
    <w:rPr>
      <w:vertAlign w:val="superscript"/>
    </w:rPr>
  </w:style>
  <w:style w:type="character" w:customStyle="1" w:styleId="ListenabsatzZchn">
    <w:name w:val="Listenabsatz Zchn"/>
    <w:aliases w:val="Nummerierung Zchn,Listenabsatz1 Zchn"/>
    <w:basedOn w:val="Absatz-Standardschriftart"/>
    <w:link w:val="Listenabsatz"/>
    <w:uiPriority w:val="34"/>
    <w:rsid w:val="00B8254E"/>
  </w:style>
  <w:style w:type="table" w:styleId="Tabellenraster">
    <w:name w:val="Table Grid"/>
    <w:basedOn w:val="NormaleTabelle"/>
    <w:uiPriority w:val="59"/>
    <w:rsid w:val="005C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1762C"/>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A40957"/>
    <w:pPr>
      <w:jc w:val="left"/>
    </w:pPr>
    <w:rPr>
      <w:b/>
      <w:bCs/>
    </w:rPr>
  </w:style>
  <w:style w:type="character" w:customStyle="1" w:styleId="KommentarthemaZchn">
    <w:name w:val="Kommentarthema Zchn"/>
    <w:basedOn w:val="KommentartextZchn"/>
    <w:link w:val="Kommentarthema"/>
    <w:uiPriority w:val="99"/>
    <w:semiHidden/>
    <w:rsid w:val="00A40957"/>
    <w:rPr>
      <w:b/>
      <w:bCs/>
      <w:sz w:val="20"/>
      <w:szCs w:val="20"/>
    </w:rPr>
  </w:style>
  <w:style w:type="paragraph" w:styleId="KeinLeerraum">
    <w:name w:val="No Spacing"/>
    <w:uiPriority w:val="1"/>
    <w:qFormat/>
    <w:rsid w:val="00035DC2"/>
    <w:pPr>
      <w:spacing w:after="0" w:line="240" w:lineRule="auto"/>
      <w:jc w:val="both"/>
    </w:pPr>
  </w:style>
  <w:style w:type="paragraph" w:styleId="Verzeichnis1">
    <w:name w:val="toc 1"/>
    <w:basedOn w:val="Standard"/>
    <w:next w:val="Standard"/>
    <w:autoRedefine/>
    <w:uiPriority w:val="39"/>
    <w:unhideWhenUsed/>
    <w:rsid w:val="005E2265"/>
    <w:pPr>
      <w:spacing w:before="120" w:after="0"/>
      <w:jc w:val="left"/>
    </w:pPr>
    <w:rPr>
      <w:b/>
      <w:bCs/>
      <w:iCs/>
      <w:sz w:val="24"/>
      <w:szCs w:val="24"/>
    </w:rPr>
  </w:style>
  <w:style w:type="paragraph" w:styleId="Verzeichnis2">
    <w:name w:val="toc 2"/>
    <w:basedOn w:val="Standard"/>
    <w:next w:val="Standard"/>
    <w:autoRedefine/>
    <w:uiPriority w:val="39"/>
    <w:unhideWhenUsed/>
    <w:rsid w:val="005E2265"/>
    <w:pPr>
      <w:spacing w:before="120" w:after="0"/>
      <w:ind w:left="220"/>
      <w:jc w:val="left"/>
    </w:pPr>
    <w:rPr>
      <w:b/>
      <w:bCs/>
    </w:rPr>
  </w:style>
  <w:style w:type="paragraph" w:styleId="Verzeichnis3">
    <w:name w:val="toc 3"/>
    <w:basedOn w:val="Standard"/>
    <w:next w:val="Standard"/>
    <w:autoRedefine/>
    <w:uiPriority w:val="39"/>
    <w:unhideWhenUsed/>
    <w:rsid w:val="005E2265"/>
    <w:pPr>
      <w:spacing w:after="0"/>
      <w:ind w:left="440"/>
      <w:jc w:val="left"/>
    </w:pPr>
    <w:rPr>
      <w:sz w:val="20"/>
      <w:szCs w:val="20"/>
    </w:rPr>
  </w:style>
  <w:style w:type="paragraph" w:styleId="Verzeichnis4">
    <w:name w:val="toc 4"/>
    <w:basedOn w:val="Standard"/>
    <w:next w:val="Standard"/>
    <w:autoRedefine/>
    <w:uiPriority w:val="39"/>
    <w:unhideWhenUsed/>
    <w:rsid w:val="005E2265"/>
    <w:pPr>
      <w:spacing w:after="0"/>
      <w:ind w:left="660"/>
      <w:jc w:val="left"/>
    </w:pPr>
    <w:rPr>
      <w:sz w:val="20"/>
      <w:szCs w:val="20"/>
    </w:rPr>
  </w:style>
  <w:style w:type="paragraph" w:styleId="Verzeichnis5">
    <w:name w:val="toc 5"/>
    <w:basedOn w:val="Standard"/>
    <w:next w:val="Standard"/>
    <w:autoRedefine/>
    <w:uiPriority w:val="39"/>
    <w:unhideWhenUsed/>
    <w:rsid w:val="005E2265"/>
    <w:pPr>
      <w:spacing w:after="0"/>
      <w:ind w:left="880"/>
      <w:jc w:val="left"/>
    </w:pPr>
    <w:rPr>
      <w:sz w:val="20"/>
      <w:szCs w:val="20"/>
    </w:rPr>
  </w:style>
  <w:style w:type="paragraph" w:styleId="Verzeichnis6">
    <w:name w:val="toc 6"/>
    <w:basedOn w:val="Standard"/>
    <w:next w:val="Standard"/>
    <w:autoRedefine/>
    <w:uiPriority w:val="39"/>
    <w:unhideWhenUsed/>
    <w:rsid w:val="005E2265"/>
    <w:pPr>
      <w:spacing w:after="0"/>
      <w:ind w:left="1100"/>
      <w:jc w:val="left"/>
    </w:pPr>
    <w:rPr>
      <w:sz w:val="20"/>
      <w:szCs w:val="20"/>
    </w:rPr>
  </w:style>
  <w:style w:type="paragraph" w:styleId="Verzeichnis7">
    <w:name w:val="toc 7"/>
    <w:basedOn w:val="Standard"/>
    <w:next w:val="Standard"/>
    <w:autoRedefine/>
    <w:uiPriority w:val="39"/>
    <w:unhideWhenUsed/>
    <w:rsid w:val="005E2265"/>
    <w:pPr>
      <w:spacing w:after="0"/>
      <w:ind w:left="1320"/>
      <w:jc w:val="left"/>
    </w:pPr>
    <w:rPr>
      <w:sz w:val="20"/>
      <w:szCs w:val="20"/>
    </w:rPr>
  </w:style>
  <w:style w:type="paragraph" w:styleId="Verzeichnis8">
    <w:name w:val="toc 8"/>
    <w:basedOn w:val="Standard"/>
    <w:next w:val="Standard"/>
    <w:autoRedefine/>
    <w:uiPriority w:val="39"/>
    <w:unhideWhenUsed/>
    <w:rsid w:val="005E2265"/>
    <w:pPr>
      <w:spacing w:after="0"/>
      <w:ind w:left="1540"/>
      <w:jc w:val="left"/>
    </w:pPr>
    <w:rPr>
      <w:sz w:val="20"/>
      <w:szCs w:val="20"/>
    </w:rPr>
  </w:style>
  <w:style w:type="paragraph" w:styleId="Verzeichnis9">
    <w:name w:val="toc 9"/>
    <w:basedOn w:val="Standard"/>
    <w:next w:val="Standard"/>
    <w:autoRedefine/>
    <w:uiPriority w:val="39"/>
    <w:unhideWhenUsed/>
    <w:rsid w:val="005E2265"/>
    <w:pPr>
      <w:spacing w:after="0"/>
      <w:ind w:left="1760"/>
      <w:jc w:val="left"/>
    </w:pPr>
    <w:rPr>
      <w:sz w:val="20"/>
      <w:szCs w:val="20"/>
    </w:rPr>
  </w:style>
  <w:style w:type="paragraph" w:styleId="Kopfzeile">
    <w:name w:val="header"/>
    <w:basedOn w:val="Standard"/>
    <w:link w:val="KopfzeileZchn"/>
    <w:uiPriority w:val="99"/>
    <w:unhideWhenUsed/>
    <w:rsid w:val="009B25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5E9"/>
  </w:style>
  <w:style w:type="paragraph" w:styleId="Fuzeile">
    <w:name w:val="footer"/>
    <w:basedOn w:val="Standard"/>
    <w:link w:val="FuzeileZchn"/>
    <w:uiPriority w:val="99"/>
    <w:unhideWhenUsed/>
    <w:rsid w:val="009B25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C49"/>
    <w:pPr>
      <w:jc w:val="both"/>
    </w:pPr>
  </w:style>
  <w:style w:type="paragraph" w:styleId="berschrift1">
    <w:name w:val="heading 1"/>
    <w:basedOn w:val="Standard"/>
    <w:next w:val="Standard"/>
    <w:link w:val="berschrift1Zchn"/>
    <w:uiPriority w:val="9"/>
    <w:qFormat/>
    <w:rsid w:val="00B825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25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25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B825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825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825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825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25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825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unhideWhenUsed/>
    <w:rsid w:val="00B8254E"/>
    <w:rPr>
      <w:sz w:val="16"/>
      <w:szCs w:val="16"/>
    </w:rPr>
  </w:style>
  <w:style w:type="paragraph" w:styleId="Kommentartext">
    <w:name w:val="annotation text"/>
    <w:basedOn w:val="Standard"/>
    <w:link w:val="KommentartextZchn"/>
    <w:uiPriority w:val="99"/>
    <w:unhideWhenUsed/>
    <w:rsid w:val="00B8254E"/>
    <w:pPr>
      <w:spacing w:line="240" w:lineRule="auto"/>
    </w:pPr>
    <w:rPr>
      <w:sz w:val="20"/>
      <w:szCs w:val="20"/>
    </w:rPr>
  </w:style>
  <w:style w:type="character" w:customStyle="1" w:styleId="KommentartextZchn">
    <w:name w:val="Kommentartext Zchn"/>
    <w:basedOn w:val="Absatz-Standardschriftart"/>
    <w:link w:val="Kommentartext"/>
    <w:uiPriority w:val="99"/>
    <w:rsid w:val="00B8254E"/>
    <w:rPr>
      <w:sz w:val="20"/>
      <w:szCs w:val="20"/>
    </w:rPr>
  </w:style>
  <w:style w:type="paragraph" w:styleId="Sprechblasentext">
    <w:name w:val="Balloon Text"/>
    <w:basedOn w:val="Standard"/>
    <w:link w:val="SprechblasentextZchn"/>
    <w:uiPriority w:val="99"/>
    <w:semiHidden/>
    <w:unhideWhenUsed/>
    <w:rsid w:val="00B825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54E"/>
    <w:rPr>
      <w:rFonts w:ascii="Tahoma" w:hAnsi="Tahoma" w:cs="Tahoma"/>
      <w:sz w:val="16"/>
      <w:szCs w:val="16"/>
    </w:rPr>
  </w:style>
  <w:style w:type="paragraph" w:styleId="Titel">
    <w:name w:val="Title"/>
    <w:basedOn w:val="Standard"/>
    <w:next w:val="Standard"/>
    <w:link w:val="TitelZchn"/>
    <w:uiPriority w:val="10"/>
    <w:qFormat/>
    <w:rsid w:val="00AB780B"/>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B780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8254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8254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8254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B8254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8254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8254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8254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8254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254E"/>
    <w:rPr>
      <w:rFonts w:asciiTheme="majorHAnsi" w:eastAsiaTheme="majorEastAsia" w:hAnsiTheme="majorHAnsi" w:cstheme="majorBidi"/>
      <w:i/>
      <w:iCs/>
      <w:color w:val="404040" w:themeColor="text1" w:themeTint="BF"/>
      <w:sz w:val="20"/>
      <w:szCs w:val="20"/>
    </w:rPr>
  </w:style>
  <w:style w:type="paragraph" w:styleId="Listenabsatz">
    <w:name w:val="List Paragraph"/>
    <w:aliases w:val="Nummerierung,Listenabsatz1"/>
    <w:basedOn w:val="Standard"/>
    <w:link w:val="ListenabsatzZchn"/>
    <w:uiPriority w:val="34"/>
    <w:qFormat/>
    <w:rsid w:val="00B8254E"/>
    <w:pPr>
      <w:tabs>
        <w:tab w:val="left" w:pos="1559"/>
      </w:tabs>
      <w:ind w:left="720"/>
      <w:contextualSpacing/>
    </w:pPr>
  </w:style>
  <w:style w:type="paragraph" w:styleId="Funotentext">
    <w:name w:val="footnote text"/>
    <w:aliases w:val="MWV-Fußnotentext"/>
    <w:basedOn w:val="Standard"/>
    <w:link w:val="FunotentextZchn"/>
    <w:uiPriority w:val="99"/>
    <w:unhideWhenUsed/>
    <w:rsid w:val="00B8254E"/>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sid w:val="00B8254E"/>
    <w:rPr>
      <w:sz w:val="20"/>
      <w:szCs w:val="20"/>
    </w:rPr>
  </w:style>
  <w:style w:type="character" w:styleId="Funotenzeichen">
    <w:name w:val="footnote reference"/>
    <w:basedOn w:val="Absatz-Standardschriftart"/>
    <w:uiPriority w:val="99"/>
    <w:unhideWhenUsed/>
    <w:rsid w:val="00B8254E"/>
    <w:rPr>
      <w:vertAlign w:val="superscript"/>
    </w:rPr>
  </w:style>
  <w:style w:type="character" w:customStyle="1" w:styleId="ListenabsatzZchn">
    <w:name w:val="Listenabsatz Zchn"/>
    <w:aliases w:val="Nummerierung Zchn,Listenabsatz1 Zchn"/>
    <w:basedOn w:val="Absatz-Standardschriftart"/>
    <w:link w:val="Listenabsatz"/>
    <w:uiPriority w:val="34"/>
    <w:rsid w:val="00B8254E"/>
  </w:style>
  <w:style w:type="table" w:styleId="Tabellenraster">
    <w:name w:val="Table Grid"/>
    <w:basedOn w:val="NormaleTabelle"/>
    <w:uiPriority w:val="59"/>
    <w:rsid w:val="005C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1762C"/>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A40957"/>
    <w:pPr>
      <w:jc w:val="left"/>
    </w:pPr>
    <w:rPr>
      <w:b/>
      <w:bCs/>
    </w:rPr>
  </w:style>
  <w:style w:type="character" w:customStyle="1" w:styleId="KommentarthemaZchn">
    <w:name w:val="Kommentarthema Zchn"/>
    <w:basedOn w:val="KommentartextZchn"/>
    <w:link w:val="Kommentarthema"/>
    <w:uiPriority w:val="99"/>
    <w:semiHidden/>
    <w:rsid w:val="00A40957"/>
    <w:rPr>
      <w:b/>
      <w:bCs/>
      <w:sz w:val="20"/>
      <w:szCs w:val="20"/>
    </w:rPr>
  </w:style>
  <w:style w:type="paragraph" w:styleId="KeinLeerraum">
    <w:name w:val="No Spacing"/>
    <w:uiPriority w:val="1"/>
    <w:qFormat/>
    <w:rsid w:val="00035DC2"/>
    <w:pPr>
      <w:spacing w:after="0" w:line="240" w:lineRule="auto"/>
      <w:jc w:val="both"/>
    </w:pPr>
  </w:style>
  <w:style w:type="paragraph" w:styleId="Verzeichnis1">
    <w:name w:val="toc 1"/>
    <w:basedOn w:val="Standard"/>
    <w:next w:val="Standard"/>
    <w:autoRedefine/>
    <w:uiPriority w:val="39"/>
    <w:unhideWhenUsed/>
    <w:rsid w:val="005E2265"/>
    <w:pPr>
      <w:spacing w:before="120" w:after="0"/>
      <w:jc w:val="left"/>
    </w:pPr>
    <w:rPr>
      <w:b/>
      <w:bCs/>
      <w:iCs/>
      <w:sz w:val="24"/>
      <w:szCs w:val="24"/>
    </w:rPr>
  </w:style>
  <w:style w:type="paragraph" w:styleId="Verzeichnis2">
    <w:name w:val="toc 2"/>
    <w:basedOn w:val="Standard"/>
    <w:next w:val="Standard"/>
    <w:autoRedefine/>
    <w:uiPriority w:val="39"/>
    <w:unhideWhenUsed/>
    <w:rsid w:val="005E2265"/>
    <w:pPr>
      <w:spacing w:before="120" w:after="0"/>
      <w:ind w:left="220"/>
      <w:jc w:val="left"/>
    </w:pPr>
    <w:rPr>
      <w:b/>
      <w:bCs/>
    </w:rPr>
  </w:style>
  <w:style w:type="paragraph" w:styleId="Verzeichnis3">
    <w:name w:val="toc 3"/>
    <w:basedOn w:val="Standard"/>
    <w:next w:val="Standard"/>
    <w:autoRedefine/>
    <w:uiPriority w:val="39"/>
    <w:unhideWhenUsed/>
    <w:rsid w:val="005E2265"/>
    <w:pPr>
      <w:spacing w:after="0"/>
      <w:ind w:left="440"/>
      <w:jc w:val="left"/>
    </w:pPr>
    <w:rPr>
      <w:sz w:val="20"/>
      <w:szCs w:val="20"/>
    </w:rPr>
  </w:style>
  <w:style w:type="paragraph" w:styleId="Verzeichnis4">
    <w:name w:val="toc 4"/>
    <w:basedOn w:val="Standard"/>
    <w:next w:val="Standard"/>
    <w:autoRedefine/>
    <w:uiPriority w:val="39"/>
    <w:unhideWhenUsed/>
    <w:rsid w:val="005E2265"/>
    <w:pPr>
      <w:spacing w:after="0"/>
      <w:ind w:left="660"/>
      <w:jc w:val="left"/>
    </w:pPr>
    <w:rPr>
      <w:sz w:val="20"/>
      <w:szCs w:val="20"/>
    </w:rPr>
  </w:style>
  <w:style w:type="paragraph" w:styleId="Verzeichnis5">
    <w:name w:val="toc 5"/>
    <w:basedOn w:val="Standard"/>
    <w:next w:val="Standard"/>
    <w:autoRedefine/>
    <w:uiPriority w:val="39"/>
    <w:unhideWhenUsed/>
    <w:rsid w:val="005E2265"/>
    <w:pPr>
      <w:spacing w:after="0"/>
      <w:ind w:left="880"/>
      <w:jc w:val="left"/>
    </w:pPr>
    <w:rPr>
      <w:sz w:val="20"/>
      <w:szCs w:val="20"/>
    </w:rPr>
  </w:style>
  <w:style w:type="paragraph" w:styleId="Verzeichnis6">
    <w:name w:val="toc 6"/>
    <w:basedOn w:val="Standard"/>
    <w:next w:val="Standard"/>
    <w:autoRedefine/>
    <w:uiPriority w:val="39"/>
    <w:unhideWhenUsed/>
    <w:rsid w:val="005E2265"/>
    <w:pPr>
      <w:spacing w:after="0"/>
      <w:ind w:left="1100"/>
      <w:jc w:val="left"/>
    </w:pPr>
    <w:rPr>
      <w:sz w:val="20"/>
      <w:szCs w:val="20"/>
    </w:rPr>
  </w:style>
  <w:style w:type="paragraph" w:styleId="Verzeichnis7">
    <w:name w:val="toc 7"/>
    <w:basedOn w:val="Standard"/>
    <w:next w:val="Standard"/>
    <w:autoRedefine/>
    <w:uiPriority w:val="39"/>
    <w:unhideWhenUsed/>
    <w:rsid w:val="005E2265"/>
    <w:pPr>
      <w:spacing w:after="0"/>
      <w:ind w:left="1320"/>
      <w:jc w:val="left"/>
    </w:pPr>
    <w:rPr>
      <w:sz w:val="20"/>
      <w:szCs w:val="20"/>
    </w:rPr>
  </w:style>
  <w:style w:type="paragraph" w:styleId="Verzeichnis8">
    <w:name w:val="toc 8"/>
    <w:basedOn w:val="Standard"/>
    <w:next w:val="Standard"/>
    <w:autoRedefine/>
    <w:uiPriority w:val="39"/>
    <w:unhideWhenUsed/>
    <w:rsid w:val="005E2265"/>
    <w:pPr>
      <w:spacing w:after="0"/>
      <w:ind w:left="1540"/>
      <w:jc w:val="left"/>
    </w:pPr>
    <w:rPr>
      <w:sz w:val="20"/>
      <w:szCs w:val="20"/>
    </w:rPr>
  </w:style>
  <w:style w:type="paragraph" w:styleId="Verzeichnis9">
    <w:name w:val="toc 9"/>
    <w:basedOn w:val="Standard"/>
    <w:next w:val="Standard"/>
    <w:autoRedefine/>
    <w:uiPriority w:val="39"/>
    <w:unhideWhenUsed/>
    <w:rsid w:val="005E2265"/>
    <w:pPr>
      <w:spacing w:after="0"/>
      <w:ind w:left="1760"/>
      <w:jc w:val="left"/>
    </w:pPr>
    <w:rPr>
      <w:sz w:val="20"/>
      <w:szCs w:val="20"/>
    </w:rPr>
  </w:style>
  <w:style w:type="paragraph" w:styleId="Kopfzeile">
    <w:name w:val="header"/>
    <w:basedOn w:val="Standard"/>
    <w:link w:val="KopfzeileZchn"/>
    <w:uiPriority w:val="99"/>
    <w:unhideWhenUsed/>
    <w:rsid w:val="009B25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5E9"/>
  </w:style>
  <w:style w:type="paragraph" w:styleId="Fuzeile">
    <w:name w:val="footer"/>
    <w:basedOn w:val="Standard"/>
    <w:link w:val="FuzeileZchn"/>
    <w:uiPriority w:val="99"/>
    <w:unhideWhenUsed/>
    <w:rsid w:val="009B25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03087">
      <w:bodyDiv w:val="1"/>
      <w:marLeft w:val="0"/>
      <w:marRight w:val="0"/>
      <w:marTop w:val="0"/>
      <w:marBottom w:val="0"/>
      <w:divBdr>
        <w:top w:val="none" w:sz="0" w:space="0" w:color="auto"/>
        <w:left w:val="none" w:sz="0" w:space="0" w:color="auto"/>
        <w:bottom w:val="none" w:sz="0" w:space="0" w:color="auto"/>
        <w:right w:val="none" w:sz="0" w:space="0" w:color="auto"/>
      </w:divBdr>
    </w:div>
    <w:div w:id="13199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esat.kuleuven.be/cosic/publications/article-258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enisa.europa.eu/publications/privacy-and-data-protection-by-design/at_download/fullRepor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dejure.org/dienste/vernetzung/rechtsprechung?Gericht=BGH&amp;Datum=04.05.1993&amp;Aktenzeichen=VI%20ZR%20283/92" TargetMode="External"/><Relationship Id="rId1" Type="http://schemas.openxmlformats.org/officeDocument/2006/relationships/hyperlink" Target="https://www.beuth.de/de/technische-regel/din-cen-iso-ts-14265/14902354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0ED86-7309-48F0-BC73-4FFCAE39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7901</Words>
  <Characters>53413</Characters>
  <Application>Microsoft Office Word</Application>
  <DocSecurity>0</DocSecurity>
  <Lines>1161</Lines>
  <Paragraphs>625</Paragraphs>
  <ScaleCrop>false</ScaleCrop>
  <HeadingPairs>
    <vt:vector size="2" baseType="variant">
      <vt:variant>
        <vt:lpstr>Titel</vt:lpstr>
      </vt:variant>
      <vt:variant>
        <vt:i4>1</vt:i4>
      </vt:variant>
    </vt:vector>
  </HeadingPairs>
  <TitlesOfParts>
    <vt:vector size="1" baseType="lpstr">
      <vt:lpstr/>
    </vt:vector>
  </TitlesOfParts>
  <Manager>Dr. Bernd Schütze</Manager>
  <Company/>
  <LinksUpToDate>false</LinksUpToDate>
  <CharactersWithSpaces>60689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durch Technikgestaltung und durch datenschutzfreundliche Voreinstellungen ( Art. 25 DS-GVO)</dc:title>
  <dc:subject>Datenschutz-Grundverordnung</dc:subject>
  <dc:creator>Gemeinsame Arbeitsgruppe von bvitg, GMDS und GDD</dc:creator>
  <cp:keywords>DS-GVO, Art. 25, Privacy by Design, Privacy by Default</cp:keywords>
  <dc:description/>
  <cp:lastModifiedBy>Bernd Schütze</cp:lastModifiedBy>
  <cp:revision>4</cp:revision>
  <dcterms:created xsi:type="dcterms:W3CDTF">2018-05-23T07:53:00Z</dcterms:created>
  <dcterms:modified xsi:type="dcterms:W3CDTF">2018-05-23T07:56:00Z</dcterms:modified>
</cp:coreProperties>
</file>