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E467B" w14:textId="5E06777C" w:rsidR="00F509FF" w:rsidRDefault="00054F11" w:rsidP="004140DF">
      <w:pPr>
        <w:pStyle w:val="Titel"/>
        <w:jc w:val="center"/>
      </w:pPr>
      <w:r>
        <w:t>Datenverarbeitung in einem Drittland:</w:t>
      </w:r>
      <w:r w:rsidR="004140DF">
        <w:br/>
      </w:r>
      <w:r w:rsidRPr="00054F11">
        <w:t>Data Transfer Impact Assessment (TIA)</w:t>
      </w:r>
      <w:r>
        <w:t xml:space="preserve"> – </w:t>
      </w:r>
      <w:r w:rsidR="008142CE" w:rsidRPr="008142CE">
        <w:t>e</w:t>
      </w:r>
      <w:r w:rsidRPr="008142CE">
        <w:t>ine</w:t>
      </w:r>
      <w:r>
        <w:t xml:space="preserve"> Einführung ins Thema</w:t>
      </w:r>
    </w:p>
    <w:p w14:paraId="065FCA87" w14:textId="77777777" w:rsidR="004140DF" w:rsidRDefault="004140DF" w:rsidP="004140DF"/>
    <w:p w14:paraId="4198CB1A" w14:textId="77777777" w:rsidR="004140DF" w:rsidRDefault="004140DF" w:rsidP="004140DF"/>
    <w:p w14:paraId="1DB48C60" w14:textId="77777777" w:rsidR="004140DF" w:rsidRDefault="004140DF" w:rsidP="004140DF">
      <w:pPr>
        <w:rPr>
          <w:rFonts w:cs="Arial"/>
          <w:sz w:val="24"/>
          <w:szCs w:val="28"/>
        </w:rPr>
      </w:pPr>
      <w:r>
        <w:rPr>
          <w:rFonts w:cs="Arial"/>
          <w:sz w:val="24"/>
          <w:szCs w:val="28"/>
        </w:rPr>
        <w:t>E</w:t>
      </w:r>
      <w:r w:rsidRPr="0090317B">
        <w:rPr>
          <w:rFonts w:cs="Arial"/>
          <w:sz w:val="24"/>
          <w:szCs w:val="28"/>
        </w:rPr>
        <w:t xml:space="preserve">rarbeitet </w:t>
      </w:r>
      <w:r w:rsidRPr="00BB2613">
        <w:rPr>
          <w:rFonts w:cs="Arial"/>
          <w:sz w:val="24"/>
          <w:szCs w:val="28"/>
        </w:rPr>
        <w:t>von</w:t>
      </w:r>
    </w:p>
    <w:p w14:paraId="3279EFE1" w14:textId="77777777" w:rsidR="004140DF" w:rsidRDefault="004140DF" w:rsidP="004140DF">
      <w:pPr>
        <w:rPr>
          <w:rFonts w:cs="Arial"/>
          <w:sz w:val="24"/>
          <w:szCs w:val="28"/>
        </w:rPr>
      </w:pPr>
    </w:p>
    <w:p w14:paraId="0AF45CA3" w14:textId="77777777" w:rsidR="004140DF" w:rsidRPr="00FB332B" w:rsidRDefault="004140DF" w:rsidP="004140DF">
      <w:pPr>
        <w:jc w:val="left"/>
        <w:rPr>
          <w:rFonts w:cs="Arial"/>
          <w:sz w:val="24"/>
          <w:szCs w:val="24"/>
        </w:rPr>
      </w:pPr>
      <w:r w:rsidRPr="00FB332B">
        <w:rPr>
          <w:noProof/>
          <w:lang w:eastAsia="de-DE"/>
        </w:rPr>
        <w:drawing>
          <wp:anchor distT="0" distB="0" distL="114300" distR="114300" simplePos="0" relativeHeight="251658240" behindDoc="1" locked="0" layoutInCell="1" allowOverlap="1" wp14:anchorId="233CF0AB" wp14:editId="65108998">
            <wp:simplePos x="0" y="0"/>
            <wp:positionH relativeFrom="column">
              <wp:posOffset>3981450</wp:posOffset>
            </wp:positionH>
            <wp:positionV relativeFrom="paragraph">
              <wp:posOffset>43180</wp:posOffset>
            </wp:positionV>
            <wp:extent cx="2004695" cy="632460"/>
            <wp:effectExtent l="0" t="0" r="0" b="0"/>
            <wp:wrapTight wrapText="bothSides">
              <wp:wrapPolygon edited="0">
                <wp:start x="0" y="0"/>
                <wp:lineTo x="0" y="20819"/>
                <wp:lineTo x="21347" y="20819"/>
                <wp:lineTo x="21347" y="0"/>
                <wp:lineTo x="0" y="0"/>
              </wp:wrapPolygon>
            </wp:wrapTight>
            <wp:docPr id="2" name="Grafik 2"/>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4695" cy="632460"/>
                    </a:xfrm>
                    <a:prstGeom prst="rect">
                      <a:avLst/>
                    </a:prstGeom>
                  </pic:spPr>
                </pic:pic>
              </a:graphicData>
            </a:graphic>
            <wp14:sizeRelH relativeFrom="page">
              <wp14:pctWidth>0</wp14:pctWidth>
            </wp14:sizeRelH>
            <wp14:sizeRelV relativeFrom="page">
              <wp14:pctHeight>0</wp14:pctHeight>
            </wp14:sizeRelV>
          </wp:anchor>
        </w:drawing>
      </w:r>
      <w:r w:rsidRPr="00FB332B">
        <w:rPr>
          <w:rFonts w:cs="Arial"/>
          <w:sz w:val="24"/>
          <w:szCs w:val="24"/>
        </w:rPr>
        <w:t xml:space="preserve">Deutsche Gesellschaft für </w:t>
      </w:r>
      <w:r w:rsidRPr="00BB2613">
        <w:rPr>
          <w:rFonts w:cs="Arial"/>
          <w:sz w:val="24"/>
          <w:szCs w:val="24"/>
        </w:rPr>
        <w:t>Medizinische</w:t>
      </w:r>
      <w:r w:rsidRPr="00FB332B">
        <w:rPr>
          <w:rFonts w:cs="Arial"/>
          <w:sz w:val="24"/>
          <w:szCs w:val="24"/>
        </w:rPr>
        <w:t xml:space="preserve"> Informatik, Biometrie und Epidemiologie e. V. (</w:t>
      </w:r>
      <w:r w:rsidRPr="00D14880">
        <w:rPr>
          <w:rFonts w:cs="Arial"/>
          <w:sz w:val="24"/>
          <w:szCs w:val="24"/>
        </w:rPr>
        <w:t>GMDS</w:t>
      </w:r>
      <w:r w:rsidRPr="00FB332B">
        <w:rPr>
          <w:rFonts w:cs="Arial"/>
          <w:sz w:val="24"/>
          <w:szCs w:val="24"/>
        </w:rPr>
        <w:t>)</w:t>
      </w:r>
      <w:r>
        <w:rPr>
          <w:rFonts w:cs="Arial"/>
          <w:sz w:val="24"/>
          <w:szCs w:val="24"/>
        </w:rPr>
        <w:br/>
      </w:r>
      <w:r w:rsidRPr="00FB332B">
        <w:rPr>
          <w:rFonts w:cs="Arial"/>
          <w:sz w:val="24"/>
          <w:szCs w:val="24"/>
        </w:rPr>
        <w:t>Arbeitsgruppe „Datenschutz und IT-Sicherheit im Gesundheitswesen“ (</w:t>
      </w:r>
      <w:r w:rsidRPr="00D14880">
        <w:rPr>
          <w:rFonts w:cs="Arial"/>
          <w:sz w:val="24"/>
          <w:szCs w:val="24"/>
        </w:rPr>
        <w:t>DIG</w:t>
      </w:r>
      <w:r w:rsidRPr="00FB332B">
        <w:rPr>
          <w:rFonts w:cs="Arial"/>
          <w:sz w:val="24"/>
          <w:szCs w:val="24"/>
        </w:rPr>
        <w:t>)</w:t>
      </w:r>
    </w:p>
    <w:p w14:paraId="47F06873" w14:textId="77777777" w:rsidR="00804657" w:rsidRDefault="00804657" w:rsidP="00804657">
      <w:pPr>
        <w:rPr>
          <w:rFonts w:cs="Arial"/>
          <w:szCs w:val="28"/>
        </w:rPr>
      </w:pPr>
    </w:p>
    <w:p w14:paraId="7D214369" w14:textId="77777777" w:rsidR="00804657" w:rsidRDefault="00804657" w:rsidP="00804657"/>
    <w:p w14:paraId="00241825" w14:textId="77777777" w:rsidR="00804657" w:rsidRDefault="00804657" w:rsidP="00804657">
      <w:pPr>
        <w:rPr>
          <w:rFonts w:cs="Arial"/>
          <w:szCs w:val="28"/>
        </w:rPr>
      </w:pPr>
      <w:r>
        <w:rPr>
          <w:rFonts w:cs="Arial"/>
          <w:noProof/>
          <w:szCs w:val="28"/>
          <w:lang w:eastAsia="de-DE"/>
        </w:rPr>
        <w:drawing>
          <wp:anchor distT="0" distB="0" distL="114300" distR="114300" simplePos="0" relativeHeight="251666432" behindDoc="1" locked="0" layoutInCell="1" allowOverlap="1" wp14:anchorId="65B4A994" wp14:editId="5EDA6E67">
            <wp:simplePos x="0" y="0"/>
            <wp:positionH relativeFrom="column">
              <wp:posOffset>4280535</wp:posOffset>
            </wp:positionH>
            <wp:positionV relativeFrom="paragraph">
              <wp:posOffset>28575</wp:posOffset>
            </wp:positionV>
            <wp:extent cx="1557655" cy="972820"/>
            <wp:effectExtent l="0" t="0" r="0" b="0"/>
            <wp:wrapTight wrapText="bothSides">
              <wp:wrapPolygon edited="0">
                <wp:start x="2906" y="4230"/>
                <wp:lineTo x="2642" y="19034"/>
                <wp:lineTo x="19284" y="19034"/>
                <wp:lineTo x="19284" y="4230"/>
                <wp:lineTo x="2906" y="423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7655" cy="97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F06CE" w14:textId="77777777" w:rsidR="00804657" w:rsidRDefault="00804657" w:rsidP="00804657">
      <w:pPr>
        <w:rPr>
          <w:rFonts w:cs="Arial"/>
          <w:szCs w:val="28"/>
        </w:rPr>
      </w:pPr>
      <w:r>
        <w:rPr>
          <w:rFonts w:cs="Arial"/>
          <w:szCs w:val="28"/>
        </w:rPr>
        <w:t>Berufsverband der Datenschutzbeauftragten Deutschlands (BvD) e. V.</w:t>
      </w:r>
    </w:p>
    <w:p w14:paraId="5274CBA0" w14:textId="77777777" w:rsidR="00804657" w:rsidRDefault="00804657" w:rsidP="00804657">
      <w:pPr>
        <w:rPr>
          <w:rFonts w:cs="Arial"/>
          <w:szCs w:val="28"/>
        </w:rPr>
      </w:pPr>
    </w:p>
    <w:p w14:paraId="69B6CCCB" w14:textId="77777777" w:rsidR="004140DF" w:rsidRDefault="004140DF" w:rsidP="004140DF">
      <w:pPr>
        <w:rPr>
          <w:rFonts w:cs="Arial"/>
          <w:szCs w:val="28"/>
        </w:rPr>
      </w:pPr>
    </w:p>
    <w:p w14:paraId="56C3990A" w14:textId="77777777" w:rsidR="004140DF" w:rsidRDefault="004140DF" w:rsidP="004140DF">
      <w:pPr>
        <w:rPr>
          <w:rFonts w:cs="Arial"/>
          <w:szCs w:val="28"/>
        </w:rPr>
      </w:pPr>
    </w:p>
    <w:p w14:paraId="28D2FF2F" w14:textId="77777777" w:rsidR="004140DF" w:rsidRDefault="004140DF" w:rsidP="004140DF">
      <w:pPr>
        <w:rPr>
          <w:rFonts w:cs="Arial"/>
          <w:szCs w:val="28"/>
        </w:rPr>
      </w:pPr>
    </w:p>
    <w:p w14:paraId="41946CCA" w14:textId="77777777" w:rsidR="004140DF" w:rsidRDefault="004140DF" w:rsidP="004140DF">
      <w:pPr>
        <w:rPr>
          <w:rFonts w:cs="Arial"/>
          <w:sz w:val="24"/>
          <w:szCs w:val="28"/>
        </w:rPr>
      </w:pPr>
      <w:r>
        <w:rPr>
          <w:rFonts w:cs="Arial"/>
          <w:sz w:val="24"/>
          <w:szCs w:val="28"/>
        </w:rPr>
        <w:t>Version 1.0</w:t>
      </w:r>
    </w:p>
    <w:p w14:paraId="761E5C7E" w14:textId="47E4F446" w:rsidR="004140DF" w:rsidRPr="00BB2613" w:rsidRDefault="004140DF" w:rsidP="004140DF">
      <w:pPr>
        <w:rPr>
          <w:rFonts w:cs="Arial"/>
          <w:sz w:val="24"/>
          <w:szCs w:val="28"/>
        </w:rPr>
      </w:pPr>
      <w:r>
        <w:rPr>
          <w:rFonts w:cs="Arial"/>
          <w:sz w:val="24"/>
          <w:szCs w:val="28"/>
        </w:rPr>
        <w:t xml:space="preserve">Stand der Bearbeitung: 10. </w:t>
      </w:r>
      <w:r w:rsidRPr="00BB2613">
        <w:rPr>
          <w:rFonts w:cs="Arial"/>
          <w:sz w:val="24"/>
          <w:szCs w:val="28"/>
        </w:rPr>
        <w:t>April 2023</w:t>
      </w:r>
    </w:p>
    <w:p w14:paraId="05CF492F" w14:textId="77777777" w:rsidR="004140DF" w:rsidRPr="00BB2613" w:rsidRDefault="004140DF" w:rsidP="004140DF">
      <w:pPr>
        <w:jc w:val="left"/>
        <w:rPr>
          <w:rFonts w:cs="Arial"/>
          <w:sz w:val="24"/>
          <w:szCs w:val="28"/>
        </w:rPr>
      </w:pPr>
    </w:p>
    <w:p w14:paraId="7B603BC1" w14:textId="77777777" w:rsidR="00881A09" w:rsidRPr="00BB2613" w:rsidRDefault="00881A09" w:rsidP="004140DF">
      <w:pPr>
        <w:jc w:val="left"/>
        <w:rPr>
          <w:rFonts w:cs="Arial"/>
          <w:sz w:val="24"/>
          <w:szCs w:val="28"/>
        </w:rPr>
      </w:pPr>
    </w:p>
    <w:p w14:paraId="7D6C5F81" w14:textId="77777777" w:rsidR="004140DF" w:rsidRPr="00BB2613" w:rsidRDefault="004140DF" w:rsidP="004140DF"/>
    <w:p w14:paraId="33FD1651" w14:textId="77777777" w:rsidR="004140DF" w:rsidRDefault="004140DF" w:rsidP="004140DF">
      <w:pPr>
        <w:rPr>
          <w:b/>
        </w:rPr>
      </w:pPr>
      <w:r w:rsidRPr="00BB2613">
        <w:rPr>
          <w:b/>
        </w:rPr>
        <w:t xml:space="preserve">Autoren </w:t>
      </w:r>
      <w:r>
        <w:rPr>
          <w:b/>
        </w:rPr>
        <w:t>(Nennung in alphabetischer Reihenfolge)</w:t>
      </w:r>
    </w:p>
    <w:tbl>
      <w:tblPr>
        <w:tblStyle w:val="Tabellenraster"/>
        <w:tblW w:w="0" w:type="auto"/>
        <w:tblInd w:w="103" w:type="dxa"/>
        <w:tblLook w:val="04A0" w:firstRow="1" w:lastRow="0" w:firstColumn="1" w:lastColumn="0" w:noHBand="0" w:noVBand="1"/>
      </w:tblPr>
      <w:tblGrid>
        <w:gridCol w:w="2586"/>
        <w:gridCol w:w="6368"/>
      </w:tblGrid>
      <w:tr w:rsidR="004140DF" w:rsidRPr="003D2728" w14:paraId="0D7B8702" w14:textId="77777777" w:rsidTr="004D3B20">
        <w:tc>
          <w:tcPr>
            <w:tcW w:w="2586" w:type="dxa"/>
          </w:tcPr>
          <w:p w14:paraId="0F4DE6E3" w14:textId="6C3BFAEE" w:rsidR="004140DF" w:rsidRDefault="004140DF" w:rsidP="004140DF">
            <w:r>
              <w:t>Dr. Bernd Schütze</w:t>
            </w:r>
          </w:p>
        </w:tc>
        <w:tc>
          <w:tcPr>
            <w:tcW w:w="6368" w:type="dxa"/>
          </w:tcPr>
          <w:p w14:paraId="3A9F548D" w14:textId="7B0496BE" w:rsidR="004140DF" w:rsidRPr="003D2728" w:rsidRDefault="004140DF" w:rsidP="004140DF">
            <w:pPr>
              <w:rPr>
                <w:lang w:val="en-US"/>
              </w:rPr>
            </w:pPr>
            <w:r w:rsidRPr="00963FD1">
              <w:rPr>
                <w:lang w:val="en-US"/>
              </w:rPr>
              <w:t>Deutsche Telekom Healthcare and Security Solutions GmbH</w:t>
            </w:r>
          </w:p>
        </w:tc>
      </w:tr>
      <w:tr w:rsidR="004D3B20" w:rsidRPr="00A05A1C" w14:paraId="26CA3C56" w14:textId="77777777" w:rsidTr="004D3B20">
        <w:tc>
          <w:tcPr>
            <w:tcW w:w="2586" w:type="dxa"/>
          </w:tcPr>
          <w:p w14:paraId="32FA18D3" w14:textId="77777777" w:rsidR="004D3B20" w:rsidRDefault="004D3B20" w:rsidP="00751510">
            <w:r>
              <w:t>R</w:t>
            </w:r>
            <w:r w:rsidRPr="00092814">
              <w:t xml:space="preserve">egina </w:t>
            </w:r>
            <w:r w:rsidRPr="00BB2613">
              <w:t>Mühlich</w:t>
            </w:r>
          </w:p>
        </w:tc>
        <w:tc>
          <w:tcPr>
            <w:tcW w:w="6368" w:type="dxa"/>
          </w:tcPr>
          <w:p w14:paraId="3F97349D" w14:textId="77777777" w:rsidR="004D3B20" w:rsidRPr="00A05A1C" w:rsidRDefault="004D3B20" w:rsidP="00751510">
            <w:r w:rsidRPr="00092814">
              <w:t>AdOrga Solutions GmbH</w:t>
            </w:r>
          </w:p>
        </w:tc>
      </w:tr>
    </w:tbl>
    <w:p w14:paraId="13A4CA99" w14:textId="29445030" w:rsidR="004140DF" w:rsidRPr="003D2728" w:rsidRDefault="004140DF" w:rsidP="004140DF">
      <w:pPr>
        <w:rPr>
          <w:lang w:val="en-US"/>
        </w:rPr>
      </w:pPr>
    </w:p>
    <w:p w14:paraId="6A696973" w14:textId="77777777" w:rsidR="004140DF" w:rsidRPr="003D2728" w:rsidRDefault="004140DF" w:rsidP="004140DF">
      <w:pPr>
        <w:rPr>
          <w:lang w:val="en-US"/>
        </w:rPr>
      </w:pPr>
    </w:p>
    <w:p w14:paraId="13D37D05" w14:textId="77777777" w:rsidR="004140DF" w:rsidRPr="003D2728" w:rsidRDefault="004140DF">
      <w:pPr>
        <w:jc w:val="left"/>
        <w:rPr>
          <w:lang w:val="en-US"/>
        </w:rPr>
        <w:sectPr w:rsidR="004140DF" w:rsidRPr="003D2728" w:rsidSect="004140DF">
          <w:footerReference w:type="default" r:id="rId10"/>
          <w:pgSz w:w="11906" w:h="16838"/>
          <w:pgMar w:top="1417" w:right="1417" w:bottom="1134" w:left="1417" w:header="708" w:footer="708" w:gutter="0"/>
          <w:pgNumType w:fmt="upperRoman" w:start="1"/>
          <w:cols w:space="708"/>
          <w:titlePg/>
          <w:docGrid w:linePitch="360"/>
        </w:sectPr>
      </w:pPr>
    </w:p>
    <w:p w14:paraId="6C13F9BF" w14:textId="77777777" w:rsidR="004140DF" w:rsidRPr="001A18B8" w:rsidRDefault="004140DF" w:rsidP="004140DF">
      <w:pPr>
        <w:spacing w:after="0"/>
        <w:rPr>
          <w:rFonts w:ascii="Cambria" w:hAnsi="Cambria"/>
          <w:color w:val="0070C0"/>
          <w:sz w:val="28"/>
          <w:szCs w:val="28"/>
        </w:rPr>
      </w:pPr>
      <w:r w:rsidRPr="001A18B8">
        <w:rPr>
          <w:rFonts w:ascii="Cambria" w:hAnsi="Cambria"/>
          <w:color w:val="0070C0"/>
          <w:sz w:val="28"/>
          <w:szCs w:val="28"/>
        </w:rPr>
        <w:lastRenderedPageBreak/>
        <w:t>Haftungsausschluss</w:t>
      </w:r>
    </w:p>
    <w:p w14:paraId="5560F7AA" w14:textId="77777777" w:rsidR="004140DF" w:rsidRPr="001A18B8" w:rsidRDefault="004140DF" w:rsidP="004140DF">
      <w:pPr>
        <w:pStyle w:val="Listenabsatz"/>
        <w:numPr>
          <w:ilvl w:val="0"/>
          <w:numId w:val="14"/>
        </w:numPr>
        <w:rPr>
          <w:rFonts w:cs="Arial"/>
          <w:sz w:val="21"/>
          <w:szCs w:val="21"/>
        </w:rPr>
      </w:pPr>
      <w:r w:rsidRPr="001A18B8">
        <w:rPr>
          <w:rFonts w:cs="Arial"/>
          <w:sz w:val="21"/>
          <w:szCs w:val="21"/>
        </w:rPr>
        <w:t>Das vorliegende Werk ist nach bestem Wissen erstellt, der Inhalt wurde von den Autoren mit größter Sorgfalt zusammengestellt. Dennoch ist diese Ausarbeitung nur als Standpunkt der Autoren aufzufassen, eine Haftung für die Angaben übernehmen die Autoren nicht. Die in diesem Werk gegebenen Hinweise dürfen daher nicht direkt übernommen werden, sondern müssen vom Leser für die jeweilige Situation anhand der geltenden Vorschriften geprüft und angepasst werden.</w:t>
      </w:r>
    </w:p>
    <w:p w14:paraId="040A2887" w14:textId="77777777" w:rsidR="004140DF" w:rsidRPr="001A18B8" w:rsidRDefault="004140DF" w:rsidP="004140DF">
      <w:pPr>
        <w:pStyle w:val="Listenabsatz"/>
        <w:numPr>
          <w:ilvl w:val="0"/>
          <w:numId w:val="14"/>
        </w:numPr>
        <w:rPr>
          <w:rFonts w:cs="Arial"/>
          <w:sz w:val="21"/>
          <w:szCs w:val="21"/>
        </w:rPr>
      </w:pPr>
      <w:r w:rsidRPr="001A18B8">
        <w:rPr>
          <w:rFonts w:cs="Arial"/>
          <w:sz w:val="21"/>
          <w:szCs w:val="21"/>
        </w:rPr>
        <w:t>Die Autoren sind bestrebt, in allen Publikationen die Urheberrechte der verwendeten Texte zu beachten, von ihnen selbst erstellte Texte zu nutzen oder auf lizenzfreie Texte zurückzugreifen.</w:t>
      </w:r>
    </w:p>
    <w:p w14:paraId="14C16883" w14:textId="77777777" w:rsidR="004140DF" w:rsidRPr="001A18B8" w:rsidRDefault="004140DF" w:rsidP="004140DF">
      <w:pPr>
        <w:pStyle w:val="Listenabsatz"/>
        <w:numPr>
          <w:ilvl w:val="0"/>
          <w:numId w:val="14"/>
        </w:numPr>
        <w:rPr>
          <w:rFonts w:cs="Arial"/>
          <w:sz w:val="21"/>
          <w:szCs w:val="21"/>
        </w:rPr>
      </w:pPr>
      <w:r w:rsidRPr="001A18B8">
        <w:rPr>
          <w:rFonts w:cs="Arial"/>
          <w:sz w:val="21"/>
          <w:szCs w:val="21"/>
        </w:rPr>
        <w:t>Alle innerhalb dieses Dokumentes genannten und ggf. durch Dritte geschützten Marken- und Warenzeichen unterliegen uneingeschränkt den Bestimmungen des jeweils gültigen Kennzeichenrechts und den Besitzrechten der jeweiligen eingetragenen Eigentümer. Allein aufgrund der bloßen Nennung ist nicht der Schluss zu ziehen, dass Markenzeichen nicht durch Rechte Dritter geschützt sind!</w:t>
      </w:r>
    </w:p>
    <w:p w14:paraId="5AD3162C" w14:textId="77777777" w:rsidR="004140DF" w:rsidRDefault="004140DF" w:rsidP="004140DF">
      <w:pPr>
        <w:spacing w:after="0"/>
        <w:rPr>
          <w:rFonts w:ascii="Cambria" w:hAnsi="Cambria"/>
          <w:color w:val="0070C0"/>
          <w:sz w:val="28"/>
          <w:szCs w:val="28"/>
        </w:rPr>
      </w:pPr>
      <w:bookmarkStart w:id="0" w:name="_Toc400089231"/>
      <w:bookmarkStart w:id="1" w:name="_Toc466177207"/>
      <w:bookmarkStart w:id="2" w:name="_Toc466177269"/>
      <w:bookmarkStart w:id="3" w:name="_Toc467402031"/>
      <w:bookmarkStart w:id="4" w:name="_Toc470630152"/>
      <w:bookmarkStart w:id="5" w:name="_Toc470630229"/>
      <w:bookmarkStart w:id="6" w:name="_Toc472062747"/>
      <w:bookmarkStart w:id="7" w:name="_Toc472062820"/>
      <w:bookmarkStart w:id="8" w:name="_Toc472700195"/>
      <w:bookmarkStart w:id="9" w:name="_Toc472750821"/>
      <w:bookmarkStart w:id="10" w:name="_Toc472754491"/>
      <w:bookmarkStart w:id="11" w:name="_Toc472846407"/>
      <w:bookmarkStart w:id="12" w:name="_Toc473233933"/>
      <w:bookmarkStart w:id="13" w:name="_Toc474484947"/>
      <w:bookmarkStart w:id="14" w:name="_Toc474485679"/>
      <w:bookmarkStart w:id="15" w:name="_Toc474495490"/>
      <w:bookmarkStart w:id="16" w:name="_Toc476302739"/>
      <w:bookmarkStart w:id="17" w:name="_Toc478037174"/>
      <w:bookmarkStart w:id="18" w:name="_Toc478037314"/>
      <w:bookmarkStart w:id="19" w:name="_Toc478204419"/>
      <w:bookmarkStart w:id="20" w:name="_Toc478725843"/>
      <w:bookmarkStart w:id="21" w:name="_Toc481399824"/>
      <w:bookmarkStart w:id="22" w:name="_Toc481838554"/>
      <w:bookmarkStart w:id="23" w:name="_Toc484343754"/>
      <w:bookmarkStart w:id="24" w:name="_Toc486696417"/>
      <w:bookmarkStart w:id="25" w:name="_Toc488390184"/>
      <w:bookmarkStart w:id="26" w:name="_Toc488391372"/>
      <w:bookmarkStart w:id="27" w:name="_Toc492202026"/>
      <w:bookmarkStart w:id="28" w:name="_Toc498797798"/>
      <w:bookmarkStart w:id="29" w:name="_Toc498938904"/>
      <w:bookmarkStart w:id="30" w:name="_Toc498971640"/>
      <w:bookmarkStart w:id="31" w:name="_Toc498973214"/>
      <w:bookmarkStart w:id="32" w:name="_Toc499009240"/>
      <w:bookmarkStart w:id="33" w:name="_Toc499915472"/>
      <w:bookmarkStart w:id="34" w:name="_Toc501276646"/>
      <w:bookmarkStart w:id="35" w:name="_Toc501278304"/>
      <w:bookmarkStart w:id="36" w:name="_Toc503851448"/>
      <w:bookmarkStart w:id="37" w:name="_Toc504049214"/>
      <w:bookmarkStart w:id="38" w:name="_Toc531513020"/>
      <w:bookmarkStart w:id="39" w:name="_Toc532981421"/>
      <w:bookmarkStart w:id="40" w:name="_Toc534894967"/>
      <w:bookmarkStart w:id="41" w:name="_Toc17365973"/>
      <w:bookmarkStart w:id="42" w:name="_Toc27114630"/>
      <w:bookmarkStart w:id="43" w:name="_Toc27114651"/>
      <w:bookmarkStart w:id="44" w:name="_Toc35064360"/>
      <w:bookmarkStart w:id="45" w:name="_Toc35073655"/>
      <w:bookmarkStart w:id="46" w:name="_Toc35325353"/>
      <w:bookmarkStart w:id="47" w:name="_Toc36213376"/>
      <w:bookmarkStart w:id="48" w:name="_Toc38488384"/>
      <w:bookmarkStart w:id="49" w:name="_Toc39825474"/>
      <w:bookmarkStart w:id="50" w:name="_Toc40463621"/>
      <w:bookmarkStart w:id="51" w:name="_Toc40463878"/>
      <w:bookmarkStart w:id="52" w:name="_Toc42193914"/>
      <w:bookmarkStart w:id="53" w:name="_Toc42249343"/>
      <w:bookmarkStart w:id="54" w:name="_Toc42255210"/>
      <w:bookmarkStart w:id="55" w:name="_Toc42848362"/>
      <w:bookmarkStart w:id="56" w:name="_Toc43415824"/>
      <w:bookmarkStart w:id="57" w:name="_Toc43416002"/>
      <w:bookmarkStart w:id="58" w:name="_Toc43449974"/>
      <w:bookmarkStart w:id="59" w:name="_Toc44657855"/>
      <w:bookmarkStart w:id="60" w:name="_Toc45908287"/>
      <w:bookmarkStart w:id="61" w:name="_Toc47135283"/>
      <w:bookmarkStart w:id="62" w:name="_Toc49515328"/>
      <w:bookmarkStart w:id="63" w:name="_Toc50096305"/>
      <w:bookmarkStart w:id="64" w:name="_Toc50112951"/>
      <w:bookmarkStart w:id="65" w:name="_Toc62054877"/>
      <w:bookmarkStart w:id="66" w:name="_Toc62055676"/>
      <w:bookmarkStart w:id="67" w:name="_Toc62061464"/>
      <w:bookmarkStart w:id="68" w:name="_Toc62157113"/>
      <w:bookmarkStart w:id="69" w:name="_Toc62157296"/>
      <w:bookmarkStart w:id="70" w:name="_Toc62158383"/>
      <w:bookmarkStart w:id="71" w:name="_Toc62214467"/>
      <w:bookmarkStart w:id="72" w:name="_Toc62240850"/>
      <w:bookmarkStart w:id="73" w:name="_Toc62241833"/>
      <w:bookmarkStart w:id="74" w:name="_Toc62268670"/>
      <w:bookmarkStart w:id="75" w:name="_Toc62293128"/>
      <w:bookmarkStart w:id="76" w:name="_Toc62293934"/>
      <w:bookmarkStart w:id="77" w:name="_Toc62294041"/>
      <w:bookmarkStart w:id="78" w:name="_Toc62375651"/>
      <w:bookmarkStart w:id="79" w:name="_Toc62375712"/>
      <w:bookmarkStart w:id="80" w:name="_Toc62377303"/>
      <w:bookmarkStart w:id="81" w:name="_Toc62377364"/>
      <w:bookmarkStart w:id="82" w:name="_Toc62382541"/>
      <w:bookmarkStart w:id="83" w:name="_Toc62468120"/>
      <w:bookmarkStart w:id="84" w:name="_Toc62468258"/>
      <w:bookmarkStart w:id="85" w:name="_Toc83320599"/>
      <w:bookmarkStart w:id="86" w:name="_Toc83360025"/>
      <w:bookmarkStart w:id="87" w:name="_Toc83360126"/>
      <w:r>
        <w:rPr>
          <w:rFonts w:ascii="Cambria" w:hAnsi="Cambria"/>
          <w:color w:val="0070C0"/>
          <w:sz w:val="28"/>
          <w:szCs w:val="28"/>
        </w:rPr>
        <w:t>Copyright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F0672BE" w14:textId="77777777" w:rsidR="004140DF" w:rsidRDefault="004140DF" w:rsidP="004140DF">
      <w:pPr>
        <w:rPr>
          <w:rFonts w:cs="Arial"/>
          <w:sz w:val="21"/>
          <w:szCs w:val="21"/>
        </w:rPr>
      </w:pPr>
      <w:r>
        <w:rPr>
          <w:rFonts w:cs="Arial"/>
          <w:sz w:val="21"/>
          <w:szCs w:val="21"/>
        </w:rPr>
        <w:t>Für in diesem Dokument veröffentlichte, von den Autoren selbst erstellte Objekte gilt hinsichtlich des Copyrights die folgende Regelung:</w:t>
      </w:r>
    </w:p>
    <w:p w14:paraId="656CDE47" w14:textId="77777777" w:rsidR="004140DF" w:rsidRDefault="004140DF" w:rsidP="004140DF">
      <w:pPr>
        <w:spacing w:after="0"/>
        <w:rPr>
          <w:rFonts w:cs="Arial"/>
          <w:sz w:val="21"/>
          <w:szCs w:val="21"/>
        </w:rPr>
      </w:pPr>
      <w:r>
        <w:rPr>
          <w:noProof/>
        </w:rPr>
        <w:drawing>
          <wp:anchor distT="0" distB="0" distL="114300" distR="114300" simplePos="0" relativeHeight="251660288" behindDoc="0" locked="0" layoutInCell="1" allowOverlap="1" wp14:anchorId="44467C1B" wp14:editId="467B7CC3">
            <wp:simplePos x="0" y="0"/>
            <wp:positionH relativeFrom="column">
              <wp:posOffset>4981575</wp:posOffset>
            </wp:positionH>
            <wp:positionV relativeFrom="paragraph">
              <wp:posOffset>9525</wp:posOffset>
            </wp:positionV>
            <wp:extent cx="838200" cy="295275"/>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21"/>
          <w:szCs w:val="21"/>
        </w:rPr>
        <w:t xml:space="preserve">Dieses Werk ist unter einer </w:t>
      </w:r>
      <w:r w:rsidRPr="00BB2613">
        <w:rPr>
          <w:rFonts w:cs="Arial"/>
          <w:sz w:val="21"/>
          <w:szCs w:val="21"/>
        </w:rPr>
        <w:t>Creative</w:t>
      </w:r>
      <w:r>
        <w:rPr>
          <w:rFonts w:cs="Arial"/>
          <w:sz w:val="21"/>
          <w:szCs w:val="21"/>
        </w:rPr>
        <w:t xml:space="preserve"> Commons-Lizenz (4.0 Deutschland Lizenzvertrag) lizenziert.</w:t>
      </w:r>
      <w:r>
        <w:rPr>
          <w:noProof/>
          <w:sz w:val="21"/>
          <w:szCs w:val="21"/>
          <w:lang w:eastAsia="de-DE"/>
        </w:rPr>
        <w:t xml:space="preserve"> </w:t>
      </w:r>
      <w:r>
        <w:rPr>
          <w:rFonts w:cs="Arial"/>
          <w:sz w:val="21"/>
          <w:szCs w:val="21"/>
        </w:rPr>
        <w:t>D. h. Sie dürfen:</w:t>
      </w:r>
    </w:p>
    <w:p w14:paraId="1C98425B" w14:textId="66E18A8B" w:rsidR="004140DF" w:rsidRDefault="004140DF" w:rsidP="004140DF">
      <w:pPr>
        <w:pStyle w:val="Listenabsatz"/>
        <w:numPr>
          <w:ilvl w:val="0"/>
          <w:numId w:val="15"/>
        </w:numPr>
        <w:spacing w:after="0" w:line="276" w:lineRule="auto"/>
        <w:ind w:left="714" w:hanging="357"/>
        <w:rPr>
          <w:rFonts w:cs="Arial"/>
          <w:sz w:val="21"/>
          <w:szCs w:val="21"/>
        </w:rPr>
      </w:pPr>
      <w:r>
        <w:rPr>
          <w:rFonts w:cs="Arial"/>
          <w:sz w:val="21"/>
          <w:szCs w:val="21"/>
        </w:rPr>
        <w:t xml:space="preserve">Teilen: Das Material in jedwedem Format oder Medium vervielfältigen und </w:t>
      </w:r>
      <w:r w:rsidRPr="00BB2613">
        <w:rPr>
          <w:rFonts w:cs="Arial"/>
          <w:sz w:val="21"/>
          <w:szCs w:val="21"/>
        </w:rPr>
        <w:t>weiterverbreiten</w:t>
      </w:r>
    </w:p>
    <w:p w14:paraId="18365A81" w14:textId="77777777" w:rsidR="004140DF" w:rsidRDefault="004140DF" w:rsidP="004140DF">
      <w:pPr>
        <w:pStyle w:val="Listenabsatz"/>
        <w:numPr>
          <w:ilvl w:val="0"/>
          <w:numId w:val="15"/>
        </w:numPr>
        <w:spacing w:after="0" w:line="276" w:lineRule="auto"/>
        <w:ind w:left="714" w:hanging="357"/>
        <w:rPr>
          <w:rFonts w:cs="Arial"/>
          <w:sz w:val="21"/>
          <w:szCs w:val="21"/>
        </w:rPr>
      </w:pPr>
      <w:r>
        <w:rPr>
          <w:rFonts w:cs="Arial"/>
          <w:sz w:val="21"/>
          <w:szCs w:val="21"/>
        </w:rPr>
        <w:t xml:space="preserve">Bearbeiten: Das Material remixen, verändern und darauf </w:t>
      </w:r>
      <w:r w:rsidRPr="00BB2613">
        <w:rPr>
          <w:rFonts w:cs="Arial"/>
          <w:sz w:val="21"/>
          <w:szCs w:val="21"/>
        </w:rPr>
        <w:t>aufbauen</w:t>
      </w:r>
    </w:p>
    <w:p w14:paraId="783AB83D" w14:textId="77777777" w:rsidR="004140DF" w:rsidRDefault="004140DF" w:rsidP="004140DF">
      <w:pPr>
        <w:rPr>
          <w:rFonts w:cs="Arial"/>
          <w:sz w:val="21"/>
          <w:szCs w:val="21"/>
        </w:rPr>
      </w:pPr>
      <w:r w:rsidRPr="00BB2613">
        <w:rPr>
          <w:rFonts w:cs="Arial"/>
          <w:sz w:val="21"/>
          <w:szCs w:val="21"/>
        </w:rPr>
        <w:t>und</w:t>
      </w:r>
      <w:r>
        <w:rPr>
          <w:rFonts w:cs="Arial"/>
          <w:sz w:val="21"/>
          <w:szCs w:val="21"/>
        </w:rPr>
        <w:t xml:space="preserve"> zwar für beliebige Zwecke, sogar kommerziell. Der Lizenzgeber kann diese Freiheiten nicht widerrufen, solange Sie sich an die Lizenzbedingungen halten.</w:t>
      </w:r>
    </w:p>
    <w:p w14:paraId="7FBAF0E5" w14:textId="77777777" w:rsidR="004140DF" w:rsidRDefault="004140DF" w:rsidP="004140DF">
      <w:pPr>
        <w:spacing w:after="0"/>
        <w:rPr>
          <w:rFonts w:cs="Arial"/>
          <w:sz w:val="21"/>
          <w:szCs w:val="21"/>
        </w:rPr>
      </w:pPr>
      <w:r>
        <w:rPr>
          <w:rFonts w:cs="Arial"/>
          <w:sz w:val="21"/>
          <w:szCs w:val="21"/>
        </w:rPr>
        <w:t>Die Nutzung ist unter den folgenden Bedingungen möglich:</w:t>
      </w:r>
    </w:p>
    <w:p w14:paraId="41B88165" w14:textId="77777777" w:rsidR="004140DF" w:rsidRDefault="004140DF" w:rsidP="004140DF">
      <w:pPr>
        <w:pStyle w:val="Listenabsatz"/>
        <w:numPr>
          <w:ilvl w:val="0"/>
          <w:numId w:val="15"/>
        </w:numPr>
        <w:spacing w:after="0" w:line="276" w:lineRule="auto"/>
        <w:rPr>
          <w:rFonts w:cs="Arial"/>
          <w:sz w:val="21"/>
          <w:szCs w:val="21"/>
        </w:rPr>
      </w:pPr>
      <w:r>
        <w:rPr>
          <w:rFonts w:cs="Arial"/>
          <w:sz w:val="21"/>
          <w:szCs w:val="21"/>
        </w:rPr>
        <w:t>Namensnennung: Sie müssen angemessene Urheber- und Rechteangaben machen, einen Link zur Lizenz beifügen und angeben, ob Änderungen vorgenommen wurden. Diese Angaben dürfen in jeder angemessenen Art und Weise gemacht werden, allerdings nicht so, dass der Eindruck entsteht, der Lizenzgeber unterstütze gerade Sie oder Ihre Nutzung besonders.</w:t>
      </w:r>
    </w:p>
    <w:p w14:paraId="5E48D170" w14:textId="77777777" w:rsidR="004140DF" w:rsidRDefault="004140DF" w:rsidP="004140DF">
      <w:pPr>
        <w:pStyle w:val="Listenabsatz"/>
        <w:numPr>
          <w:ilvl w:val="0"/>
          <w:numId w:val="15"/>
        </w:numPr>
        <w:spacing w:after="0" w:line="276" w:lineRule="auto"/>
        <w:rPr>
          <w:rFonts w:cs="Arial"/>
          <w:sz w:val="21"/>
          <w:szCs w:val="21"/>
        </w:rPr>
      </w:pPr>
      <w:r>
        <w:rPr>
          <w:rFonts w:cs="Arial"/>
          <w:sz w:val="21"/>
          <w:szCs w:val="21"/>
        </w:rPr>
        <w:t>Weitergabe unter gleichen Bedingungen: Wenn Sie das Material remixen, verändern oder anderweitig direkt darauf aufbauen, dürfen Sie Ihre Beiträge nur unter derselben Lizenz wie das Original verbreiten.</w:t>
      </w:r>
    </w:p>
    <w:p w14:paraId="2A97960C" w14:textId="77777777" w:rsidR="004140DF" w:rsidRDefault="004140DF" w:rsidP="004140DF">
      <w:pPr>
        <w:pStyle w:val="Listenabsatz"/>
        <w:numPr>
          <w:ilvl w:val="0"/>
          <w:numId w:val="15"/>
        </w:numPr>
        <w:spacing w:after="80" w:line="276" w:lineRule="auto"/>
        <w:ind w:left="714" w:hanging="357"/>
        <w:rPr>
          <w:rFonts w:cs="Arial"/>
          <w:sz w:val="21"/>
          <w:szCs w:val="21"/>
        </w:rPr>
      </w:pPr>
      <w:r>
        <w:rPr>
          <w:rFonts w:cs="Arial"/>
          <w:sz w:val="21"/>
          <w:szCs w:val="21"/>
        </w:rPr>
        <w:t>Keine weiteren Einschränkungen: Sie dürfen keine zusätzlichen Klauseln oder technische Verfahren einsetzen, die anderen rechtlich irgendetwas untersagen, was die Lizenz erlaubt.</w:t>
      </w:r>
    </w:p>
    <w:p w14:paraId="14641477" w14:textId="77777777" w:rsidR="004140DF" w:rsidRDefault="004140DF" w:rsidP="004140DF">
      <w:pPr>
        <w:spacing w:after="0"/>
        <w:rPr>
          <w:rFonts w:cs="Arial"/>
          <w:sz w:val="21"/>
          <w:szCs w:val="21"/>
        </w:rPr>
      </w:pPr>
      <w:r>
        <w:rPr>
          <w:rFonts w:cs="Arial"/>
          <w:sz w:val="21"/>
          <w:szCs w:val="21"/>
        </w:rPr>
        <w:t>Im Weiteren gilt:</w:t>
      </w:r>
    </w:p>
    <w:p w14:paraId="5E71E55B" w14:textId="77777777" w:rsidR="004140DF" w:rsidRDefault="004140DF" w:rsidP="004140DF">
      <w:pPr>
        <w:pStyle w:val="Listenabsatz"/>
        <w:numPr>
          <w:ilvl w:val="0"/>
          <w:numId w:val="15"/>
        </w:numPr>
        <w:spacing w:after="0" w:line="276" w:lineRule="auto"/>
        <w:ind w:left="714" w:hanging="357"/>
        <w:rPr>
          <w:rFonts w:cs="Arial"/>
          <w:sz w:val="21"/>
          <w:szCs w:val="21"/>
        </w:rPr>
      </w:pPr>
      <w:r>
        <w:rPr>
          <w:rFonts w:cs="Arial"/>
          <w:sz w:val="21"/>
          <w:szCs w:val="21"/>
        </w:rPr>
        <w:t>Jede der vorgenannten Bedingungen kann aufgehoben werden, sofern Sie die Einwilligung des Rechteinhabers dazu erhalten.</w:t>
      </w:r>
    </w:p>
    <w:p w14:paraId="5278C2E0" w14:textId="77777777" w:rsidR="004140DF" w:rsidRDefault="004140DF" w:rsidP="004140DF">
      <w:pPr>
        <w:pStyle w:val="Listenabsatz"/>
        <w:numPr>
          <w:ilvl w:val="0"/>
          <w:numId w:val="15"/>
        </w:numPr>
        <w:spacing w:after="0" w:line="276" w:lineRule="auto"/>
        <w:ind w:left="714" w:hanging="357"/>
        <w:rPr>
          <w:rFonts w:cs="Arial"/>
          <w:sz w:val="21"/>
          <w:szCs w:val="21"/>
        </w:rPr>
      </w:pPr>
      <w:r>
        <w:rPr>
          <w:rFonts w:cs="Arial"/>
          <w:sz w:val="21"/>
          <w:szCs w:val="21"/>
        </w:rPr>
        <w:t>Diese Lizenz lässt die Urheberpersönlichkeitsrechte unberührt.</w:t>
      </w:r>
    </w:p>
    <w:p w14:paraId="7DD8FE03" w14:textId="77777777" w:rsidR="004140DF" w:rsidRDefault="004140DF" w:rsidP="004140DF">
      <w:pPr>
        <w:spacing w:after="0"/>
        <w:rPr>
          <w:rFonts w:cs="Arial"/>
          <w:sz w:val="21"/>
          <w:szCs w:val="21"/>
        </w:rPr>
      </w:pPr>
      <w:r>
        <w:rPr>
          <w:rFonts w:cs="Arial"/>
          <w:sz w:val="21"/>
          <w:szCs w:val="21"/>
        </w:rPr>
        <w:t>Um sich die Lizenz anzusehen, gehen Sie bitte ins Internet auf die Webseite:</w:t>
      </w:r>
    </w:p>
    <w:p w14:paraId="0895B5D9" w14:textId="126F8059" w:rsidR="004140DF" w:rsidRPr="00BB2613" w:rsidRDefault="00000000" w:rsidP="004140DF">
      <w:pPr>
        <w:spacing w:after="0"/>
        <w:jc w:val="center"/>
        <w:rPr>
          <w:rFonts w:cs="Arial"/>
          <w:sz w:val="21"/>
          <w:szCs w:val="21"/>
        </w:rPr>
      </w:pPr>
      <w:hyperlink r:id="rId12" w:history="1">
        <w:r w:rsidR="004140DF" w:rsidRPr="00BB2613">
          <w:rPr>
            <w:rStyle w:val="Hyperlink"/>
            <w:rFonts w:cs="Arial"/>
            <w:sz w:val="21"/>
            <w:szCs w:val="21"/>
          </w:rPr>
          <w:t>https://creativecommons.org/licenses/by-sa/4.0/deed.de</w:t>
        </w:r>
      </w:hyperlink>
    </w:p>
    <w:p w14:paraId="726E09F0" w14:textId="77777777" w:rsidR="004140DF" w:rsidRDefault="004140DF" w:rsidP="004140DF">
      <w:pPr>
        <w:spacing w:after="0"/>
        <w:rPr>
          <w:rFonts w:cs="Arial"/>
          <w:sz w:val="21"/>
          <w:szCs w:val="21"/>
        </w:rPr>
      </w:pPr>
      <w:r w:rsidRPr="00BB2613">
        <w:rPr>
          <w:rFonts w:cs="Arial"/>
          <w:sz w:val="21"/>
          <w:szCs w:val="21"/>
        </w:rPr>
        <w:t>bzw.</w:t>
      </w:r>
      <w:r>
        <w:rPr>
          <w:rFonts w:cs="Arial"/>
          <w:sz w:val="21"/>
          <w:szCs w:val="21"/>
        </w:rPr>
        <w:t xml:space="preserve"> für den vollständigen Lizenztext</w:t>
      </w:r>
    </w:p>
    <w:p w14:paraId="028040AA" w14:textId="1AC38A3B" w:rsidR="004140DF" w:rsidRPr="00BB2613" w:rsidRDefault="00000000" w:rsidP="004140DF">
      <w:pPr>
        <w:jc w:val="center"/>
        <w:rPr>
          <w:sz w:val="21"/>
          <w:szCs w:val="21"/>
        </w:rPr>
      </w:pPr>
      <w:hyperlink r:id="rId13" w:history="1">
        <w:r w:rsidR="004140DF" w:rsidRPr="00BB2613">
          <w:rPr>
            <w:rStyle w:val="Hyperlink"/>
            <w:sz w:val="21"/>
            <w:szCs w:val="21"/>
          </w:rPr>
          <w:t>https://creativecommons.org/licenses/by-sa/4.0/legalcode.de</w:t>
        </w:r>
      </w:hyperlink>
    </w:p>
    <w:p w14:paraId="0D3D72A2" w14:textId="77777777" w:rsidR="004140DF" w:rsidRDefault="004140DF" w:rsidP="004140DF"/>
    <w:p w14:paraId="046659C4" w14:textId="658E7A1C" w:rsidR="00CC4D9A" w:rsidRDefault="00CC4D9A">
      <w:pPr>
        <w:jc w:val="left"/>
      </w:pPr>
      <w:r>
        <w:br w:type="page"/>
      </w:r>
    </w:p>
    <w:p w14:paraId="25EF7012" w14:textId="26C0D583" w:rsidR="00CC4D9A" w:rsidRPr="00CC4D9A" w:rsidRDefault="00CC4D9A" w:rsidP="00CC4D9A">
      <w:pPr>
        <w:spacing w:after="0"/>
        <w:rPr>
          <w:rFonts w:ascii="Cambria" w:hAnsi="Cambria"/>
          <w:color w:val="0070C0"/>
          <w:sz w:val="28"/>
          <w:szCs w:val="28"/>
        </w:rPr>
      </w:pPr>
      <w:r w:rsidRPr="00CC4D9A">
        <w:rPr>
          <w:rFonts w:ascii="Cambria" w:hAnsi="Cambria"/>
          <w:color w:val="0070C0"/>
          <w:sz w:val="28"/>
          <w:szCs w:val="28"/>
        </w:rPr>
        <w:lastRenderedPageBreak/>
        <w:t>Inhaltsverzeichnis</w:t>
      </w:r>
    </w:p>
    <w:p w14:paraId="6FD71C33" w14:textId="77777777" w:rsidR="00CC4D9A" w:rsidRDefault="00CC4D9A" w:rsidP="004140DF"/>
    <w:p w14:paraId="12DC37B0" w14:textId="0D6369BB" w:rsidR="00A0643B" w:rsidRDefault="00CC4D9A">
      <w:pPr>
        <w:pStyle w:val="Verzeichnis1"/>
        <w:tabs>
          <w:tab w:val="left" w:pos="440"/>
          <w:tab w:val="right" w:leader="underscore" w:pos="9062"/>
        </w:tabs>
        <w:rPr>
          <w:rFonts w:eastAsiaTheme="minorEastAsia" w:cstheme="minorBidi"/>
          <w:b w:val="0"/>
          <w:bCs w:val="0"/>
          <w:iCs w:val="0"/>
          <w:noProof/>
          <w:sz w:val="22"/>
          <w:szCs w:val="22"/>
          <w:lang w:eastAsia="de-DE"/>
        </w:rPr>
      </w:pPr>
      <w:r>
        <w:fldChar w:fldCharType="begin"/>
      </w:r>
      <w:r>
        <w:instrText xml:space="preserve"> TOC \o "1-3" \h \z \u </w:instrText>
      </w:r>
      <w:r>
        <w:fldChar w:fldCharType="separate"/>
      </w:r>
      <w:hyperlink w:anchor="_Toc132204332" w:history="1">
        <w:r w:rsidR="00A0643B" w:rsidRPr="00644DE8">
          <w:rPr>
            <w:rStyle w:val="Hyperlink"/>
            <w:noProof/>
          </w:rPr>
          <w:t>1</w:t>
        </w:r>
        <w:r w:rsidR="00A0643B">
          <w:rPr>
            <w:rFonts w:eastAsiaTheme="minorEastAsia" w:cstheme="minorBidi"/>
            <w:b w:val="0"/>
            <w:bCs w:val="0"/>
            <w:iCs w:val="0"/>
            <w:noProof/>
            <w:sz w:val="22"/>
            <w:szCs w:val="22"/>
            <w:lang w:eastAsia="de-DE"/>
          </w:rPr>
          <w:tab/>
        </w:r>
        <w:r w:rsidR="00A0643B" w:rsidRPr="00644DE8">
          <w:rPr>
            <w:rStyle w:val="Hyperlink"/>
            <w:noProof/>
          </w:rPr>
          <w:t>Einleitung</w:t>
        </w:r>
        <w:r w:rsidR="00A0643B">
          <w:rPr>
            <w:noProof/>
            <w:webHidden/>
          </w:rPr>
          <w:tab/>
        </w:r>
        <w:r w:rsidR="00A0643B">
          <w:rPr>
            <w:noProof/>
            <w:webHidden/>
          </w:rPr>
          <w:fldChar w:fldCharType="begin"/>
        </w:r>
        <w:r w:rsidR="00A0643B">
          <w:rPr>
            <w:noProof/>
            <w:webHidden/>
          </w:rPr>
          <w:instrText xml:space="preserve"> PAGEREF _Toc132204332 \h </w:instrText>
        </w:r>
        <w:r w:rsidR="00A0643B">
          <w:rPr>
            <w:noProof/>
            <w:webHidden/>
          </w:rPr>
        </w:r>
        <w:r w:rsidR="00A0643B">
          <w:rPr>
            <w:noProof/>
            <w:webHidden/>
          </w:rPr>
          <w:fldChar w:fldCharType="separate"/>
        </w:r>
        <w:r w:rsidR="00BB2613">
          <w:rPr>
            <w:noProof/>
            <w:webHidden/>
          </w:rPr>
          <w:t>1</w:t>
        </w:r>
        <w:r w:rsidR="00A0643B">
          <w:rPr>
            <w:noProof/>
            <w:webHidden/>
          </w:rPr>
          <w:fldChar w:fldCharType="end"/>
        </w:r>
      </w:hyperlink>
    </w:p>
    <w:p w14:paraId="2551286A" w14:textId="56E9D1E6" w:rsidR="00A0643B" w:rsidRDefault="00000000">
      <w:pPr>
        <w:pStyle w:val="Verzeichnis1"/>
        <w:tabs>
          <w:tab w:val="left" w:pos="440"/>
          <w:tab w:val="right" w:leader="underscore" w:pos="9062"/>
        </w:tabs>
        <w:rPr>
          <w:rFonts w:eastAsiaTheme="minorEastAsia" w:cstheme="minorBidi"/>
          <w:b w:val="0"/>
          <w:bCs w:val="0"/>
          <w:iCs w:val="0"/>
          <w:noProof/>
          <w:sz w:val="22"/>
          <w:szCs w:val="22"/>
          <w:lang w:eastAsia="de-DE"/>
        </w:rPr>
      </w:pPr>
      <w:hyperlink w:anchor="_Toc132204333" w:history="1">
        <w:r w:rsidR="00A0643B" w:rsidRPr="00644DE8">
          <w:rPr>
            <w:rStyle w:val="Hyperlink"/>
            <w:noProof/>
          </w:rPr>
          <w:t>2</w:t>
        </w:r>
        <w:r w:rsidR="00A0643B">
          <w:rPr>
            <w:rFonts w:eastAsiaTheme="minorEastAsia" w:cstheme="minorBidi"/>
            <w:b w:val="0"/>
            <w:bCs w:val="0"/>
            <w:iCs w:val="0"/>
            <w:noProof/>
            <w:sz w:val="22"/>
            <w:szCs w:val="22"/>
            <w:lang w:eastAsia="de-DE"/>
          </w:rPr>
          <w:tab/>
        </w:r>
        <w:r w:rsidR="00A0643B" w:rsidRPr="00644DE8">
          <w:rPr>
            <w:rStyle w:val="Hyperlink"/>
            <w:noProof/>
          </w:rPr>
          <w:t>Von der EU-Kommission bereitgestellte Instrumente für Drittland-Verarbeitung:</w:t>
        </w:r>
        <w:r w:rsidR="00A0643B">
          <w:rPr>
            <w:rStyle w:val="Hyperlink"/>
            <w:noProof/>
          </w:rPr>
          <w:br/>
        </w:r>
        <w:r w:rsidR="00A0643B">
          <w:rPr>
            <w:rStyle w:val="Hyperlink"/>
            <w:noProof/>
          </w:rPr>
          <w:tab/>
        </w:r>
        <w:r w:rsidR="00A0643B" w:rsidRPr="00644DE8">
          <w:rPr>
            <w:rStyle w:val="Hyperlink"/>
            <w:noProof/>
          </w:rPr>
          <w:t>Angemessenheitsbeschluss und Standarddatenschutzklauseln</w:t>
        </w:r>
        <w:r w:rsidR="00A0643B">
          <w:rPr>
            <w:noProof/>
            <w:webHidden/>
          </w:rPr>
          <w:tab/>
        </w:r>
        <w:r w:rsidR="00A0643B">
          <w:rPr>
            <w:noProof/>
            <w:webHidden/>
          </w:rPr>
          <w:fldChar w:fldCharType="begin"/>
        </w:r>
        <w:r w:rsidR="00A0643B">
          <w:rPr>
            <w:noProof/>
            <w:webHidden/>
          </w:rPr>
          <w:instrText xml:space="preserve"> PAGEREF _Toc132204333 \h </w:instrText>
        </w:r>
        <w:r w:rsidR="00A0643B">
          <w:rPr>
            <w:noProof/>
            <w:webHidden/>
          </w:rPr>
        </w:r>
        <w:r w:rsidR="00A0643B">
          <w:rPr>
            <w:noProof/>
            <w:webHidden/>
          </w:rPr>
          <w:fldChar w:fldCharType="separate"/>
        </w:r>
        <w:r w:rsidR="00BB2613">
          <w:rPr>
            <w:noProof/>
            <w:webHidden/>
          </w:rPr>
          <w:t>2</w:t>
        </w:r>
        <w:r w:rsidR="00A0643B">
          <w:rPr>
            <w:noProof/>
            <w:webHidden/>
          </w:rPr>
          <w:fldChar w:fldCharType="end"/>
        </w:r>
      </w:hyperlink>
    </w:p>
    <w:p w14:paraId="35883D4E" w14:textId="3B5509C9" w:rsidR="00A0643B" w:rsidRDefault="00000000">
      <w:pPr>
        <w:pStyle w:val="Verzeichnis2"/>
        <w:tabs>
          <w:tab w:val="left" w:pos="880"/>
          <w:tab w:val="right" w:leader="underscore" w:pos="9062"/>
        </w:tabs>
        <w:rPr>
          <w:rFonts w:eastAsiaTheme="minorEastAsia" w:cstheme="minorBidi"/>
          <w:b w:val="0"/>
          <w:bCs w:val="0"/>
          <w:noProof/>
          <w:lang w:eastAsia="de-DE"/>
        </w:rPr>
      </w:pPr>
      <w:hyperlink w:anchor="_Toc132204334" w:history="1">
        <w:r w:rsidR="00A0643B" w:rsidRPr="00644DE8">
          <w:rPr>
            <w:rStyle w:val="Hyperlink"/>
            <w:noProof/>
          </w:rPr>
          <w:t>2.1</w:t>
        </w:r>
        <w:r w:rsidR="00A0643B">
          <w:rPr>
            <w:rFonts w:eastAsiaTheme="minorEastAsia" w:cstheme="minorBidi"/>
            <w:b w:val="0"/>
            <w:bCs w:val="0"/>
            <w:noProof/>
            <w:lang w:eastAsia="de-DE"/>
          </w:rPr>
          <w:tab/>
        </w:r>
        <w:r w:rsidR="00A0643B" w:rsidRPr="00644DE8">
          <w:rPr>
            <w:rStyle w:val="Hyperlink"/>
            <w:noProof/>
          </w:rPr>
          <w:t>Angemessenheitsbeschluss nach Art. 45 DS-GVO</w:t>
        </w:r>
        <w:r w:rsidR="00A0643B">
          <w:rPr>
            <w:noProof/>
            <w:webHidden/>
          </w:rPr>
          <w:tab/>
        </w:r>
        <w:r w:rsidR="00A0643B">
          <w:rPr>
            <w:noProof/>
            <w:webHidden/>
          </w:rPr>
          <w:fldChar w:fldCharType="begin"/>
        </w:r>
        <w:r w:rsidR="00A0643B">
          <w:rPr>
            <w:noProof/>
            <w:webHidden/>
          </w:rPr>
          <w:instrText xml:space="preserve"> PAGEREF _Toc132204334 \h </w:instrText>
        </w:r>
        <w:r w:rsidR="00A0643B">
          <w:rPr>
            <w:noProof/>
            <w:webHidden/>
          </w:rPr>
        </w:r>
        <w:r w:rsidR="00A0643B">
          <w:rPr>
            <w:noProof/>
            <w:webHidden/>
          </w:rPr>
          <w:fldChar w:fldCharType="separate"/>
        </w:r>
        <w:r w:rsidR="00BB2613">
          <w:rPr>
            <w:noProof/>
            <w:webHidden/>
          </w:rPr>
          <w:t>2</w:t>
        </w:r>
        <w:r w:rsidR="00A0643B">
          <w:rPr>
            <w:noProof/>
            <w:webHidden/>
          </w:rPr>
          <w:fldChar w:fldCharType="end"/>
        </w:r>
      </w:hyperlink>
    </w:p>
    <w:p w14:paraId="46A4A829" w14:textId="58F41C62" w:rsidR="00A0643B" w:rsidRDefault="00000000">
      <w:pPr>
        <w:pStyle w:val="Verzeichnis2"/>
        <w:tabs>
          <w:tab w:val="left" w:pos="880"/>
          <w:tab w:val="right" w:leader="underscore" w:pos="9062"/>
        </w:tabs>
        <w:rPr>
          <w:rFonts w:eastAsiaTheme="minorEastAsia" w:cstheme="minorBidi"/>
          <w:b w:val="0"/>
          <w:bCs w:val="0"/>
          <w:noProof/>
          <w:lang w:eastAsia="de-DE"/>
        </w:rPr>
      </w:pPr>
      <w:hyperlink w:anchor="_Toc132204335" w:history="1">
        <w:r w:rsidR="00A0643B" w:rsidRPr="00644DE8">
          <w:rPr>
            <w:rStyle w:val="Hyperlink"/>
            <w:noProof/>
          </w:rPr>
          <w:t>2.2</w:t>
        </w:r>
        <w:r w:rsidR="00A0643B">
          <w:rPr>
            <w:rFonts w:eastAsiaTheme="minorEastAsia" w:cstheme="minorBidi"/>
            <w:b w:val="0"/>
            <w:bCs w:val="0"/>
            <w:noProof/>
            <w:lang w:eastAsia="de-DE"/>
          </w:rPr>
          <w:tab/>
        </w:r>
        <w:r w:rsidR="00A0643B" w:rsidRPr="00644DE8">
          <w:rPr>
            <w:rStyle w:val="Hyperlink"/>
            <w:noProof/>
          </w:rPr>
          <w:t>Standarddatenschutzklauseln entsprechend Art. 46 DS-GVO</w:t>
        </w:r>
        <w:r w:rsidR="00A0643B">
          <w:rPr>
            <w:noProof/>
            <w:webHidden/>
          </w:rPr>
          <w:tab/>
        </w:r>
        <w:r w:rsidR="00A0643B" w:rsidRPr="00BB2613">
          <w:rPr>
            <w:noProof/>
            <w:webHidden/>
          </w:rPr>
          <w:fldChar w:fldCharType="begin"/>
        </w:r>
        <w:r w:rsidR="00A0643B" w:rsidRPr="00BB2613">
          <w:rPr>
            <w:noProof/>
            <w:webHidden/>
          </w:rPr>
          <w:instrText xml:space="preserve"> PAGEREF _Toc132204335 \h </w:instrText>
        </w:r>
        <w:r w:rsidR="00A0643B" w:rsidRPr="00BB2613">
          <w:rPr>
            <w:noProof/>
            <w:webHidden/>
          </w:rPr>
        </w:r>
        <w:r w:rsidR="00A0643B" w:rsidRPr="00BB2613">
          <w:rPr>
            <w:noProof/>
            <w:webHidden/>
          </w:rPr>
          <w:fldChar w:fldCharType="separate"/>
        </w:r>
        <w:r w:rsidR="00BB2613">
          <w:rPr>
            <w:noProof/>
            <w:webHidden/>
          </w:rPr>
          <w:t>3</w:t>
        </w:r>
        <w:r w:rsidR="00A0643B" w:rsidRPr="00BB2613">
          <w:rPr>
            <w:noProof/>
            <w:webHidden/>
          </w:rPr>
          <w:fldChar w:fldCharType="end"/>
        </w:r>
      </w:hyperlink>
    </w:p>
    <w:p w14:paraId="35D40A08" w14:textId="047A9A3E" w:rsidR="00A0643B" w:rsidRDefault="00000000">
      <w:pPr>
        <w:pStyle w:val="Verzeichnis1"/>
        <w:tabs>
          <w:tab w:val="left" w:pos="440"/>
          <w:tab w:val="right" w:leader="underscore" w:pos="9062"/>
        </w:tabs>
        <w:rPr>
          <w:rFonts w:eastAsiaTheme="minorEastAsia" w:cstheme="minorBidi"/>
          <w:b w:val="0"/>
          <w:bCs w:val="0"/>
          <w:iCs w:val="0"/>
          <w:noProof/>
          <w:sz w:val="22"/>
          <w:szCs w:val="22"/>
          <w:lang w:eastAsia="de-DE"/>
        </w:rPr>
      </w:pPr>
      <w:hyperlink w:anchor="_Toc132204336" w:history="1">
        <w:r w:rsidR="00A0643B" w:rsidRPr="00644DE8">
          <w:rPr>
            <w:rStyle w:val="Hyperlink"/>
            <w:noProof/>
          </w:rPr>
          <w:t>3</w:t>
        </w:r>
        <w:r w:rsidR="00A0643B">
          <w:rPr>
            <w:rFonts w:eastAsiaTheme="minorEastAsia" w:cstheme="minorBidi"/>
            <w:b w:val="0"/>
            <w:bCs w:val="0"/>
            <w:iCs w:val="0"/>
            <w:noProof/>
            <w:sz w:val="22"/>
            <w:szCs w:val="22"/>
            <w:lang w:eastAsia="de-DE"/>
          </w:rPr>
          <w:tab/>
        </w:r>
        <w:r w:rsidR="00A0643B" w:rsidRPr="00644DE8">
          <w:rPr>
            <w:rStyle w:val="Hyperlink"/>
            <w:noProof/>
          </w:rPr>
          <w:t>Der EuGH und das Schrems-II-Urteil</w:t>
        </w:r>
        <w:r w:rsidR="00A0643B">
          <w:rPr>
            <w:noProof/>
            <w:webHidden/>
          </w:rPr>
          <w:tab/>
        </w:r>
        <w:r w:rsidR="00A0643B">
          <w:rPr>
            <w:noProof/>
            <w:webHidden/>
          </w:rPr>
          <w:fldChar w:fldCharType="begin"/>
        </w:r>
        <w:r w:rsidR="00A0643B">
          <w:rPr>
            <w:noProof/>
            <w:webHidden/>
          </w:rPr>
          <w:instrText xml:space="preserve"> PAGEREF _Toc132204336 \h </w:instrText>
        </w:r>
        <w:r w:rsidR="00A0643B">
          <w:rPr>
            <w:noProof/>
            <w:webHidden/>
          </w:rPr>
        </w:r>
        <w:r w:rsidR="00A0643B">
          <w:rPr>
            <w:noProof/>
            <w:webHidden/>
          </w:rPr>
          <w:fldChar w:fldCharType="separate"/>
        </w:r>
        <w:r w:rsidR="00BB2613">
          <w:rPr>
            <w:noProof/>
            <w:webHidden/>
          </w:rPr>
          <w:t>5</w:t>
        </w:r>
        <w:r w:rsidR="00A0643B">
          <w:rPr>
            <w:noProof/>
            <w:webHidden/>
          </w:rPr>
          <w:fldChar w:fldCharType="end"/>
        </w:r>
      </w:hyperlink>
    </w:p>
    <w:p w14:paraId="2291A648" w14:textId="7B53799B" w:rsidR="00A0643B" w:rsidRDefault="00000000">
      <w:pPr>
        <w:pStyle w:val="Verzeichnis2"/>
        <w:tabs>
          <w:tab w:val="left" w:pos="880"/>
          <w:tab w:val="right" w:leader="underscore" w:pos="9062"/>
        </w:tabs>
        <w:rPr>
          <w:rFonts w:eastAsiaTheme="minorEastAsia" w:cstheme="minorBidi"/>
          <w:b w:val="0"/>
          <w:bCs w:val="0"/>
          <w:noProof/>
          <w:lang w:eastAsia="de-DE"/>
        </w:rPr>
      </w:pPr>
      <w:hyperlink w:anchor="_Toc132204337" w:history="1">
        <w:r w:rsidR="00A0643B" w:rsidRPr="00644DE8">
          <w:rPr>
            <w:rStyle w:val="Hyperlink"/>
            <w:noProof/>
          </w:rPr>
          <w:t>3.1</w:t>
        </w:r>
        <w:r w:rsidR="00A0643B">
          <w:rPr>
            <w:rFonts w:eastAsiaTheme="minorEastAsia" w:cstheme="minorBidi"/>
            <w:b w:val="0"/>
            <w:bCs w:val="0"/>
            <w:noProof/>
            <w:lang w:eastAsia="de-DE"/>
          </w:rPr>
          <w:tab/>
        </w:r>
        <w:r w:rsidR="00A0643B" w:rsidRPr="00644DE8">
          <w:rPr>
            <w:rStyle w:val="Hyperlink"/>
            <w:noProof/>
          </w:rPr>
          <w:t>Schrems-II-Urteil und durchsetzbare Rechte/Rechtsbehelfe</w:t>
        </w:r>
        <w:r w:rsidR="00A0643B">
          <w:rPr>
            <w:noProof/>
            <w:webHidden/>
          </w:rPr>
          <w:tab/>
        </w:r>
        <w:r w:rsidR="00A0643B">
          <w:rPr>
            <w:noProof/>
            <w:webHidden/>
          </w:rPr>
          <w:fldChar w:fldCharType="begin"/>
        </w:r>
        <w:r w:rsidR="00A0643B">
          <w:rPr>
            <w:noProof/>
            <w:webHidden/>
          </w:rPr>
          <w:instrText xml:space="preserve"> PAGEREF _Toc132204337 \h </w:instrText>
        </w:r>
        <w:r w:rsidR="00A0643B">
          <w:rPr>
            <w:noProof/>
            <w:webHidden/>
          </w:rPr>
        </w:r>
        <w:r w:rsidR="00A0643B">
          <w:rPr>
            <w:noProof/>
            <w:webHidden/>
          </w:rPr>
          <w:fldChar w:fldCharType="separate"/>
        </w:r>
        <w:r w:rsidR="00BB2613">
          <w:rPr>
            <w:noProof/>
            <w:webHidden/>
          </w:rPr>
          <w:t>5</w:t>
        </w:r>
        <w:r w:rsidR="00A0643B">
          <w:rPr>
            <w:noProof/>
            <w:webHidden/>
          </w:rPr>
          <w:fldChar w:fldCharType="end"/>
        </w:r>
      </w:hyperlink>
    </w:p>
    <w:p w14:paraId="48A4D5AC" w14:textId="689DBC0B" w:rsidR="00A0643B" w:rsidRDefault="00000000">
      <w:pPr>
        <w:pStyle w:val="Verzeichnis2"/>
        <w:tabs>
          <w:tab w:val="left" w:pos="880"/>
          <w:tab w:val="right" w:leader="underscore" w:pos="9062"/>
        </w:tabs>
        <w:rPr>
          <w:rFonts w:eastAsiaTheme="minorEastAsia" w:cstheme="minorBidi"/>
          <w:b w:val="0"/>
          <w:bCs w:val="0"/>
          <w:noProof/>
          <w:lang w:eastAsia="de-DE"/>
        </w:rPr>
      </w:pPr>
      <w:hyperlink w:anchor="_Toc132204338" w:history="1">
        <w:r w:rsidR="00A0643B" w:rsidRPr="00644DE8">
          <w:rPr>
            <w:rStyle w:val="Hyperlink"/>
            <w:noProof/>
          </w:rPr>
          <w:t>3.2</w:t>
        </w:r>
        <w:r w:rsidR="00A0643B">
          <w:rPr>
            <w:rFonts w:eastAsiaTheme="minorEastAsia" w:cstheme="minorBidi"/>
            <w:b w:val="0"/>
            <w:bCs w:val="0"/>
            <w:noProof/>
            <w:lang w:eastAsia="de-DE"/>
          </w:rPr>
          <w:tab/>
        </w:r>
        <w:r w:rsidR="00A0643B" w:rsidRPr="00644DE8">
          <w:rPr>
            <w:rStyle w:val="Hyperlink"/>
            <w:noProof/>
          </w:rPr>
          <w:t>Schrems-II-Urteil: Resultierende Anforderungen</w:t>
        </w:r>
        <w:r w:rsidR="00A0643B">
          <w:rPr>
            <w:noProof/>
            <w:webHidden/>
          </w:rPr>
          <w:tab/>
        </w:r>
        <w:r w:rsidR="00A0643B">
          <w:rPr>
            <w:noProof/>
            <w:webHidden/>
          </w:rPr>
          <w:fldChar w:fldCharType="begin"/>
        </w:r>
        <w:r w:rsidR="00A0643B">
          <w:rPr>
            <w:noProof/>
            <w:webHidden/>
          </w:rPr>
          <w:instrText xml:space="preserve"> PAGEREF _Toc132204338 \h </w:instrText>
        </w:r>
        <w:r w:rsidR="00A0643B">
          <w:rPr>
            <w:noProof/>
            <w:webHidden/>
          </w:rPr>
        </w:r>
        <w:r w:rsidR="00A0643B">
          <w:rPr>
            <w:noProof/>
            <w:webHidden/>
          </w:rPr>
          <w:fldChar w:fldCharType="separate"/>
        </w:r>
        <w:r w:rsidR="00BB2613">
          <w:rPr>
            <w:noProof/>
            <w:webHidden/>
          </w:rPr>
          <w:t>6</w:t>
        </w:r>
        <w:r w:rsidR="00A0643B">
          <w:rPr>
            <w:noProof/>
            <w:webHidden/>
          </w:rPr>
          <w:fldChar w:fldCharType="end"/>
        </w:r>
      </w:hyperlink>
    </w:p>
    <w:p w14:paraId="76A60631" w14:textId="559B43FF" w:rsidR="00A0643B" w:rsidRDefault="00000000">
      <w:pPr>
        <w:pStyle w:val="Verzeichnis2"/>
        <w:tabs>
          <w:tab w:val="left" w:pos="880"/>
          <w:tab w:val="right" w:leader="underscore" w:pos="9062"/>
        </w:tabs>
        <w:rPr>
          <w:rFonts w:eastAsiaTheme="minorEastAsia" w:cstheme="minorBidi"/>
          <w:b w:val="0"/>
          <w:bCs w:val="0"/>
          <w:noProof/>
          <w:lang w:eastAsia="de-DE"/>
        </w:rPr>
      </w:pPr>
      <w:hyperlink w:anchor="_Toc132204339" w:history="1">
        <w:r w:rsidR="00A0643B" w:rsidRPr="00644DE8">
          <w:rPr>
            <w:rStyle w:val="Hyperlink"/>
            <w:noProof/>
          </w:rPr>
          <w:t>3.3</w:t>
        </w:r>
        <w:r w:rsidR="00A0643B">
          <w:rPr>
            <w:rFonts w:eastAsiaTheme="minorEastAsia" w:cstheme="minorBidi"/>
            <w:b w:val="0"/>
            <w:bCs w:val="0"/>
            <w:noProof/>
            <w:lang w:eastAsia="de-DE"/>
          </w:rPr>
          <w:tab/>
        </w:r>
        <w:r w:rsidR="00A0643B" w:rsidRPr="00644DE8">
          <w:rPr>
            <w:rStyle w:val="Hyperlink"/>
            <w:noProof/>
          </w:rPr>
          <w:t>EDSA und Schrems-II-Urteil: Empfehlungen</w:t>
        </w:r>
        <w:r w:rsidR="00A0643B">
          <w:rPr>
            <w:noProof/>
            <w:webHidden/>
          </w:rPr>
          <w:tab/>
        </w:r>
        <w:r w:rsidR="00A0643B">
          <w:rPr>
            <w:noProof/>
            <w:webHidden/>
          </w:rPr>
          <w:fldChar w:fldCharType="begin"/>
        </w:r>
        <w:r w:rsidR="00A0643B">
          <w:rPr>
            <w:noProof/>
            <w:webHidden/>
          </w:rPr>
          <w:instrText xml:space="preserve"> PAGEREF _Toc132204339 \h </w:instrText>
        </w:r>
        <w:r w:rsidR="00A0643B">
          <w:rPr>
            <w:noProof/>
            <w:webHidden/>
          </w:rPr>
        </w:r>
        <w:r w:rsidR="00A0643B">
          <w:rPr>
            <w:noProof/>
            <w:webHidden/>
          </w:rPr>
          <w:fldChar w:fldCharType="separate"/>
        </w:r>
        <w:r w:rsidR="00BB2613">
          <w:rPr>
            <w:noProof/>
            <w:webHidden/>
          </w:rPr>
          <w:t>7</w:t>
        </w:r>
        <w:r w:rsidR="00A0643B">
          <w:rPr>
            <w:noProof/>
            <w:webHidden/>
          </w:rPr>
          <w:fldChar w:fldCharType="end"/>
        </w:r>
      </w:hyperlink>
    </w:p>
    <w:p w14:paraId="5A48766B" w14:textId="5D0E91D0" w:rsidR="00A0643B" w:rsidRDefault="00000000">
      <w:pPr>
        <w:pStyle w:val="Verzeichnis1"/>
        <w:tabs>
          <w:tab w:val="left" w:pos="440"/>
          <w:tab w:val="right" w:leader="underscore" w:pos="9062"/>
        </w:tabs>
        <w:rPr>
          <w:rFonts w:eastAsiaTheme="minorEastAsia" w:cstheme="minorBidi"/>
          <w:b w:val="0"/>
          <w:bCs w:val="0"/>
          <w:iCs w:val="0"/>
          <w:noProof/>
          <w:sz w:val="22"/>
          <w:szCs w:val="22"/>
          <w:lang w:eastAsia="de-DE"/>
        </w:rPr>
      </w:pPr>
      <w:hyperlink w:anchor="_Toc132204340" w:history="1">
        <w:r w:rsidR="00A0643B" w:rsidRPr="00644DE8">
          <w:rPr>
            <w:rStyle w:val="Hyperlink"/>
            <w:noProof/>
          </w:rPr>
          <w:t>4</w:t>
        </w:r>
        <w:r w:rsidR="00A0643B">
          <w:rPr>
            <w:rFonts w:eastAsiaTheme="minorEastAsia" w:cstheme="minorBidi"/>
            <w:b w:val="0"/>
            <w:bCs w:val="0"/>
            <w:iCs w:val="0"/>
            <w:noProof/>
            <w:sz w:val="22"/>
            <w:szCs w:val="22"/>
            <w:lang w:eastAsia="de-DE"/>
          </w:rPr>
          <w:tab/>
        </w:r>
        <w:r w:rsidR="00A0643B" w:rsidRPr="00644DE8">
          <w:rPr>
            <w:rStyle w:val="Hyperlink"/>
            <w:noProof/>
          </w:rPr>
          <w:t>Data Transfer Impact Assessment (TIA): Aber wie?</w:t>
        </w:r>
        <w:r w:rsidR="00A0643B">
          <w:rPr>
            <w:noProof/>
            <w:webHidden/>
          </w:rPr>
          <w:tab/>
        </w:r>
        <w:r w:rsidR="00A0643B">
          <w:rPr>
            <w:noProof/>
            <w:webHidden/>
          </w:rPr>
          <w:fldChar w:fldCharType="begin"/>
        </w:r>
        <w:r w:rsidR="00A0643B">
          <w:rPr>
            <w:noProof/>
            <w:webHidden/>
          </w:rPr>
          <w:instrText xml:space="preserve"> PAGEREF _Toc132204340 \h </w:instrText>
        </w:r>
        <w:r w:rsidR="00A0643B">
          <w:rPr>
            <w:noProof/>
            <w:webHidden/>
          </w:rPr>
        </w:r>
        <w:r w:rsidR="00A0643B">
          <w:rPr>
            <w:noProof/>
            <w:webHidden/>
          </w:rPr>
          <w:fldChar w:fldCharType="separate"/>
        </w:r>
        <w:r w:rsidR="00BB2613">
          <w:rPr>
            <w:noProof/>
            <w:webHidden/>
          </w:rPr>
          <w:t>10</w:t>
        </w:r>
        <w:r w:rsidR="00A0643B">
          <w:rPr>
            <w:noProof/>
            <w:webHidden/>
          </w:rPr>
          <w:fldChar w:fldCharType="end"/>
        </w:r>
      </w:hyperlink>
    </w:p>
    <w:p w14:paraId="28F3C103" w14:textId="54E95D77" w:rsidR="00A0643B" w:rsidRDefault="00000000">
      <w:pPr>
        <w:pStyle w:val="Verzeichnis1"/>
        <w:tabs>
          <w:tab w:val="left" w:pos="440"/>
          <w:tab w:val="right" w:leader="underscore" w:pos="9062"/>
        </w:tabs>
        <w:rPr>
          <w:rFonts w:eastAsiaTheme="minorEastAsia" w:cstheme="minorBidi"/>
          <w:b w:val="0"/>
          <w:bCs w:val="0"/>
          <w:iCs w:val="0"/>
          <w:noProof/>
          <w:sz w:val="22"/>
          <w:szCs w:val="22"/>
          <w:lang w:eastAsia="de-DE"/>
        </w:rPr>
      </w:pPr>
      <w:hyperlink w:anchor="_Toc132204341" w:history="1">
        <w:r w:rsidR="00A0643B" w:rsidRPr="00644DE8">
          <w:rPr>
            <w:rStyle w:val="Hyperlink"/>
            <w:noProof/>
          </w:rPr>
          <w:t>5</w:t>
        </w:r>
        <w:r w:rsidR="00A0643B">
          <w:rPr>
            <w:rFonts w:eastAsiaTheme="minorEastAsia" w:cstheme="minorBidi"/>
            <w:b w:val="0"/>
            <w:bCs w:val="0"/>
            <w:iCs w:val="0"/>
            <w:noProof/>
            <w:sz w:val="22"/>
            <w:szCs w:val="22"/>
            <w:lang w:eastAsia="de-DE"/>
          </w:rPr>
          <w:tab/>
        </w:r>
        <w:r w:rsidR="00A0643B" w:rsidRPr="00644DE8">
          <w:rPr>
            <w:rStyle w:val="Hyperlink"/>
            <w:noProof/>
          </w:rPr>
          <w:t>Excel-Tool zur Durchführung einer TIA</w:t>
        </w:r>
        <w:r w:rsidR="00A0643B">
          <w:rPr>
            <w:noProof/>
            <w:webHidden/>
          </w:rPr>
          <w:tab/>
        </w:r>
        <w:r w:rsidR="00A0643B">
          <w:rPr>
            <w:noProof/>
            <w:webHidden/>
          </w:rPr>
          <w:fldChar w:fldCharType="begin"/>
        </w:r>
        <w:r w:rsidR="00A0643B">
          <w:rPr>
            <w:noProof/>
            <w:webHidden/>
          </w:rPr>
          <w:instrText xml:space="preserve"> PAGEREF _Toc132204341 \h </w:instrText>
        </w:r>
        <w:r w:rsidR="00A0643B">
          <w:rPr>
            <w:noProof/>
            <w:webHidden/>
          </w:rPr>
        </w:r>
        <w:r w:rsidR="00A0643B">
          <w:rPr>
            <w:noProof/>
            <w:webHidden/>
          </w:rPr>
          <w:fldChar w:fldCharType="separate"/>
        </w:r>
        <w:r w:rsidR="00BB2613">
          <w:rPr>
            <w:noProof/>
            <w:webHidden/>
          </w:rPr>
          <w:t>12</w:t>
        </w:r>
        <w:r w:rsidR="00A0643B">
          <w:rPr>
            <w:noProof/>
            <w:webHidden/>
          </w:rPr>
          <w:fldChar w:fldCharType="end"/>
        </w:r>
      </w:hyperlink>
    </w:p>
    <w:p w14:paraId="2A405746" w14:textId="44216324" w:rsidR="00A0643B" w:rsidRDefault="00000000">
      <w:pPr>
        <w:pStyle w:val="Verzeichnis1"/>
        <w:tabs>
          <w:tab w:val="left" w:pos="440"/>
          <w:tab w:val="right" w:leader="underscore" w:pos="9062"/>
        </w:tabs>
        <w:rPr>
          <w:rFonts w:eastAsiaTheme="minorEastAsia" w:cstheme="minorBidi"/>
          <w:b w:val="0"/>
          <w:bCs w:val="0"/>
          <w:iCs w:val="0"/>
          <w:noProof/>
          <w:sz w:val="22"/>
          <w:szCs w:val="22"/>
          <w:lang w:eastAsia="de-DE"/>
        </w:rPr>
      </w:pPr>
      <w:hyperlink w:anchor="_Toc132204342" w:history="1">
        <w:r w:rsidR="00A0643B" w:rsidRPr="00644DE8">
          <w:rPr>
            <w:rStyle w:val="Hyperlink"/>
            <w:noProof/>
          </w:rPr>
          <w:t>6</w:t>
        </w:r>
        <w:r w:rsidR="00A0643B">
          <w:rPr>
            <w:rFonts w:eastAsiaTheme="minorEastAsia" w:cstheme="minorBidi"/>
            <w:b w:val="0"/>
            <w:bCs w:val="0"/>
            <w:iCs w:val="0"/>
            <w:noProof/>
            <w:sz w:val="22"/>
            <w:szCs w:val="22"/>
            <w:lang w:eastAsia="de-DE"/>
          </w:rPr>
          <w:tab/>
        </w:r>
        <w:r w:rsidR="00A0643B" w:rsidRPr="00644DE8">
          <w:rPr>
            <w:rStyle w:val="Hyperlink"/>
            <w:noProof/>
          </w:rPr>
          <w:t>Abkürzungen</w:t>
        </w:r>
        <w:r w:rsidR="00A0643B">
          <w:rPr>
            <w:noProof/>
            <w:webHidden/>
          </w:rPr>
          <w:tab/>
        </w:r>
        <w:r w:rsidR="00A0643B">
          <w:rPr>
            <w:noProof/>
            <w:webHidden/>
          </w:rPr>
          <w:fldChar w:fldCharType="begin"/>
        </w:r>
        <w:r w:rsidR="00A0643B">
          <w:rPr>
            <w:noProof/>
            <w:webHidden/>
          </w:rPr>
          <w:instrText xml:space="preserve"> PAGEREF _Toc132204342 \h </w:instrText>
        </w:r>
        <w:r w:rsidR="00A0643B">
          <w:rPr>
            <w:noProof/>
            <w:webHidden/>
          </w:rPr>
        </w:r>
        <w:r w:rsidR="00A0643B">
          <w:rPr>
            <w:noProof/>
            <w:webHidden/>
          </w:rPr>
          <w:fldChar w:fldCharType="separate"/>
        </w:r>
        <w:r w:rsidR="00BB2613">
          <w:rPr>
            <w:noProof/>
            <w:webHidden/>
          </w:rPr>
          <w:t>15</w:t>
        </w:r>
        <w:r w:rsidR="00A0643B">
          <w:rPr>
            <w:noProof/>
            <w:webHidden/>
          </w:rPr>
          <w:fldChar w:fldCharType="end"/>
        </w:r>
      </w:hyperlink>
    </w:p>
    <w:p w14:paraId="0160E157" w14:textId="6C77E130" w:rsidR="00A0643B" w:rsidRDefault="00000000">
      <w:pPr>
        <w:pStyle w:val="Verzeichnis1"/>
        <w:tabs>
          <w:tab w:val="left" w:pos="440"/>
          <w:tab w:val="right" w:leader="underscore" w:pos="9062"/>
        </w:tabs>
        <w:rPr>
          <w:rFonts w:eastAsiaTheme="minorEastAsia" w:cstheme="minorBidi"/>
          <w:b w:val="0"/>
          <w:bCs w:val="0"/>
          <w:iCs w:val="0"/>
          <w:noProof/>
          <w:sz w:val="22"/>
          <w:szCs w:val="22"/>
          <w:lang w:eastAsia="de-DE"/>
        </w:rPr>
      </w:pPr>
      <w:hyperlink w:anchor="_Toc132204343" w:history="1">
        <w:r w:rsidR="00A0643B" w:rsidRPr="00644DE8">
          <w:rPr>
            <w:rStyle w:val="Hyperlink"/>
            <w:noProof/>
          </w:rPr>
          <w:t>7</w:t>
        </w:r>
        <w:r w:rsidR="00A0643B">
          <w:rPr>
            <w:rFonts w:eastAsiaTheme="minorEastAsia" w:cstheme="minorBidi"/>
            <w:b w:val="0"/>
            <w:bCs w:val="0"/>
            <w:iCs w:val="0"/>
            <w:noProof/>
            <w:sz w:val="22"/>
            <w:szCs w:val="22"/>
            <w:lang w:eastAsia="de-DE"/>
          </w:rPr>
          <w:tab/>
        </w:r>
        <w:r w:rsidR="00A0643B" w:rsidRPr="00644DE8">
          <w:rPr>
            <w:rStyle w:val="Hyperlink"/>
            <w:noProof/>
          </w:rPr>
          <w:t>Literaturhinweise</w:t>
        </w:r>
        <w:r w:rsidR="00A0643B">
          <w:rPr>
            <w:noProof/>
            <w:webHidden/>
          </w:rPr>
          <w:tab/>
        </w:r>
        <w:r w:rsidR="00A0643B">
          <w:rPr>
            <w:noProof/>
            <w:webHidden/>
          </w:rPr>
          <w:fldChar w:fldCharType="begin"/>
        </w:r>
        <w:r w:rsidR="00A0643B">
          <w:rPr>
            <w:noProof/>
            <w:webHidden/>
          </w:rPr>
          <w:instrText xml:space="preserve"> PAGEREF _Toc132204343 \h </w:instrText>
        </w:r>
        <w:r w:rsidR="00A0643B">
          <w:rPr>
            <w:noProof/>
            <w:webHidden/>
          </w:rPr>
        </w:r>
        <w:r w:rsidR="00A0643B">
          <w:rPr>
            <w:noProof/>
            <w:webHidden/>
          </w:rPr>
          <w:fldChar w:fldCharType="separate"/>
        </w:r>
        <w:r w:rsidR="00BB2613">
          <w:rPr>
            <w:noProof/>
            <w:webHidden/>
          </w:rPr>
          <w:t>16</w:t>
        </w:r>
        <w:r w:rsidR="00A0643B">
          <w:rPr>
            <w:noProof/>
            <w:webHidden/>
          </w:rPr>
          <w:fldChar w:fldCharType="end"/>
        </w:r>
      </w:hyperlink>
    </w:p>
    <w:p w14:paraId="7CB16FF6" w14:textId="2A2788BA" w:rsidR="00A0643B" w:rsidRDefault="00000000">
      <w:pPr>
        <w:pStyle w:val="Verzeichnis2"/>
        <w:tabs>
          <w:tab w:val="left" w:pos="880"/>
          <w:tab w:val="right" w:leader="underscore" w:pos="9062"/>
        </w:tabs>
        <w:rPr>
          <w:rFonts w:eastAsiaTheme="minorEastAsia" w:cstheme="minorBidi"/>
          <w:b w:val="0"/>
          <w:bCs w:val="0"/>
          <w:noProof/>
          <w:lang w:eastAsia="de-DE"/>
        </w:rPr>
      </w:pPr>
      <w:hyperlink w:anchor="_Toc132204344" w:history="1">
        <w:r w:rsidR="00A0643B" w:rsidRPr="00644DE8">
          <w:rPr>
            <w:rStyle w:val="Hyperlink"/>
            <w:noProof/>
          </w:rPr>
          <w:t>7.1</w:t>
        </w:r>
        <w:r w:rsidR="00A0643B">
          <w:rPr>
            <w:rFonts w:eastAsiaTheme="minorEastAsia" w:cstheme="minorBidi"/>
            <w:b w:val="0"/>
            <w:bCs w:val="0"/>
            <w:noProof/>
            <w:lang w:eastAsia="de-DE"/>
          </w:rPr>
          <w:tab/>
        </w:r>
        <w:r w:rsidR="00A0643B" w:rsidRPr="00644DE8">
          <w:rPr>
            <w:rStyle w:val="Hyperlink"/>
            <w:noProof/>
          </w:rPr>
          <w:t>Zeitschriftenbeiträge</w:t>
        </w:r>
        <w:r w:rsidR="00A0643B">
          <w:rPr>
            <w:noProof/>
            <w:webHidden/>
          </w:rPr>
          <w:tab/>
        </w:r>
        <w:r w:rsidR="00A0643B">
          <w:rPr>
            <w:noProof/>
            <w:webHidden/>
          </w:rPr>
          <w:fldChar w:fldCharType="begin"/>
        </w:r>
        <w:r w:rsidR="00A0643B">
          <w:rPr>
            <w:noProof/>
            <w:webHidden/>
          </w:rPr>
          <w:instrText xml:space="preserve"> PAGEREF _Toc132204344 \h </w:instrText>
        </w:r>
        <w:r w:rsidR="00A0643B">
          <w:rPr>
            <w:noProof/>
            <w:webHidden/>
          </w:rPr>
        </w:r>
        <w:r w:rsidR="00A0643B">
          <w:rPr>
            <w:noProof/>
            <w:webHidden/>
          </w:rPr>
          <w:fldChar w:fldCharType="separate"/>
        </w:r>
        <w:r w:rsidR="00BB2613">
          <w:rPr>
            <w:noProof/>
            <w:webHidden/>
          </w:rPr>
          <w:t>16</w:t>
        </w:r>
        <w:r w:rsidR="00A0643B">
          <w:rPr>
            <w:noProof/>
            <w:webHidden/>
          </w:rPr>
          <w:fldChar w:fldCharType="end"/>
        </w:r>
      </w:hyperlink>
    </w:p>
    <w:p w14:paraId="3E213AC3" w14:textId="66461E69" w:rsidR="00A0643B" w:rsidRDefault="00000000">
      <w:pPr>
        <w:pStyle w:val="Verzeichnis2"/>
        <w:tabs>
          <w:tab w:val="left" w:pos="880"/>
          <w:tab w:val="right" w:leader="underscore" w:pos="9062"/>
        </w:tabs>
        <w:rPr>
          <w:rFonts w:eastAsiaTheme="minorEastAsia" w:cstheme="minorBidi"/>
          <w:b w:val="0"/>
          <w:bCs w:val="0"/>
          <w:noProof/>
          <w:lang w:eastAsia="de-DE"/>
        </w:rPr>
      </w:pPr>
      <w:hyperlink w:anchor="_Toc132204345" w:history="1">
        <w:r w:rsidR="00A0643B" w:rsidRPr="00644DE8">
          <w:rPr>
            <w:rStyle w:val="Hyperlink"/>
            <w:noProof/>
          </w:rPr>
          <w:t>7.2</w:t>
        </w:r>
        <w:r w:rsidR="00A0643B">
          <w:rPr>
            <w:rFonts w:eastAsiaTheme="minorEastAsia" w:cstheme="minorBidi"/>
            <w:b w:val="0"/>
            <w:bCs w:val="0"/>
            <w:noProof/>
            <w:lang w:eastAsia="de-DE"/>
          </w:rPr>
          <w:tab/>
        </w:r>
        <w:r w:rsidR="00A0643B" w:rsidRPr="00644DE8">
          <w:rPr>
            <w:rStyle w:val="Hyperlink"/>
            <w:noProof/>
          </w:rPr>
          <w:t>Bücher</w:t>
        </w:r>
        <w:r w:rsidR="00A0643B">
          <w:rPr>
            <w:noProof/>
            <w:webHidden/>
          </w:rPr>
          <w:tab/>
        </w:r>
        <w:r w:rsidR="00A0643B">
          <w:rPr>
            <w:noProof/>
            <w:webHidden/>
          </w:rPr>
          <w:fldChar w:fldCharType="begin"/>
        </w:r>
        <w:r w:rsidR="00A0643B">
          <w:rPr>
            <w:noProof/>
            <w:webHidden/>
          </w:rPr>
          <w:instrText xml:space="preserve"> PAGEREF _Toc132204345 \h </w:instrText>
        </w:r>
        <w:r w:rsidR="00A0643B">
          <w:rPr>
            <w:noProof/>
            <w:webHidden/>
          </w:rPr>
        </w:r>
        <w:r w:rsidR="00A0643B">
          <w:rPr>
            <w:noProof/>
            <w:webHidden/>
          </w:rPr>
          <w:fldChar w:fldCharType="separate"/>
        </w:r>
        <w:r w:rsidR="00BB2613">
          <w:rPr>
            <w:noProof/>
            <w:webHidden/>
          </w:rPr>
          <w:t>16</w:t>
        </w:r>
        <w:r w:rsidR="00A0643B">
          <w:rPr>
            <w:noProof/>
            <w:webHidden/>
          </w:rPr>
          <w:fldChar w:fldCharType="end"/>
        </w:r>
      </w:hyperlink>
    </w:p>
    <w:p w14:paraId="1BD81CBD" w14:textId="119556EF" w:rsidR="00A0643B" w:rsidRDefault="00000000">
      <w:pPr>
        <w:pStyle w:val="Verzeichnis2"/>
        <w:tabs>
          <w:tab w:val="left" w:pos="880"/>
          <w:tab w:val="right" w:leader="underscore" w:pos="9062"/>
        </w:tabs>
        <w:rPr>
          <w:rFonts w:eastAsiaTheme="minorEastAsia" w:cstheme="minorBidi"/>
          <w:b w:val="0"/>
          <w:bCs w:val="0"/>
          <w:noProof/>
          <w:lang w:eastAsia="de-DE"/>
        </w:rPr>
      </w:pPr>
      <w:hyperlink w:anchor="_Toc132204346" w:history="1">
        <w:r w:rsidR="00A0643B" w:rsidRPr="00644DE8">
          <w:rPr>
            <w:rStyle w:val="Hyperlink"/>
            <w:noProof/>
          </w:rPr>
          <w:t>7.3</w:t>
        </w:r>
        <w:r w:rsidR="00A0643B">
          <w:rPr>
            <w:rFonts w:eastAsiaTheme="minorEastAsia" w:cstheme="minorBidi"/>
            <w:b w:val="0"/>
            <w:bCs w:val="0"/>
            <w:noProof/>
            <w:lang w:eastAsia="de-DE"/>
          </w:rPr>
          <w:tab/>
        </w:r>
        <w:r w:rsidR="00A0643B" w:rsidRPr="00644DE8">
          <w:rPr>
            <w:rStyle w:val="Hyperlink"/>
            <w:noProof/>
          </w:rPr>
          <w:t>Internet</w:t>
        </w:r>
        <w:r w:rsidR="00A0643B">
          <w:rPr>
            <w:noProof/>
            <w:webHidden/>
          </w:rPr>
          <w:tab/>
        </w:r>
        <w:r w:rsidR="00A0643B">
          <w:rPr>
            <w:noProof/>
            <w:webHidden/>
          </w:rPr>
          <w:fldChar w:fldCharType="begin"/>
        </w:r>
        <w:r w:rsidR="00A0643B">
          <w:rPr>
            <w:noProof/>
            <w:webHidden/>
          </w:rPr>
          <w:instrText xml:space="preserve"> PAGEREF _Toc132204346 \h </w:instrText>
        </w:r>
        <w:r w:rsidR="00A0643B">
          <w:rPr>
            <w:noProof/>
            <w:webHidden/>
          </w:rPr>
        </w:r>
        <w:r w:rsidR="00A0643B">
          <w:rPr>
            <w:noProof/>
            <w:webHidden/>
          </w:rPr>
          <w:fldChar w:fldCharType="separate"/>
        </w:r>
        <w:r w:rsidR="00BB2613">
          <w:rPr>
            <w:noProof/>
            <w:webHidden/>
          </w:rPr>
          <w:t>17</w:t>
        </w:r>
        <w:r w:rsidR="00A0643B">
          <w:rPr>
            <w:noProof/>
            <w:webHidden/>
          </w:rPr>
          <w:fldChar w:fldCharType="end"/>
        </w:r>
      </w:hyperlink>
    </w:p>
    <w:p w14:paraId="4CD34697" w14:textId="71A1734E" w:rsidR="00A0643B" w:rsidRDefault="00000000">
      <w:pPr>
        <w:pStyle w:val="Verzeichnis2"/>
        <w:tabs>
          <w:tab w:val="left" w:pos="880"/>
          <w:tab w:val="right" w:leader="underscore" w:pos="9062"/>
        </w:tabs>
        <w:rPr>
          <w:rFonts w:eastAsiaTheme="minorEastAsia" w:cstheme="minorBidi"/>
          <w:b w:val="0"/>
          <w:bCs w:val="0"/>
          <w:noProof/>
          <w:lang w:eastAsia="de-DE"/>
        </w:rPr>
      </w:pPr>
      <w:hyperlink w:anchor="_Toc132204347" w:history="1">
        <w:r w:rsidR="00A0643B" w:rsidRPr="00644DE8">
          <w:rPr>
            <w:rStyle w:val="Hyperlink"/>
            <w:noProof/>
          </w:rPr>
          <w:t>7.4</w:t>
        </w:r>
        <w:r w:rsidR="00A0643B">
          <w:rPr>
            <w:rFonts w:eastAsiaTheme="minorEastAsia" w:cstheme="minorBidi"/>
            <w:b w:val="0"/>
            <w:bCs w:val="0"/>
            <w:noProof/>
            <w:lang w:eastAsia="de-DE"/>
          </w:rPr>
          <w:tab/>
        </w:r>
        <w:r w:rsidR="00A0643B" w:rsidRPr="00644DE8">
          <w:rPr>
            <w:rStyle w:val="Hyperlink"/>
            <w:noProof/>
          </w:rPr>
          <w:t>Gutachten zur Rechtslage in Drittstaaten</w:t>
        </w:r>
        <w:r w:rsidR="00A0643B">
          <w:rPr>
            <w:noProof/>
            <w:webHidden/>
          </w:rPr>
          <w:tab/>
        </w:r>
        <w:r w:rsidR="00A0643B">
          <w:rPr>
            <w:noProof/>
            <w:webHidden/>
          </w:rPr>
          <w:fldChar w:fldCharType="begin"/>
        </w:r>
        <w:r w:rsidR="00A0643B">
          <w:rPr>
            <w:noProof/>
            <w:webHidden/>
          </w:rPr>
          <w:instrText xml:space="preserve"> PAGEREF _Toc132204347 \h </w:instrText>
        </w:r>
        <w:r w:rsidR="00A0643B">
          <w:rPr>
            <w:noProof/>
            <w:webHidden/>
          </w:rPr>
        </w:r>
        <w:r w:rsidR="00A0643B">
          <w:rPr>
            <w:noProof/>
            <w:webHidden/>
          </w:rPr>
          <w:fldChar w:fldCharType="separate"/>
        </w:r>
        <w:r w:rsidR="00BB2613">
          <w:rPr>
            <w:noProof/>
            <w:webHidden/>
          </w:rPr>
          <w:t>17</w:t>
        </w:r>
        <w:r w:rsidR="00A0643B">
          <w:rPr>
            <w:noProof/>
            <w:webHidden/>
          </w:rPr>
          <w:fldChar w:fldCharType="end"/>
        </w:r>
      </w:hyperlink>
    </w:p>
    <w:p w14:paraId="6047F714" w14:textId="09EDAE42" w:rsidR="00A0643B" w:rsidRDefault="00000000">
      <w:pPr>
        <w:pStyle w:val="Verzeichnis1"/>
        <w:tabs>
          <w:tab w:val="right" w:leader="underscore" w:pos="9062"/>
        </w:tabs>
        <w:rPr>
          <w:rFonts w:eastAsiaTheme="minorEastAsia" w:cstheme="minorBidi"/>
          <w:b w:val="0"/>
          <w:bCs w:val="0"/>
          <w:iCs w:val="0"/>
          <w:noProof/>
          <w:sz w:val="22"/>
          <w:szCs w:val="22"/>
          <w:lang w:eastAsia="de-DE"/>
        </w:rPr>
      </w:pPr>
      <w:hyperlink w:anchor="_Toc132204348" w:history="1">
        <w:r w:rsidR="00A0643B" w:rsidRPr="00644DE8">
          <w:rPr>
            <w:rStyle w:val="Hyperlink"/>
            <w:noProof/>
          </w:rPr>
          <w:t>Anhang: Makros in Excel prüfen</w:t>
        </w:r>
        <w:r w:rsidR="00A0643B">
          <w:rPr>
            <w:noProof/>
            <w:webHidden/>
          </w:rPr>
          <w:tab/>
        </w:r>
        <w:r w:rsidR="00A0643B" w:rsidRPr="00BB2613">
          <w:rPr>
            <w:noProof/>
            <w:webHidden/>
          </w:rPr>
          <w:fldChar w:fldCharType="begin"/>
        </w:r>
        <w:r w:rsidR="00A0643B" w:rsidRPr="00BB2613">
          <w:rPr>
            <w:noProof/>
            <w:webHidden/>
          </w:rPr>
          <w:instrText xml:space="preserve"> PAGEREF _Toc132204348 \h </w:instrText>
        </w:r>
        <w:r w:rsidR="00A0643B" w:rsidRPr="00BB2613">
          <w:rPr>
            <w:noProof/>
            <w:webHidden/>
          </w:rPr>
        </w:r>
        <w:r w:rsidR="00A0643B" w:rsidRPr="00BB2613">
          <w:rPr>
            <w:noProof/>
            <w:webHidden/>
          </w:rPr>
          <w:fldChar w:fldCharType="separate"/>
        </w:r>
        <w:r w:rsidR="00BB2613">
          <w:rPr>
            <w:noProof/>
            <w:webHidden/>
          </w:rPr>
          <w:t>18</w:t>
        </w:r>
        <w:r w:rsidR="00A0643B" w:rsidRPr="00BB2613">
          <w:rPr>
            <w:noProof/>
            <w:webHidden/>
          </w:rPr>
          <w:fldChar w:fldCharType="end"/>
        </w:r>
      </w:hyperlink>
    </w:p>
    <w:p w14:paraId="681677C0" w14:textId="43DEAD81" w:rsidR="00CC4D9A" w:rsidRDefault="00CC4D9A" w:rsidP="004140DF">
      <w:r>
        <w:fldChar w:fldCharType="end"/>
      </w:r>
    </w:p>
    <w:p w14:paraId="76800B74" w14:textId="77777777" w:rsidR="004140DF" w:rsidRPr="004140DF" w:rsidRDefault="004140DF" w:rsidP="004140DF"/>
    <w:p w14:paraId="1CB7C947" w14:textId="77777777" w:rsidR="004140DF" w:rsidRDefault="004140DF">
      <w:pPr>
        <w:jc w:val="left"/>
        <w:sectPr w:rsidR="004140DF" w:rsidSect="004140DF">
          <w:footerReference w:type="first" r:id="rId14"/>
          <w:pgSz w:w="11906" w:h="16838"/>
          <w:pgMar w:top="1417" w:right="1417" w:bottom="1134" w:left="1417" w:header="708" w:footer="708" w:gutter="0"/>
          <w:pgNumType w:fmt="upperRoman" w:start="1"/>
          <w:cols w:space="708"/>
          <w:titlePg/>
          <w:docGrid w:linePitch="360"/>
        </w:sectPr>
      </w:pPr>
    </w:p>
    <w:p w14:paraId="3A992F4F" w14:textId="71EA99E3" w:rsidR="004140DF" w:rsidRDefault="004140DF" w:rsidP="004140DF">
      <w:pPr>
        <w:pStyle w:val="berschrift1"/>
      </w:pPr>
      <w:bookmarkStart w:id="88" w:name="_Toc132204332"/>
      <w:r w:rsidRPr="004140DF">
        <w:lastRenderedPageBreak/>
        <w:t>Einleitung</w:t>
      </w:r>
      <w:bookmarkEnd w:id="88"/>
    </w:p>
    <w:p w14:paraId="2D0DC5B1" w14:textId="5FA7B52C" w:rsidR="00054F11" w:rsidRDefault="00054F11" w:rsidP="00054F11">
      <w:r>
        <w:t>A</w:t>
      </w:r>
      <w:r w:rsidRPr="00054F11">
        <w:t xml:space="preserve">ls </w:t>
      </w:r>
      <w:r>
        <w:t xml:space="preserve">Drittland, oftmals auch </w:t>
      </w:r>
      <w:r w:rsidRPr="00054F11">
        <w:t>Drittstaat</w:t>
      </w:r>
      <w:r>
        <w:t xml:space="preserve"> genannt,</w:t>
      </w:r>
      <w:r w:rsidRPr="00054F11">
        <w:t xml:space="preserve"> werden</w:t>
      </w:r>
      <w:r>
        <w:t xml:space="preserve"> aus europäischer Sicht </w:t>
      </w:r>
      <w:r w:rsidRPr="00054F11">
        <w:t>alle Staaten bezeichnet,</w:t>
      </w:r>
      <w:r>
        <w:t xml:space="preserve"> welche nicht </w:t>
      </w:r>
      <w:r w:rsidRPr="00BB2613">
        <w:t>zu</w:t>
      </w:r>
      <w:r w:rsidR="00C61E75" w:rsidRPr="00BB2613">
        <w:t>m</w:t>
      </w:r>
      <w:r w:rsidRPr="00BB2613">
        <w:t xml:space="preserve"> Europäische</w:t>
      </w:r>
      <w:r w:rsidR="008142CE" w:rsidRPr="00BB2613">
        <w:t>n</w:t>
      </w:r>
      <w:r w:rsidRPr="00BB2613">
        <w:t xml:space="preserve"> Union</w:t>
      </w:r>
      <w:r w:rsidRPr="00054F11">
        <w:t xml:space="preserve"> </w:t>
      </w:r>
      <w:r>
        <w:t>(</w:t>
      </w:r>
      <w:r w:rsidRPr="00054F11">
        <w:t>EU</w:t>
      </w:r>
      <w:r>
        <w:t xml:space="preserve">) oder dem </w:t>
      </w:r>
      <w:r w:rsidRPr="00BB2613">
        <w:t>Europäische</w:t>
      </w:r>
      <w:r w:rsidR="008142CE" w:rsidRPr="00BB2613">
        <w:t>n</w:t>
      </w:r>
      <w:r w:rsidRPr="00054F11">
        <w:t xml:space="preserve"> Wirtschaftsraum</w:t>
      </w:r>
      <w:r w:rsidR="008142CE">
        <w:t xml:space="preserve"> </w:t>
      </w:r>
      <w:r>
        <w:t>(</w:t>
      </w:r>
      <w:r w:rsidRPr="00054F11">
        <w:t>EWR</w:t>
      </w:r>
      <w:r>
        <w:t>)</w:t>
      </w:r>
      <w:r w:rsidR="00C61E75">
        <w:t xml:space="preserve"> gehören</w:t>
      </w:r>
      <w:r>
        <w:t xml:space="preserve">. Wenn unter Geltung der Datenschutz-Grundverordnung (DS-GVO) personenbezogene Daten in einem oder mehreren Drittländern verarbeitet werden, muss gemäß </w:t>
      </w:r>
      <w:r w:rsidR="004140DF">
        <w:t>Art. </w:t>
      </w:r>
      <w:r>
        <w:t>44 S. 1 DS-GVO zwingend allen in Kap</w:t>
      </w:r>
      <w:r w:rsidR="00C61E75">
        <w:t>. </w:t>
      </w:r>
      <w:r>
        <w:t>V DS-GVO enthaltenen Bedingungen genügt werden, aber gleichermaßen auch alle anderen Vorgaben der DS-GVO eingehalten werden.</w:t>
      </w:r>
      <w:r w:rsidR="00101749">
        <w:t xml:space="preserve"> </w:t>
      </w:r>
      <w:r w:rsidR="00536FFA">
        <w:t>Es ist dabei</w:t>
      </w:r>
      <w:r w:rsidR="00101749">
        <w:t xml:space="preserve"> unerheblich, ob die personenbezogenen Daten von einem innerhalb der EU befindlichen bzw. agierenden Verantwortlichen oder Auftragsverarbeiter einem anderen Verantwortlichen, </w:t>
      </w:r>
      <w:r w:rsidR="00536FFA">
        <w:t xml:space="preserve">einem anderen </w:t>
      </w:r>
      <w:r w:rsidR="00101749">
        <w:t xml:space="preserve">Auftragsverarbeiter oder sonstigen Dritten (wie z. B. </w:t>
      </w:r>
      <w:r w:rsidR="007D09EC">
        <w:t xml:space="preserve">einer </w:t>
      </w:r>
      <w:r w:rsidR="00101749">
        <w:t>staatliche</w:t>
      </w:r>
      <w:r w:rsidR="007D09EC">
        <w:t>n</w:t>
      </w:r>
      <w:r w:rsidR="00101749">
        <w:t xml:space="preserve"> Behörde) in einem Drittland zur </w:t>
      </w:r>
      <w:r w:rsidR="00C61E75">
        <w:t xml:space="preserve">Kenntnisnahme oder </w:t>
      </w:r>
      <w:r w:rsidR="00101749">
        <w:t>Verarbeitung bereitgestellt werden</w:t>
      </w:r>
      <w:r w:rsidR="00536FFA">
        <w:t>.</w:t>
      </w:r>
      <w:r w:rsidR="00101749">
        <w:t xml:space="preserve"> </w:t>
      </w:r>
      <w:r w:rsidR="00536FFA">
        <w:t>D</w:t>
      </w:r>
      <w:r w:rsidR="00101749">
        <w:t xml:space="preserve">ie Vorgaben der DS-GVO müssen </w:t>
      </w:r>
      <w:r w:rsidR="00536FFA">
        <w:t>uneingeschränkt gewährleistet</w:t>
      </w:r>
      <w:r w:rsidR="00101749">
        <w:t xml:space="preserve"> werden.</w:t>
      </w:r>
    </w:p>
    <w:p w14:paraId="44954D6D" w14:textId="2A600DCF" w:rsidR="00054F11" w:rsidRDefault="00054F11" w:rsidP="00054F11">
      <w:pPr>
        <w:spacing w:after="0"/>
      </w:pPr>
      <w:r>
        <w:t xml:space="preserve">Liegt kein </w:t>
      </w:r>
      <w:r w:rsidR="00101749">
        <w:t xml:space="preserve">Art. 45 DS-GVO genügender </w:t>
      </w:r>
      <w:r>
        <w:t>Angemessenheitsbeschluss der EU</w:t>
      </w:r>
      <w:r w:rsidR="00D4239F">
        <w:t>-</w:t>
      </w:r>
      <w:r>
        <w:t xml:space="preserve">Kommission vor, dürfen entsprechend den Vorgaben von </w:t>
      </w:r>
      <w:r w:rsidR="004140DF">
        <w:t>Art. </w:t>
      </w:r>
      <w:r>
        <w:t xml:space="preserve">46 </w:t>
      </w:r>
      <w:r w:rsidR="004140DF">
        <w:t>Abs. </w:t>
      </w:r>
      <w:r>
        <w:t xml:space="preserve">1 DS-GVO Verantwortliche oder Auftragsverarbeiter nur Daten in einem Drittland oder von einer internationalen Organisation verarbeiten lassen, </w:t>
      </w:r>
      <w:r w:rsidRPr="00BB2613">
        <w:t>wenn</w:t>
      </w:r>
    </w:p>
    <w:p w14:paraId="07B34E7A" w14:textId="085A3DBC" w:rsidR="00054F11" w:rsidRDefault="00054F11" w:rsidP="00054F11">
      <w:pPr>
        <w:pStyle w:val="Listenabsatz"/>
        <w:numPr>
          <w:ilvl w:val="0"/>
          <w:numId w:val="1"/>
        </w:numPr>
      </w:pPr>
      <w:r w:rsidRPr="00BB2613">
        <w:t>geeignete</w:t>
      </w:r>
      <w:r w:rsidRPr="00054F11">
        <w:t xml:space="preserve"> Garantien vorgesehen</w:t>
      </w:r>
      <w:r>
        <w:t xml:space="preserve"> sind, welche sicherstellen, dass das von der DS-GVO g</w:t>
      </w:r>
      <w:r w:rsidRPr="00054F11">
        <w:t>ewährleistete Schutzniveau für natürliche Personen nicht untergraben wird</w:t>
      </w:r>
      <w:r>
        <w:t xml:space="preserve">, </w:t>
      </w:r>
      <w:r w:rsidRPr="00BB2613">
        <w:t>sowie</w:t>
      </w:r>
    </w:p>
    <w:p w14:paraId="08FEFC7D" w14:textId="00CD0893" w:rsidR="00054F11" w:rsidRDefault="00054F11" w:rsidP="00054F11">
      <w:pPr>
        <w:pStyle w:val="Listenabsatz"/>
        <w:numPr>
          <w:ilvl w:val="0"/>
          <w:numId w:val="1"/>
        </w:numPr>
      </w:pPr>
      <w:r w:rsidRPr="00BB2613">
        <w:t>durchsetzbare</w:t>
      </w:r>
      <w:r w:rsidRPr="00054F11">
        <w:t xml:space="preserve"> Rechte und wirksame Rechtsbehelfe </w:t>
      </w:r>
      <w:r w:rsidRPr="008142CE">
        <w:t>für betroffene Personen</w:t>
      </w:r>
      <w:r w:rsidRPr="00054F11">
        <w:t xml:space="preserve"> zur Verfügung stehe</w:t>
      </w:r>
      <w:r>
        <w:t>n.</w:t>
      </w:r>
    </w:p>
    <w:p w14:paraId="6A1B38E5" w14:textId="72EEA575" w:rsidR="00054F11" w:rsidRDefault="00054F11" w:rsidP="00054F11">
      <w:r>
        <w:t>Die Beurteilung, ob diese Vorgaben erfüllt sind oder nicht, wird häufig als „</w:t>
      </w:r>
      <w:r w:rsidRPr="00054F11">
        <w:t>Data Transfer Impact Assessment</w:t>
      </w:r>
      <w:r>
        <w:t xml:space="preserve">“ </w:t>
      </w:r>
      <w:r w:rsidR="00481EB2">
        <w:t>(</w:t>
      </w:r>
      <w:r w:rsidR="00481EB2" w:rsidRPr="00A976A9">
        <w:t>DTIA</w:t>
      </w:r>
      <w:r w:rsidR="00481EB2">
        <w:t xml:space="preserve">) </w:t>
      </w:r>
      <w:r>
        <w:t>oder kürzer als „T</w:t>
      </w:r>
      <w:r w:rsidRPr="00054F11">
        <w:t>ransfer Impact Assessment</w:t>
      </w:r>
      <w:r>
        <w:t xml:space="preserve">“ </w:t>
      </w:r>
      <w:r w:rsidR="00481EB2">
        <w:t>(</w:t>
      </w:r>
      <w:r>
        <w:t>TIA</w:t>
      </w:r>
      <w:r w:rsidR="00481EB2">
        <w:t>)</w:t>
      </w:r>
      <w:r w:rsidRPr="00054F11">
        <w:t xml:space="preserve"> </w:t>
      </w:r>
      <w:r>
        <w:t>bezeichnet. Im Folgenden wird dargestellt, worauf bei einer TIA zu achten ist und wie bei einer TIA vorgegangen werden kann.</w:t>
      </w:r>
      <w:r w:rsidR="00C61E75">
        <w:t xml:space="preserve"> Hierzu werden einerseits die von der EU-Kommission bereitgestellten Instrumente aus Kap. V DS-GVO betrachtet, die ihrerseits Einfluss auf die Anforderungen an eine TIA aufweisen, andererseits das Urteil des EuGH in der Sache </w:t>
      </w:r>
      <w:r w:rsidR="00C61E75" w:rsidRPr="00BB2613">
        <w:t>Schrems</w:t>
      </w:r>
      <w:r w:rsidR="00C61E75">
        <w:t xml:space="preserve"> II, aus welchem ebenfalls zu beachtende Anforderungen, die in einer TIA geprüft werden müssen, erwachsen.</w:t>
      </w:r>
    </w:p>
    <w:p w14:paraId="7F5878CD" w14:textId="77777777" w:rsidR="00A0643B" w:rsidRDefault="00A0643B">
      <w:pPr>
        <w:jc w:val="left"/>
        <w:rPr>
          <w:rFonts w:ascii="Cambria" w:eastAsiaTheme="majorEastAsia" w:hAnsi="Cambria" w:cstheme="majorBidi"/>
          <w:color w:val="0070C0"/>
          <w:sz w:val="28"/>
          <w:szCs w:val="32"/>
        </w:rPr>
      </w:pPr>
      <w:bookmarkStart w:id="89" w:name="_Toc132204333"/>
      <w:r>
        <w:br w:type="page"/>
      </w:r>
    </w:p>
    <w:p w14:paraId="60DD66EB" w14:textId="6AE8C849" w:rsidR="00007607" w:rsidRDefault="007B2D49" w:rsidP="004140DF">
      <w:pPr>
        <w:pStyle w:val="berschrift1"/>
      </w:pPr>
      <w:r>
        <w:lastRenderedPageBreak/>
        <w:t xml:space="preserve">Von der </w:t>
      </w:r>
      <w:r w:rsidR="00007607">
        <w:t>EU-Kommission</w:t>
      </w:r>
      <w:r>
        <w:t xml:space="preserve"> bereitgestellte Instrumente für Drittland-Verarbeitung</w:t>
      </w:r>
      <w:r w:rsidR="00007607">
        <w:t>: Angemessenheitsbeschluss und Standarddatenschutzklauseln</w:t>
      </w:r>
      <w:bookmarkEnd w:id="89"/>
    </w:p>
    <w:p w14:paraId="36DFAE61" w14:textId="7E43972C" w:rsidR="00921306" w:rsidRDefault="00921306" w:rsidP="004140DF">
      <w:pPr>
        <w:pStyle w:val="berschrift2"/>
      </w:pPr>
      <w:bookmarkStart w:id="90" w:name="_Toc132204334"/>
      <w:r>
        <w:t xml:space="preserve">Angemessenheitsbeschluss nach </w:t>
      </w:r>
      <w:r w:rsidR="004140DF">
        <w:t>Art. </w:t>
      </w:r>
      <w:r>
        <w:t>45 DS-GVO</w:t>
      </w:r>
      <w:bookmarkEnd w:id="90"/>
    </w:p>
    <w:p w14:paraId="3CE411B5" w14:textId="0E21E522" w:rsidR="00007607" w:rsidRDefault="00007607" w:rsidP="00007607">
      <w:pPr>
        <w:spacing w:after="0"/>
      </w:pPr>
      <w:r>
        <w:t xml:space="preserve">Entsprechend </w:t>
      </w:r>
      <w:r w:rsidR="004140DF">
        <w:t>Art. </w:t>
      </w:r>
      <w:r>
        <w:t xml:space="preserve">45 DS-GVO kann die </w:t>
      </w:r>
      <w:r w:rsidRPr="00BB2613">
        <w:t>EU-Kommission</w:t>
      </w:r>
    </w:p>
    <w:p w14:paraId="21786ECB" w14:textId="77777777" w:rsidR="00007607" w:rsidRDefault="00007607" w:rsidP="00007607">
      <w:pPr>
        <w:pStyle w:val="Listenabsatz"/>
        <w:numPr>
          <w:ilvl w:val="0"/>
          <w:numId w:val="11"/>
        </w:numPr>
      </w:pPr>
      <w:r w:rsidRPr="00BB2613">
        <w:t>einem</w:t>
      </w:r>
      <w:r>
        <w:t xml:space="preserve"> </w:t>
      </w:r>
      <w:r w:rsidRPr="00007607">
        <w:t>Drittland,</w:t>
      </w:r>
    </w:p>
    <w:p w14:paraId="0EF9BF66" w14:textId="7541322C" w:rsidR="00007607" w:rsidRDefault="00007607" w:rsidP="00007607">
      <w:pPr>
        <w:pStyle w:val="Listenabsatz"/>
        <w:numPr>
          <w:ilvl w:val="0"/>
          <w:numId w:val="11"/>
        </w:numPr>
      </w:pPr>
      <w:r w:rsidRPr="00BB2613">
        <w:t>einem</w:t>
      </w:r>
      <w:r w:rsidRPr="00007607">
        <w:t xml:space="preserve"> Gebiet </w:t>
      </w:r>
      <w:r>
        <w:t>in einem Drittland</w:t>
      </w:r>
      <w:r w:rsidR="00F34948">
        <w:t>,</w:t>
      </w:r>
    </w:p>
    <w:p w14:paraId="1623E973" w14:textId="561C6861" w:rsidR="00007607" w:rsidRDefault="00F34948" w:rsidP="00007607">
      <w:pPr>
        <w:pStyle w:val="Listenabsatz"/>
        <w:numPr>
          <w:ilvl w:val="0"/>
          <w:numId w:val="11"/>
        </w:numPr>
      </w:pPr>
      <w:r w:rsidRPr="00BB2613">
        <w:t>f</w:t>
      </w:r>
      <w:r w:rsidR="00007607" w:rsidRPr="00BB2613">
        <w:t>ür</w:t>
      </w:r>
      <w:r w:rsidR="00007607">
        <w:t xml:space="preserve"> </w:t>
      </w:r>
      <w:r w:rsidR="00007607" w:rsidRPr="00007607">
        <w:t xml:space="preserve">ein oder mehrere spezifische Sektoren </w:t>
      </w:r>
      <w:r w:rsidR="00007607">
        <w:t xml:space="preserve">einem </w:t>
      </w:r>
      <w:r w:rsidR="00007607" w:rsidRPr="00007607">
        <w:t xml:space="preserve">Drittland oder </w:t>
      </w:r>
    </w:p>
    <w:p w14:paraId="129C0647" w14:textId="77777777" w:rsidR="00007607" w:rsidRDefault="00007607" w:rsidP="00007607">
      <w:pPr>
        <w:pStyle w:val="Listenabsatz"/>
        <w:numPr>
          <w:ilvl w:val="0"/>
          <w:numId w:val="11"/>
        </w:numPr>
        <w:spacing w:after="0"/>
        <w:ind w:left="714" w:hanging="357"/>
      </w:pPr>
      <w:r w:rsidRPr="00BB2613">
        <w:t>für</w:t>
      </w:r>
      <w:r>
        <w:t xml:space="preserve"> </w:t>
      </w:r>
      <w:r w:rsidRPr="00007607">
        <w:t>internationale Organisation</w:t>
      </w:r>
    </w:p>
    <w:p w14:paraId="199457DC" w14:textId="16A63E24" w:rsidR="00007607" w:rsidRDefault="00007607" w:rsidP="00007607">
      <w:r w:rsidRPr="00BB2613">
        <w:t>ein</w:t>
      </w:r>
      <w:r w:rsidRPr="00007607">
        <w:t xml:space="preserve"> angemessenes Schutzniveau</w:t>
      </w:r>
      <w:r>
        <w:t xml:space="preserve"> attestieren. Dies erfolgt über einen Angemessenheitsbeschluss, wobei die EU-Kommission eine Prüfung entsprechend den Vorgaben von </w:t>
      </w:r>
      <w:r w:rsidR="004140DF">
        <w:t>Art. </w:t>
      </w:r>
      <w:r>
        <w:t xml:space="preserve">45 </w:t>
      </w:r>
      <w:r w:rsidR="004140DF">
        <w:t>Abs. </w:t>
      </w:r>
      <w:r>
        <w:t xml:space="preserve">2 DS-GVO durchführen muss. </w:t>
      </w:r>
      <w:r w:rsidRPr="00F34948">
        <w:t>D.</w:t>
      </w:r>
      <w:r w:rsidR="00F34948" w:rsidRPr="00F34948">
        <w:t> </w:t>
      </w:r>
      <w:r w:rsidRPr="00F34948">
        <w:t>h.</w:t>
      </w:r>
      <w:r>
        <w:t xml:space="preserve"> speziell bei einem Angemessenheitsbeschluss ist für Verantwortliche oder Auftragsverarbeiter keine Prüfung</w:t>
      </w:r>
      <w:r w:rsidR="007D09EC">
        <w:t>,</w:t>
      </w:r>
      <w:r>
        <w:t xml:space="preserve"> </w:t>
      </w:r>
      <w:r w:rsidR="007D09EC">
        <w:t xml:space="preserve">abgesehen von der regelhaften Prüfung im Rahmen der Anforderungen von Art. 28 DS-GVO, </w:t>
      </w:r>
      <w:r>
        <w:t>mehr erforderlich (aber immer noch möglich), da die Prüfung bereits durch die EU-Kommission erfolgte.</w:t>
      </w:r>
    </w:p>
    <w:p w14:paraId="20140204" w14:textId="25A385F6" w:rsidR="005163FF" w:rsidRDefault="00007607" w:rsidP="00497D2D">
      <w:r>
        <w:t xml:space="preserve">Der </w:t>
      </w:r>
      <w:r w:rsidRPr="00007607">
        <w:t>Durchführungsrechtsakt</w:t>
      </w:r>
      <w:r>
        <w:t xml:space="preserve"> eines </w:t>
      </w:r>
      <w:r w:rsidRPr="00007607">
        <w:t>Angemessenheitsbeschlusses</w:t>
      </w:r>
      <w:r>
        <w:t xml:space="preserve"> darf dabei nur entsprechend den Vorgaben </w:t>
      </w:r>
      <w:r w:rsidR="004140DF">
        <w:t>Art. </w:t>
      </w:r>
      <w:r>
        <w:t xml:space="preserve">93 </w:t>
      </w:r>
      <w:r w:rsidR="004140DF">
        <w:t>Abs. </w:t>
      </w:r>
      <w:r>
        <w:t xml:space="preserve">2 DS-GVO erfolgen, worin auf </w:t>
      </w:r>
      <w:r w:rsidR="004140DF">
        <w:t>Art. </w:t>
      </w:r>
      <w:r w:rsidRPr="00007607">
        <w:t>5 der Verordnung (EU) 182/2011</w:t>
      </w:r>
      <w:r>
        <w:rPr>
          <w:rStyle w:val="Funotenzeichen"/>
        </w:rPr>
        <w:footnoteReference w:id="1"/>
      </w:r>
      <w:r>
        <w:t xml:space="preserve"> verwiesen wird. </w:t>
      </w:r>
      <w:r w:rsidR="00497D2D">
        <w:t xml:space="preserve">Das in </w:t>
      </w:r>
      <w:r w:rsidR="004140DF">
        <w:t>Art. </w:t>
      </w:r>
      <w:r w:rsidR="00497D2D" w:rsidRPr="00007607">
        <w:t>5 der Verordnung (EU) 182/2011</w:t>
      </w:r>
      <w:r w:rsidR="00497D2D">
        <w:t xml:space="preserve"> beschriebene Prüfverfahren beruht auf </w:t>
      </w:r>
      <w:r w:rsidR="004140DF">
        <w:t>Art. </w:t>
      </w:r>
      <w:r w:rsidR="00497D2D" w:rsidRPr="00A976A9">
        <w:t xml:space="preserve">291 </w:t>
      </w:r>
      <w:r w:rsidR="004140DF">
        <w:t>Abs. </w:t>
      </w:r>
      <w:r w:rsidR="00497D2D">
        <w:t xml:space="preserve">2 </w:t>
      </w:r>
      <w:r w:rsidR="00497D2D" w:rsidRPr="00497D2D">
        <w:t>des Vertrags über die Arbeitsweise der Europäischen Union</w:t>
      </w:r>
      <w:r w:rsidR="00536FFA">
        <w:t xml:space="preserve"> (AEUV)</w:t>
      </w:r>
      <w:r w:rsidR="00497D2D">
        <w:rPr>
          <w:rStyle w:val="Funotenzeichen"/>
        </w:rPr>
        <w:footnoteReference w:id="2"/>
      </w:r>
      <w:r w:rsidR="00497D2D">
        <w:t>, d. h. EU-</w:t>
      </w:r>
      <w:r w:rsidR="00497D2D" w:rsidRPr="00497D2D">
        <w:t xml:space="preserve">Mitgliedstaaten </w:t>
      </w:r>
      <w:r w:rsidR="00497D2D">
        <w:t xml:space="preserve">bekommen dadurch die Möglichkeit, </w:t>
      </w:r>
      <w:r w:rsidR="00497D2D" w:rsidRPr="00497D2D">
        <w:t xml:space="preserve">Durchführungsbefugnisse durch die Kommission </w:t>
      </w:r>
      <w:r w:rsidR="00497D2D">
        <w:t xml:space="preserve">zu </w:t>
      </w:r>
      <w:r w:rsidR="00497D2D" w:rsidRPr="00497D2D">
        <w:t>kontrollieren</w:t>
      </w:r>
      <w:r w:rsidR="00497D2D">
        <w:t xml:space="preserve">. Hierdurch </w:t>
      </w:r>
      <w:r w:rsidR="005163FF">
        <w:t>besitzen die EU-Mitgliedsstaaten</w:t>
      </w:r>
      <w:r w:rsidR="00497D2D">
        <w:t xml:space="preserve"> auch</w:t>
      </w:r>
      <w:r w:rsidR="005163FF">
        <w:t xml:space="preserve"> bzgl. </w:t>
      </w:r>
      <w:r w:rsidR="005163FF" w:rsidRPr="00F34948">
        <w:t>eines Angemessenheitsbeschluss</w:t>
      </w:r>
      <w:r w:rsidR="00F34948" w:rsidRPr="00F34948">
        <w:t>es</w:t>
      </w:r>
      <w:r w:rsidR="005163FF">
        <w:t xml:space="preserve"> der EU-Kommission eine Kontrollmöglichkeit</w:t>
      </w:r>
      <w:r w:rsidR="00497D2D">
        <w:t xml:space="preserve">, denn nach </w:t>
      </w:r>
      <w:r w:rsidR="004140DF">
        <w:t>Art. </w:t>
      </w:r>
      <w:r w:rsidR="00497D2D">
        <w:t xml:space="preserve">5 </w:t>
      </w:r>
      <w:r w:rsidR="004140DF">
        <w:t>Abs. </w:t>
      </w:r>
      <w:r w:rsidR="00497D2D">
        <w:t xml:space="preserve">4 </w:t>
      </w:r>
      <w:r w:rsidR="004140DF">
        <w:t>lit. </w:t>
      </w:r>
      <w:r w:rsidR="00497D2D">
        <w:t xml:space="preserve">c </w:t>
      </w:r>
      <w:r w:rsidR="00497D2D" w:rsidRPr="00007607">
        <w:t>Verordnung (EU) 182/2011</w:t>
      </w:r>
      <w:r w:rsidR="00497D2D">
        <w:t xml:space="preserve"> können die Mitglieder des Ausschusses, also Vertreter der Mitgliedstaaten, einen Angemessenheitsbeschluss mit einfacher Mehrheit </w:t>
      </w:r>
      <w:r w:rsidR="00AD28C2">
        <w:t xml:space="preserve">auch </w:t>
      </w:r>
      <w:r w:rsidR="00497D2D">
        <w:t>ablehnen</w:t>
      </w:r>
      <w:r w:rsidR="005163FF">
        <w:t>.</w:t>
      </w:r>
    </w:p>
    <w:p w14:paraId="36805754" w14:textId="2A924D62" w:rsidR="00497D2D" w:rsidRDefault="00497D2D" w:rsidP="00497D2D">
      <w:r>
        <w:t xml:space="preserve">Das EU-Parlament selbst hat hingegen keine Möglichkeit, einen Angemessenheitsbeschluss abzulehnen. Nach </w:t>
      </w:r>
      <w:r w:rsidR="004140DF">
        <w:t>Art. </w:t>
      </w:r>
      <w:r>
        <w:t xml:space="preserve">11 </w:t>
      </w:r>
      <w:r w:rsidRPr="00007607">
        <w:t>Verordnung (EU) 182/2011</w:t>
      </w:r>
      <w:r>
        <w:t xml:space="preserve"> kann das EU-Parlament die EU-Kommission lediglich darauf hinweisen, </w:t>
      </w:r>
      <w:r w:rsidRPr="00497D2D">
        <w:t xml:space="preserve">dass der Entwurf eines </w:t>
      </w:r>
      <w:r>
        <w:t>Angemessenheitsbeschlusses</w:t>
      </w:r>
      <w:r w:rsidRPr="00497D2D">
        <w:t xml:space="preserve"> </w:t>
      </w:r>
      <w:r>
        <w:t>nach Ansicht des EU-Parlaments</w:t>
      </w:r>
      <w:r w:rsidRPr="00497D2D">
        <w:t xml:space="preserve"> die </w:t>
      </w:r>
      <w:r>
        <w:t xml:space="preserve">in der DS-GVO enthaltenen </w:t>
      </w:r>
      <w:r w:rsidRPr="00497D2D">
        <w:t>Durchführungsbefugnisse</w:t>
      </w:r>
      <w:r w:rsidR="007D09EC">
        <w:t xml:space="preserve"> der </w:t>
      </w:r>
      <w:r w:rsidR="007D09EC" w:rsidRPr="00BB2613">
        <w:t xml:space="preserve">EU-Kommission </w:t>
      </w:r>
      <w:r w:rsidRPr="00497D2D">
        <w:t>überschreitet.</w:t>
      </w:r>
    </w:p>
    <w:p w14:paraId="60055BF7" w14:textId="40DDD87A" w:rsidR="00007607" w:rsidRDefault="00007607" w:rsidP="00007607">
      <w:r>
        <w:t>Allerdings urteilte der EuGH</w:t>
      </w:r>
      <w:r>
        <w:rPr>
          <w:rStyle w:val="Funotenzeichen"/>
        </w:rPr>
        <w:footnoteReference w:id="3"/>
      </w:r>
      <w:r>
        <w:t xml:space="preserve"> schon 2015, dass eine nationale Datenschutzaufsichtsbehörde eigene Ermittlungen bzgl. des Schutzniveaus anstellen muss, falls bei der Aufsichtsbehörde eine Beschwerde eingeht. Kommt die Aufsichtsbehörde bei der Prüfung zu dem Ergebnis, dass in dem Drittland kein angemessenes Datenschutzniveau vorhanden ist, muss die </w:t>
      </w:r>
      <w:r w:rsidRPr="00007607">
        <w:t>Aufsichtsbehörde</w:t>
      </w:r>
      <w:r>
        <w:t xml:space="preserve"> entsprechend </w:t>
      </w:r>
      <w:r w:rsidR="004140DF">
        <w:t>§ </w:t>
      </w:r>
      <w:r>
        <w:t xml:space="preserve">21 </w:t>
      </w:r>
      <w:r w:rsidR="00AD28C2">
        <w:t>Abs.</w:t>
      </w:r>
      <w:r w:rsidR="00A7469C">
        <w:t> </w:t>
      </w:r>
      <w:r w:rsidR="00AD28C2">
        <w:t xml:space="preserve">1 </w:t>
      </w:r>
      <w:r>
        <w:t xml:space="preserve">BDSG ein Verfahren vor dem </w:t>
      </w:r>
      <w:r w:rsidRPr="00007607">
        <w:t>Bundesverwaltungsgericht</w:t>
      </w:r>
      <w:r>
        <w:t xml:space="preserve"> beginnen.</w:t>
      </w:r>
    </w:p>
    <w:p w14:paraId="391169C2" w14:textId="1B05E4C6" w:rsidR="00497D2D" w:rsidRPr="00007607" w:rsidRDefault="00497D2D" w:rsidP="00007607">
      <w:r>
        <w:lastRenderedPageBreak/>
        <w:t>Die EU-Kommission veröffentlicht die Liste der Drittländer, für die ein Angemessenheitsbeschluss vorliegt, auf ihrer Internetpräsenz.</w:t>
      </w:r>
      <w:r>
        <w:rPr>
          <w:rStyle w:val="Funotenzeichen"/>
        </w:rPr>
        <w:footnoteReference w:id="4"/>
      </w:r>
    </w:p>
    <w:p w14:paraId="2500D586" w14:textId="49F3261A" w:rsidR="00921306" w:rsidRDefault="00921306" w:rsidP="004140DF">
      <w:pPr>
        <w:pStyle w:val="berschrift2"/>
      </w:pPr>
      <w:bookmarkStart w:id="91" w:name="_Toc132204335"/>
      <w:r>
        <w:t xml:space="preserve">Standarddatenschutzklauseln entsprechend </w:t>
      </w:r>
      <w:r w:rsidR="004140DF">
        <w:t>Art. </w:t>
      </w:r>
      <w:r>
        <w:t>46 DS-GVO</w:t>
      </w:r>
      <w:bookmarkEnd w:id="91"/>
    </w:p>
    <w:p w14:paraId="4C4EF53F" w14:textId="42216232" w:rsidR="00921306" w:rsidRDefault="00921306" w:rsidP="00921306">
      <w:r>
        <w:t xml:space="preserve">Entsprechend </w:t>
      </w:r>
      <w:r w:rsidR="004140DF">
        <w:t>Art. </w:t>
      </w:r>
      <w:r>
        <w:t xml:space="preserve">46 </w:t>
      </w:r>
      <w:r w:rsidR="004140DF">
        <w:t>Abs. </w:t>
      </w:r>
      <w:r>
        <w:t xml:space="preserve">2 </w:t>
      </w:r>
      <w:r w:rsidR="004140DF">
        <w:t>lit. </w:t>
      </w:r>
      <w:r>
        <w:t xml:space="preserve">c DS-GVO kann die EU-Kommission </w:t>
      </w:r>
      <w:r w:rsidRPr="00921306">
        <w:t>Standarddatenschutzklauseln</w:t>
      </w:r>
      <w:r>
        <w:t xml:space="preserve"> erlassen, wobei auch hier ein </w:t>
      </w:r>
      <w:r w:rsidRPr="00921306">
        <w:t xml:space="preserve">Prüfverfahren nach </w:t>
      </w:r>
      <w:r w:rsidR="004140DF">
        <w:t>Art. </w:t>
      </w:r>
      <w:r w:rsidRPr="00921306">
        <w:t xml:space="preserve">93 </w:t>
      </w:r>
      <w:r w:rsidR="004140DF">
        <w:t>Abs. </w:t>
      </w:r>
      <w:r w:rsidRPr="00921306">
        <w:t xml:space="preserve">2 </w:t>
      </w:r>
      <w:r w:rsidRPr="00007607">
        <w:t>Verordnung (EU) 182/2011</w:t>
      </w:r>
      <w:r>
        <w:t xml:space="preserve"> durchgeführt werden muss. </w:t>
      </w:r>
      <w:r w:rsidRPr="00F34948">
        <w:t>D.</w:t>
      </w:r>
      <w:r w:rsidR="00F34948" w:rsidRPr="00F34948">
        <w:t> </w:t>
      </w:r>
      <w:r w:rsidRPr="00F34948">
        <w:t>h.</w:t>
      </w:r>
      <w:r>
        <w:t xml:space="preserve"> auch bei den von der EU-Kommission erlassenen Standarddatenschutzklauseln besteht eine Kontrollmöglichkeit durch die EU-Mitgliedstaaten.</w:t>
      </w:r>
    </w:p>
    <w:p w14:paraId="540DB457" w14:textId="39732F6A" w:rsidR="00921306" w:rsidRDefault="00921306" w:rsidP="00921306">
      <w:r>
        <w:t>Die EU-Kommission erließ 2021 Standarddatenschutzklauseln</w:t>
      </w:r>
      <w:r>
        <w:rPr>
          <w:rStyle w:val="Funotenzeichen"/>
        </w:rPr>
        <w:footnoteReference w:id="5"/>
      </w:r>
      <w:r>
        <w:t>, nannte diese jedoch entgegen den Vorgaben der DS-GVO „</w:t>
      </w:r>
      <w:r w:rsidRPr="00921306">
        <w:t>Standardvertragsklauseln</w:t>
      </w:r>
      <w:r>
        <w:t>“ (engl. „</w:t>
      </w:r>
      <w:r w:rsidRPr="00BB2613">
        <w:rPr>
          <w:lang w:val="en-US"/>
        </w:rPr>
        <w:t>standard contractual clauses</w:t>
      </w:r>
      <w:r>
        <w:t xml:space="preserve">“, daher häufig durch „SCC“ abgekürzt). </w:t>
      </w:r>
      <w:r w:rsidRPr="00921306">
        <w:t>Basiert eine Verarbeitung personenbezogener Daten auf den von der EU-Kommission veröffentlichten Standarddatenschutzklauseln, so fordert auch Klausel 14</w:t>
      </w:r>
      <w:r w:rsidR="004265F9">
        <w:rPr>
          <w:rStyle w:val="Funotenzeichen"/>
        </w:rPr>
        <w:footnoteReference w:id="6"/>
      </w:r>
      <w:r w:rsidRPr="00921306">
        <w:t xml:space="preserve"> </w:t>
      </w:r>
      <w:r>
        <w:t xml:space="preserve">dieser </w:t>
      </w:r>
      <w:r w:rsidRPr="00921306">
        <w:t>Standarddatenschutzklauseln</w:t>
      </w:r>
      <w:r w:rsidR="00730195">
        <w:t>, die für alle Module zwingend anzuwenden ist,</w:t>
      </w:r>
      <w:r w:rsidRPr="00921306">
        <w:t xml:space="preserve"> eine </w:t>
      </w:r>
      <w:r>
        <w:t xml:space="preserve">Prüfung der </w:t>
      </w:r>
      <w:r w:rsidRPr="00921306">
        <w:t>Rechtsvorschriften und Gepflogenheiten</w:t>
      </w:r>
      <w:r>
        <w:t xml:space="preserve"> im Drittland</w:t>
      </w:r>
      <w:r w:rsidRPr="00921306">
        <w:t>, die sich auf die Einhaltung der Klauseln auswirken</w:t>
      </w:r>
      <w:r>
        <w:t xml:space="preserve"> könnten</w:t>
      </w:r>
      <w:r w:rsidR="00AD28C2">
        <w:t xml:space="preserve"> - folglich</w:t>
      </w:r>
      <w:r>
        <w:t xml:space="preserve"> die Durchführung einer TIA</w:t>
      </w:r>
      <w:r w:rsidRPr="00921306">
        <w:t>.</w:t>
      </w:r>
    </w:p>
    <w:p w14:paraId="2D6773D3" w14:textId="12EEC7B5" w:rsidR="00730195" w:rsidRDefault="00730195" w:rsidP="00730195">
      <w:pPr>
        <w:spacing w:after="0"/>
      </w:pPr>
      <w:r>
        <w:t xml:space="preserve">In Klausel 14 finden sich </w:t>
      </w:r>
      <w:r w:rsidR="00AD28C2">
        <w:t xml:space="preserve">mehrere </w:t>
      </w:r>
      <w:r>
        <w:t>Anforderungen:</w:t>
      </w:r>
    </w:p>
    <w:p w14:paraId="3A460DC0" w14:textId="5B0FB736" w:rsidR="00730195" w:rsidRDefault="00730195" w:rsidP="00730195">
      <w:pPr>
        <w:pStyle w:val="Listenabsatz"/>
        <w:numPr>
          <w:ilvl w:val="0"/>
          <w:numId w:val="11"/>
        </w:numPr>
      </w:pPr>
      <w:r>
        <w:t xml:space="preserve">Sowohl </w:t>
      </w:r>
      <w:r w:rsidR="00341A72" w:rsidRPr="00A976A9">
        <w:t>D</w:t>
      </w:r>
      <w:r w:rsidRPr="00A976A9">
        <w:t>atenexporteur</w:t>
      </w:r>
      <w:r>
        <w:t xml:space="preserve"> als auch Datenimporteur verpflichten sich per Vertrag, dass keine Partei einen </w:t>
      </w:r>
      <w:r w:rsidR="00341A72" w:rsidRPr="00A976A9">
        <w:t>G</w:t>
      </w:r>
      <w:r w:rsidRPr="00A976A9">
        <w:t>rund</w:t>
      </w:r>
      <w:r>
        <w:t xml:space="preserve"> zur Annahme hat, dass im Drittland </w:t>
      </w:r>
      <w:r w:rsidRPr="00730195">
        <w:t>geltenden Rechtsvorschriften und Gepflogenheiten</w:t>
      </w:r>
      <w:r>
        <w:t>, „e</w:t>
      </w:r>
      <w:r w:rsidRPr="00730195">
        <w:t>inschließlich Anforderungen zur Offenlegung personenbezogener Daten oder Maßnahmen, die öffentlichen Behörden den Zugang zu diesen Daten gestatten</w:t>
      </w:r>
      <w:r>
        <w:t>“, im Widerspruch mit den Regelungen des Vertrages stehen (Klausel 14 lit. a)</w:t>
      </w:r>
      <w:r w:rsidR="00AD28C2">
        <w:t>.</w:t>
      </w:r>
    </w:p>
    <w:p w14:paraId="5407DBA7" w14:textId="69525085" w:rsidR="00B0362F" w:rsidRDefault="00B0362F" w:rsidP="00B0362F">
      <w:pPr>
        <w:pStyle w:val="Listenabsatz"/>
        <w:numPr>
          <w:ilvl w:val="1"/>
          <w:numId w:val="11"/>
        </w:numPr>
      </w:pPr>
      <w:r>
        <w:t>Die Formulierung „</w:t>
      </w:r>
      <w:r w:rsidRPr="00B0362F">
        <w:t>keine Partei einen Grund zur Annahme hat</w:t>
      </w:r>
      <w:r>
        <w:t xml:space="preserve">“ beinhaltet </w:t>
      </w:r>
      <w:r w:rsidR="004C26B8">
        <w:t xml:space="preserve">die </w:t>
      </w:r>
      <w:r>
        <w:t>Pflicht</w:t>
      </w:r>
      <w:r w:rsidR="004C26B8">
        <w:t>,</w:t>
      </w:r>
      <w:r>
        <w:t xml:space="preserve"> sowohl für den Datenexporteur als auch den Datenimporteur, sorgfältig zu prüfen, ob nach objektiven Maßstäben keine Tatsachen existieren, die eine andere Annahme nahelegt.</w:t>
      </w:r>
    </w:p>
    <w:p w14:paraId="2A4CB5D2" w14:textId="15E7EE56" w:rsidR="00B0362F" w:rsidRDefault="00B0362F" w:rsidP="00B0362F">
      <w:pPr>
        <w:pStyle w:val="Listenabsatz"/>
        <w:numPr>
          <w:ilvl w:val="1"/>
          <w:numId w:val="11"/>
        </w:numPr>
      </w:pPr>
      <w:r>
        <w:t xml:space="preserve">Prüfgegenstand sind neben den im Drittland geltenden Rechtsvorschriften auch „Gepflogenheiten“ im Drittland. Die EU-Kommission </w:t>
      </w:r>
      <w:r w:rsidR="004C26B8">
        <w:t xml:space="preserve">beschreibt </w:t>
      </w:r>
      <w:r>
        <w:t>in den Erwägungsgründen nicht, was unter „Gepflogenheiten“ zu verstehen ist. In der Literatur wird unter „Gepflogenheiten“ mehrheitlich die Anwendung und Durchsetzung der Rechtsvorschriften im Drittland verstanden,</w:t>
      </w:r>
      <w:r>
        <w:rPr>
          <w:rStyle w:val="Funotenzeichen"/>
        </w:rPr>
        <w:footnoteReference w:id="7"/>
      </w:r>
      <w:r>
        <w:t xml:space="preserve"> also z. B. ob Datenschutzverstöße geahndet werden.</w:t>
      </w:r>
    </w:p>
    <w:p w14:paraId="5DB2C27E" w14:textId="141CDDE3" w:rsidR="00730195" w:rsidRDefault="00730195" w:rsidP="00730195">
      <w:pPr>
        <w:pStyle w:val="Listenabsatz"/>
        <w:numPr>
          <w:ilvl w:val="0"/>
          <w:numId w:val="11"/>
        </w:numPr>
      </w:pPr>
      <w:r>
        <w:t>Insbesondere bewerteten die Parteien (Klausel 14 lit. b</w:t>
      </w:r>
      <w:r w:rsidRPr="00BB2613">
        <w:t>)</w:t>
      </w:r>
    </w:p>
    <w:p w14:paraId="56984D61" w14:textId="77777777" w:rsidR="00730195" w:rsidRDefault="00730195" w:rsidP="00730195">
      <w:pPr>
        <w:pStyle w:val="Listenabsatz"/>
        <w:numPr>
          <w:ilvl w:val="1"/>
          <w:numId w:val="11"/>
        </w:numPr>
      </w:pPr>
      <w:r w:rsidRPr="00BB2613">
        <w:t>die</w:t>
      </w:r>
      <w:r>
        <w:t xml:space="preserve"> besonderen Umstände der Übermittlung, einschließlich</w:t>
      </w:r>
    </w:p>
    <w:p w14:paraId="4CEDB352" w14:textId="15AEA6EC" w:rsidR="00730195" w:rsidRDefault="00730195" w:rsidP="00730195">
      <w:pPr>
        <w:pStyle w:val="Listenabsatz"/>
        <w:numPr>
          <w:ilvl w:val="2"/>
          <w:numId w:val="11"/>
        </w:numPr>
      </w:pPr>
      <w:r w:rsidRPr="00BB2613">
        <w:t>der</w:t>
      </w:r>
      <w:r>
        <w:t xml:space="preserve"> Länge der Verarbeitungskette,</w:t>
      </w:r>
    </w:p>
    <w:p w14:paraId="06B97EAE" w14:textId="33D6EFB1" w:rsidR="00730195" w:rsidRDefault="00730195" w:rsidP="00730195">
      <w:pPr>
        <w:pStyle w:val="Listenabsatz"/>
        <w:numPr>
          <w:ilvl w:val="2"/>
          <w:numId w:val="11"/>
        </w:numPr>
      </w:pPr>
      <w:r w:rsidRPr="00BB2613">
        <w:t>der</w:t>
      </w:r>
      <w:r w:rsidRPr="00730195">
        <w:t xml:space="preserve"> Anzahl der beteiligten Akteure</w:t>
      </w:r>
      <w:r>
        <w:t>,</w:t>
      </w:r>
    </w:p>
    <w:p w14:paraId="772932F3" w14:textId="3516E175" w:rsidR="00730195" w:rsidRDefault="00730195" w:rsidP="00730195">
      <w:pPr>
        <w:pStyle w:val="Listenabsatz"/>
        <w:numPr>
          <w:ilvl w:val="2"/>
          <w:numId w:val="11"/>
        </w:numPr>
      </w:pPr>
      <w:r w:rsidRPr="00BB2613">
        <w:t>der</w:t>
      </w:r>
      <w:r w:rsidRPr="00730195">
        <w:t xml:space="preserve"> verwendeten Übertragungskanäle</w:t>
      </w:r>
      <w:r>
        <w:t>,</w:t>
      </w:r>
    </w:p>
    <w:p w14:paraId="0B67C285" w14:textId="2C979B20" w:rsidR="00730195" w:rsidRDefault="00730195" w:rsidP="00730195">
      <w:pPr>
        <w:pStyle w:val="Listenabsatz"/>
        <w:numPr>
          <w:ilvl w:val="2"/>
          <w:numId w:val="11"/>
        </w:numPr>
      </w:pPr>
      <w:r w:rsidRPr="00BB2613">
        <w:t>beabsichtigte</w:t>
      </w:r>
      <w:r w:rsidRPr="00730195">
        <w:t xml:space="preserve"> Datenweiterleitungen</w:t>
      </w:r>
      <w:r>
        <w:t>,</w:t>
      </w:r>
    </w:p>
    <w:p w14:paraId="79552D42" w14:textId="216DBACF" w:rsidR="00730195" w:rsidRDefault="00730195" w:rsidP="00730195">
      <w:pPr>
        <w:pStyle w:val="Listenabsatz"/>
        <w:numPr>
          <w:ilvl w:val="2"/>
          <w:numId w:val="11"/>
        </w:numPr>
      </w:pPr>
      <w:r w:rsidRPr="00BB2613">
        <w:lastRenderedPageBreak/>
        <w:t>die</w:t>
      </w:r>
      <w:r w:rsidRPr="00730195">
        <w:t xml:space="preserve"> Art des Empfängers,</w:t>
      </w:r>
    </w:p>
    <w:p w14:paraId="693936DC" w14:textId="045FB581" w:rsidR="00730195" w:rsidRDefault="00730195" w:rsidP="00730195">
      <w:pPr>
        <w:pStyle w:val="Listenabsatz"/>
        <w:numPr>
          <w:ilvl w:val="2"/>
          <w:numId w:val="11"/>
        </w:numPr>
      </w:pPr>
      <w:r w:rsidRPr="00BB2613">
        <w:t>der</w:t>
      </w:r>
      <w:r w:rsidRPr="00730195">
        <w:t xml:space="preserve"> Zweck der Verarbeitung,</w:t>
      </w:r>
    </w:p>
    <w:p w14:paraId="03A997B9" w14:textId="65EC7EB5" w:rsidR="00730195" w:rsidRDefault="00730195" w:rsidP="00730195">
      <w:pPr>
        <w:pStyle w:val="Listenabsatz"/>
        <w:numPr>
          <w:ilvl w:val="2"/>
          <w:numId w:val="11"/>
        </w:numPr>
      </w:pPr>
      <w:r w:rsidRPr="00BB2613">
        <w:t>die</w:t>
      </w:r>
      <w:r w:rsidRPr="00730195">
        <w:t xml:space="preserve"> Kategorien und das Format der übermittelten personenbezogenen Daten,</w:t>
      </w:r>
    </w:p>
    <w:p w14:paraId="34696AFD" w14:textId="77777777" w:rsidR="00730195" w:rsidRDefault="00730195" w:rsidP="00730195">
      <w:pPr>
        <w:pStyle w:val="Listenabsatz"/>
        <w:numPr>
          <w:ilvl w:val="2"/>
          <w:numId w:val="11"/>
        </w:numPr>
      </w:pPr>
      <w:r w:rsidRPr="00BB2613">
        <w:t>den</w:t>
      </w:r>
      <w:r w:rsidRPr="00730195">
        <w:t xml:space="preserve"> Wirtschaftszweig, in dem die Übertragung erfolgt,</w:t>
      </w:r>
    </w:p>
    <w:p w14:paraId="52A4FBA9" w14:textId="7A45D7BF" w:rsidR="00730195" w:rsidRDefault="00730195" w:rsidP="00730195">
      <w:pPr>
        <w:pStyle w:val="Listenabsatz"/>
        <w:numPr>
          <w:ilvl w:val="2"/>
          <w:numId w:val="11"/>
        </w:numPr>
      </w:pPr>
      <w:r w:rsidRPr="00BB2613">
        <w:t>den</w:t>
      </w:r>
      <w:r w:rsidRPr="00730195">
        <w:t xml:space="preserve"> Speicherort der übermittelten Daten</w:t>
      </w:r>
      <w:r>
        <w:t>,</w:t>
      </w:r>
    </w:p>
    <w:p w14:paraId="133071FA" w14:textId="60D204EB" w:rsidR="00730195" w:rsidRDefault="00730195" w:rsidP="00730195">
      <w:pPr>
        <w:pStyle w:val="Listenabsatz"/>
        <w:numPr>
          <w:ilvl w:val="2"/>
          <w:numId w:val="11"/>
        </w:numPr>
      </w:pPr>
      <w:r w:rsidRPr="00BB2613">
        <w:t>die</w:t>
      </w:r>
      <w:r w:rsidRPr="00730195">
        <w:t xml:space="preserve"> angesichts der besonderen Umstände der Übermittlung relevanten Rechtsvorschriften und Gepflogenheiten des Bestimmungsdrittlandes (einschließlich solcher, die die Offenlegung von Daten gegenüber Behörden vorschreiben oder den Zugang von Behörden zu diesen Daten gestatten) sowie die geltenden Beschränkungen und Garantien,</w:t>
      </w:r>
      <w:r w:rsidR="004C26B8">
        <w:t xml:space="preserve"> </w:t>
      </w:r>
      <w:r w:rsidR="004C26B8" w:rsidRPr="00BB2613">
        <w:t>sowie</w:t>
      </w:r>
    </w:p>
    <w:p w14:paraId="4ADB4E69" w14:textId="65AE8084" w:rsidR="00730195" w:rsidRDefault="00730195" w:rsidP="00730195">
      <w:pPr>
        <w:pStyle w:val="Listenabsatz"/>
        <w:numPr>
          <w:ilvl w:val="2"/>
          <w:numId w:val="11"/>
        </w:numPr>
      </w:pPr>
      <w:r w:rsidRPr="00BB2613">
        <w:t>alle</w:t>
      </w:r>
      <w:r>
        <w:t xml:space="preserve"> relevanten vertraglichen, technischen oder organisatorischen Garantien, die zur Ergänzung der Garantien gemäß diesen Klauseln eingerichtet wurden, einschließlich Maßnahmen, die während der Übermittlung und bei der Verarbeitung personenbezogener Daten im Bestimmungsland angewandt werden.</w:t>
      </w:r>
    </w:p>
    <w:p w14:paraId="4FC92896" w14:textId="7C29B67E" w:rsidR="00730195" w:rsidRDefault="00730195" w:rsidP="00730195">
      <w:pPr>
        <w:pStyle w:val="Listenabsatz"/>
        <w:numPr>
          <w:ilvl w:val="0"/>
          <w:numId w:val="11"/>
        </w:numPr>
      </w:pPr>
      <w:r>
        <w:t xml:space="preserve">Die </w:t>
      </w:r>
      <w:r w:rsidR="004C26B8">
        <w:t>Bewertung ist zu dokumentieren</w:t>
      </w:r>
      <w:r>
        <w:t xml:space="preserve"> und </w:t>
      </w:r>
      <w:r w:rsidR="00A7469C">
        <w:t xml:space="preserve">muss </w:t>
      </w:r>
      <w:r>
        <w:t>auf Anfrage der Datenschutz</w:t>
      </w:r>
      <w:r w:rsidR="004C26B8">
        <w:t>a</w:t>
      </w:r>
      <w:r>
        <w:t>ufsichtsbehörde zur Verfügung gestellt werden (Klausel 14 lit. d)</w:t>
      </w:r>
      <w:r w:rsidR="004C26B8">
        <w:t>.</w:t>
      </w:r>
    </w:p>
    <w:p w14:paraId="2085D758" w14:textId="77777777" w:rsidR="00A0643B" w:rsidRPr="00921306" w:rsidRDefault="00A0643B" w:rsidP="00A0643B"/>
    <w:p w14:paraId="2262808F" w14:textId="77777777" w:rsidR="00A0643B" w:rsidRDefault="00A0643B">
      <w:pPr>
        <w:jc w:val="left"/>
        <w:rPr>
          <w:rFonts w:ascii="Cambria" w:eastAsiaTheme="majorEastAsia" w:hAnsi="Cambria" w:cstheme="majorBidi"/>
          <w:color w:val="0070C0"/>
          <w:sz w:val="28"/>
          <w:szCs w:val="32"/>
        </w:rPr>
      </w:pPr>
      <w:bookmarkStart w:id="92" w:name="_Toc132204336"/>
      <w:r>
        <w:br w:type="page"/>
      </w:r>
    </w:p>
    <w:p w14:paraId="1E3091B5" w14:textId="03FD2AE0" w:rsidR="00054F11" w:rsidRDefault="00054F11" w:rsidP="004140DF">
      <w:pPr>
        <w:pStyle w:val="berschrift1"/>
      </w:pPr>
      <w:r>
        <w:lastRenderedPageBreak/>
        <w:t xml:space="preserve">Der EuGH und das </w:t>
      </w:r>
      <w:r w:rsidRPr="008142CE">
        <w:t>Schrems</w:t>
      </w:r>
      <w:r w:rsidR="008142CE" w:rsidRPr="008142CE">
        <w:t>-</w:t>
      </w:r>
      <w:r w:rsidRPr="008142CE">
        <w:t>II</w:t>
      </w:r>
      <w:r w:rsidR="008142CE" w:rsidRPr="008142CE">
        <w:t>-</w:t>
      </w:r>
      <w:r w:rsidRPr="008142CE">
        <w:t>Urteil</w:t>
      </w:r>
      <w:r>
        <w:rPr>
          <w:rStyle w:val="Funotenzeichen"/>
        </w:rPr>
        <w:footnoteReference w:id="8"/>
      </w:r>
      <w:bookmarkEnd w:id="92"/>
    </w:p>
    <w:p w14:paraId="318F4EF6" w14:textId="7E84C3F5" w:rsidR="00054F11" w:rsidRDefault="00054F11" w:rsidP="00054F11">
      <w:r w:rsidRPr="00054F11">
        <w:t>In seinem Urteil vom 16. Juli 2020 in der Rechtssache C-311/18</w:t>
      </w:r>
      <w:r w:rsidR="005163FF">
        <w:rPr>
          <w:rStyle w:val="Funotenzeichen"/>
        </w:rPr>
        <w:footnoteReference w:id="9"/>
      </w:r>
      <w:r w:rsidRPr="00054F11">
        <w:t xml:space="preserve"> (</w:t>
      </w:r>
      <w:r>
        <w:t xml:space="preserve">nachfolgend kurz </w:t>
      </w:r>
      <w:r w:rsidRPr="00054F11">
        <w:t>„</w:t>
      </w:r>
      <w:r w:rsidRPr="008142CE">
        <w:t>Schrems</w:t>
      </w:r>
      <w:r w:rsidR="008142CE" w:rsidRPr="008142CE">
        <w:t>-</w:t>
      </w:r>
      <w:r w:rsidRPr="008142CE">
        <w:t>II</w:t>
      </w:r>
      <w:r w:rsidR="008142CE" w:rsidRPr="008142CE">
        <w:t>-Urteil</w:t>
      </w:r>
      <w:r w:rsidRPr="00054F11">
        <w:t>“</w:t>
      </w:r>
      <w:r>
        <w:t xml:space="preserve"> genannt</w:t>
      </w:r>
      <w:r w:rsidRPr="00054F11">
        <w:t>) stellte der EuGH</w:t>
      </w:r>
      <w:r w:rsidR="00D4239F">
        <w:t xml:space="preserve"> bei der Interpretation der Vorgaben der </w:t>
      </w:r>
      <w:r w:rsidR="00D4239F" w:rsidRPr="008142CE">
        <w:t xml:space="preserve">DS-GVO </w:t>
      </w:r>
      <w:r w:rsidRPr="00054F11">
        <w:t>Verschiedenes fest</w:t>
      </w:r>
      <w:r>
        <w:t>, was im Rahmen einer Drittland-Verarbeitung zu beachten ist</w:t>
      </w:r>
      <w:r w:rsidRPr="00054F11">
        <w:t>. Insbesondere gehört dazu</w:t>
      </w:r>
      <w:r>
        <w:t>, dass e</w:t>
      </w:r>
      <w:r w:rsidRPr="00054F11">
        <w:t>in Drittland "aufgrund seiner innerstaatlichen Rechtsvorschriften oder seiner internationalen Verpflichtungen tatsächlich ein Schutzniveau der Freiheiten und Grundrechte gewährleisten</w:t>
      </w:r>
      <w:r w:rsidR="004C26B8">
        <w:t xml:space="preserve"> </w:t>
      </w:r>
      <w:r>
        <w:t>[muss]</w:t>
      </w:r>
      <w:r w:rsidRPr="00054F11">
        <w:t xml:space="preserve">, </w:t>
      </w:r>
      <w:r w:rsidR="004140DF" w:rsidRPr="00054F11">
        <w:t>dass</w:t>
      </w:r>
      <w:r w:rsidRPr="00054F11">
        <w:t xml:space="preserve"> dem in der Union durch die DS</w:t>
      </w:r>
      <w:r w:rsidR="004C26B8">
        <w:t>-</w:t>
      </w:r>
      <w:r w:rsidRPr="00054F11">
        <w:t>GVO im Licht der Charta garantierten Niveau der Sache nach gleichwertig ist"</w:t>
      </w:r>
      <w:r>
        <w:t xml:space="preserve"> (</w:t>
      </w:r>
      <w:r w:rsidR="004140DF">
        <w:t>Rn. </w:t>
      </w:r>
      <w:r>
        <w:t xml:space="preserve">104 </w:t>
      </w:r>
      <w:r w:rsidRPr="008142CE">
        <w:t>Schrems</w:t>
      </w:r>
      <w:r w:rsidR="008142CE" w:rsidRPr="008142CE">
        <w:t>-</w:t>
      </w:r>
      <w:r w:rsidRPr="008142CE">
        <w:t>II</w:t>
      </w:r>
      <w:r w:rsidR="008142CE" w:rsidRPr="008142CE">
        <w:t>-Urteil</w:t>
      </w:r>
      <w:r>
        <w:t xml:space="preserve">). Somit wird nicht gefordert, dass </w:t>
      </w:r>
      <w:r w:rsidRPr="00054F11">
        <w:t xml:space="preserve">das </w:t>
      </w:r>
      <w:r>
        <w:t xml:space="preserve">Schutzniveau im Drittland </w:t>
      </w:r>
      <w:r w:rsidRPr="00054F11">
        <w:t xml:space="preserve">identisch zu dem der EU </w:t>
      </w:r>
      <w:r>
        <w:t>ist</w:t>
      </w:r>
      <w:r w:rsidRPr="00054F11">
        <w:t xml:space="preserve">, gefordert ist aber </w:t>
      </w:r>
      <w:r w:rsidR="004C26B8">
        <w:t>ein gleiches</w:t>
      </w:r>
      <w:r w:rsidRPr="00054F11">
        <w:t xml:space="preserve"> </w:t>
      </w:r>
      <w:r w:rsidR="004C26B8">
        <w:t>Datenschutzs</w:t>
      </w:r>
      <w:r w:rsidR="004C26B8" w:rsidRPr="00054F11">
        <w:t>chutz</w:t>
      </w:r>
      <w:r w:rsidR="004C26B8">
        <w:t>niveau</w:t>
      </w:r>
      <w:r w:rsidRPr="00054F11">
        <w:t>.</w:t>
      </w:r>
    </w:p>
    <w:p w14:paraId="408426A6" w14:textId="27A8F936" w:rsidR="00054F11" w:rsidRDefault="00054F11" w:rsidP="00054F11">
      <w:r w:rsidRPr="00054F11">
        <w:t>Bei der Beurteilung, ob das Schutzniveau im Drittland dem in der Union durch die DS</w:t>
      </w:r>
      <w:r w:rsidR="004C26B8">
        <w:t>-</w:t>
      </w:r>
      <w:r w:rsidRPr="00054F11">
        <w:t xml:space="preserve">GVO im Licht der Charta garantierten Niveau der Sache nach gleichwertig ist, müssen vom Datenexporteur auch </w:t>
      </w:r>
      <w:r w:rsidR="008142CE">
        <w:rPr>
          <w:b/>
          <w:bCs/>
        </w:rPr>
        <w:t>potenziell</w:t>
      </w:r>
      <w:r w:rsidRPr="00054F11">
        <w:rPr>
          <w:b/>
          <w:bCs/>
        </w:rPr>
        <w:t xml:space="preserve"> mögliche Zugriffe durch staatliche Behörden</w:t>
      </w:r>
      <w:r w:rsidRPr="00054F11">
        <w:t xml:space="preserve"> wie </w:t>
      </w:r>
      <w:r w:rsidRPr="008142CE">
        <w:t>z.</w:t>
      </w:r>
      <w:r w:rsidR="008142CE" w:rsidRPr="008142CE">
        <w:t> </w:t>
      </w:r>
      <w:r w:rsidRPr="008142CE">
        <w:t>B.</w:t>
      </w:r>
      <w:r w:rsidRPr="00054F11">
        <w:t xml:space="preserve"> ein Geheimdienst oder Ermittlungsbehörden beachtet werden. Die alleinige Möglichkeit von staatlichen Zugriffen aufgrund der Gesetzlage im Drittland reicht aus, damit diese staatlichen Zugriffsmöglichkeiten im Drittland vom Datenexporteur bzgl. der Bewertung des Schutzniveaus im Drittland berücksichtigt und bewertet werden müssen.</w:t>
      </w:r>
      <w:r>
        <w:t xml:space="preserve"> Im </w:t>
      </w:r>
      <w:r w:rsidRPr="008142CE">
        <w:t>Schrems</w:t>
      </w:r>
      <w:r w:rsidR="008142CE" w:rsidRPr="008142CE">
        <w:t>-</w:t>
      </w:r>
      <w:r w:rsidRPr="008142CE">
        <w:t>II</w:t>
      </w:r>
      <w:r w:rsidR="008142CE" w:rsidRPr="008142CE">
        <w:t>-</w:t>
      </w:r>
      <w:r w:rsidRPr="008142CE">
        <w:t>Urteil</w:t>
      </w:r>
      <w:r>
        <w:t xml:space="preserve"> findet sich seitens des EuGH hierzu:</w:t>
      </w:r>
    </w:p>
    <w:p w14:paraId="4C8D6F5A" w14:textId="2FC14DF0" w:rsidR="00054F11" w:rsidRDefault="004140DF" w:rsidP="00054F11">
      <w:pPr>
        <w:ind w:left="708"/>
      </w:pPr>
      <w:r>
        <w:t>Rn. </w:t>
      </w:r>
      <w:r w:rsidR="00054F11">
        <w:t xml:space="preserve">87: Die </w:t>
      </w:r>
      <w:r w:rsidR="00054F11" w:rsidRPr="00054F11">
        <w:rPr>
          <w:b/>
          <w:bCs/>
        </w:rPr>
        <w:t>etwaige Verarbeitung</w:t>
      </w:r>
      <w:r w:rsidR="00054F11">
        <w:t xml:space="preserve"> der betreffenden Daten durch ein Drittland </w:t>
      </w:r>
      <w:r w:rsidR="00054F11" w:rsidRPr="00054F11">
        <w:rPr>
          <w:b/>
          <w:bCs/>
        </w:rPr>
        <w:t xml:space="preserve">für Zwecke der öffentlichen Sicherheit, der Landesverteidigung und der Sicherheit des Staates stellt die Anwendbarkeit der DS-GVO auf die fragliche Übermittlung nicht </w:t>
      </w:r>
      <w:r w:rsidR="00054F11" w:rsidRPr="00BB2613">
        <w:rPr>
          <w:b/>
          <w:bCs/>
        </w:rPr>
        <w:t>in Frage</w:t>
      </w:r>
      <w:r w:rsidR="00054F11">
        <w:t>.</w:t>
      </w:r>
    </w:p>
    <w:p w14:paraId="64D8FED9" w14:textId="5F9CC0AD" w:rsidR="00054F11" w:rsidRDefault="004140DF" w:rsidP="00054F11">
      <w:pPr>
        <w:ind w:left="708"/>
      </w:pPr>
      <w:r>
        <w:t>Rn. </w:t>
      </w:r>
      <w:r w:rsidR="00054F11">
        <w:t xml:space="preserve">89, Antwort auf Vorlagefrage: Eine Übermittlung personenbezogener Daten durch einen in einem Mitgliedstaat ansässigen Wirtschaftsteilnehmer an einen anderen, in einem Drittland ansässigen Wirtschaftsteilnehmer </w:t>
      </w:r>
      <w:r w:rsidR="00054F11" w:rsidRPr="00054F11">
        <w:rPr>
          <w:b/>
          <w:bCs/>
        </w:rPr>
        <w:t xml:space="preserve">fällt in den Anwendungsbereich dieser Verordnung, wenn die Daten bei ihrer Übermittlung oder im Anschluss daran von den Behörden dieses Drittlands </w:t>
      </w:r>
      <w:r w:rsidR="00054F11">
        <w:t xml:space="preserve">für Zwecke der öffentlichen Sicherheit, der Landesverteidigung und der Sicherheit des Staates </w:t>
      </w:r>
      <w:r w:rsidR="00054F11" w:rsidRPr="00054F11">
        <w:rPr>
          <w:b/>
          <w:bCs/>
        </w:rPr>
        <w:t>verarbeitet werden können</w:t>
      </w:r>
      <w:r w:rsidR="00054F11">
        <w:t>.</w:t>
      </w:r>
    </w:p>
    <w:p w14:paraId="360311DE" w14:textId="166A957E" w:rsidR="00A04C3B" w:rsidRDefault="004140DF" w:rsidP="00A04C3B">
      <w:pPr>
        <w:ind w:left="708"/>
      </w:pPr>
      <w:r>
        <w:t>Rn. </w:t>
      </w:r>
      <w:r w:rsidR="00A04C3B">
        <w:t xml:space="preserve">105, Antwort auf Vorlagefragen 2,3 und 6: </w:t>
      </w:r>
      <w:r w:rsidR="00A04C3B" w:rsidRPr="00A04C3B">
        <w:rPr>
          <w:b/>
          <w:bCs/>
        </w:rPr>
        <w:t>Bei der</w:t>
      </w:r>
      <w:r w:rsidR="00A04C3B">
        <w:t xml:space="preserve"> insoweit im Zusammenhang mit einer solchen Übermittlung vorzunehmenden </w:t>
      </w:r>
      <w:r w:rsidR="00A04C3B" w:rsidRPr="00A04C3B">
        <w:rPr>
          <w:b/>
          <w:bCs/>
        </w:rPr>
        <w:t>Beurteilung sind insbesondere die vertraglichen Regelungen zu berücksichtigen</w:t>
      </w:r>
      <w:r w:rsidR="00A04C3B">
        <w:t xml:space="preserve">, die zwischen dem in der Union ansässigen Verantwortlichen bzw. seinem dort ansässigen Auftragsverarbeiter und dem im betreffenden Drittland ansässigen Empfänger der Übermittlung vereinbart wurden, </w:t>
      </w:r>
      <w:r w:rsidR="00A04C3B" w:rsidRPr="00A04C3B">
        <w:rPr>
          <w:b/>
          <w:bCs/>
        </w:rPr>
        <w:t>sowie</w:t>
      </w:r>
      <w:r w:rsidR="00A04C3B">
        <w:t xml:space="preserve">, was </w:t>
      </w:r>
      <w:r w:rsidR="00A04C3B" w:rsidRPr="00A04C3B">
        <w:rPr>
          <w:b/>
          <w:bCs/>
        </w:rPr>
        <w:t>einen etwaigen Zugriff der Behörden dieses Drittlands</w:t>
      </w:r>
      <w:r w:rsidR="00A04C3B">
        <w:t xml:space="preserve"> auf die übermittelten personenbezogenen Daten betrifft, die maßgeblichen Elemente der Rechtsordnung dieses Landes, insbesondere die in </w:t>
      </w:r>
      <w:r>
        <w:t>Art. </w:t>
      </w:r>
      <w:r w:rsidR="00A04C3B">
        <w:t xml:space="preserve">45 </w:t>
      </w:r>
      <w:r>
        <w:t>Abs. </w:t>
      </w:r>
      <w:r w:rsidR="00A04C3B">
        <w:t>2 der DS</w:t>
      </w:r>
      <w:r w:rsidR="004C26B8">
        <w:t>-</w:t>
      </w:r>
      <w:r w:rsidR="00A04C3B">
        <w:t>GVO genannten Elemente."</w:t>
      </w:r>
    </w:p>
    <w:p w14:paraId="20C94AC7" w14:textId="23518CE9" w:rsidR="00054F11" w:rsidRDefault="00054F11" w:rsidP="004140DF">
      <w:pPr>
        <w:pStyle w:val="berschrift2"/>
      </w:pPr>
      <w:bookmarkStart w:id="93" w:name="_Toc132204337"/>
      <w:r w:rsidRPr="008142CE">
        <w:t>Schrems</w:t>
      </w:r>
      <w:r w:rsidR="008142CE" w:rsidRPr="008142CE">
        <w:t>-</w:t>
      </w:r>
      <w:r w:rsidRPr="008142CE">
        <w:t>II</w:t>
      </w:r>
      <w:r w:rsidR="008142CE" w:rsidRPr="008142CE">
        <w:t>-Urteil</w:t>
      </w:r>
      <w:r>
        <w:t xml:space="preserve"> und durchsetzbare Rechte/Rechtsbehelfe</w:t>
      </w:r>
      <w:bookmarkEnd w:id="93"/>
    </w:p>
    <w:p w14:paraId="1FB0F027" w14:textId="6ACD19D2" w:rsidR="00054F11" w:rsidRDefault="00054F11" w:rsidP="00054F11">
      <w:r>
        <w:t>Des Weiteren führt der EuGH aus, wie die gesetzliche Anforderung „</w:t>
      </w:r>
      <w:r w:rsidRPr="00054F11">
        <w:t>durchsetzbare Rechte und wirksame Rechtsbehelfe</w:t>
      </w:r>
      <w:r>
        <w:t>“ zu beurteilen ist:</w:t>
      </w:r>
    </w:p>
    <w:p w14:paraId="078B2F24" w14:textId="79FD87F7" w:rsidR="00054F11" w:rsidRDefault="004140DF" w:rsidP="00054F11">
      <w:pPr>
        <w:ind w:left="708"/>
      </w:pPr>
      <w:r>
        <w:t>Rn. </w:t>
      </w:r>
      <w:r w:rsidR="00054F11">
        <w:t xml:space="preserve">141: […] und </w:t>
      </w:r>
      <w:r w:rsidR="00054F11" w:rsidRPr="00054F11">
        <w:rPr>
          <w:b/>
          <w:bCs/>
        </w:rPr>
        <w:t>gemäß Artikel 47 der Charta einen wirksamen gerichtlichen Rechtsbehelf</w:t>
      </w:r>
      <w:r w:rsidR="00054F11">
        <w:t xml:space="preserve"> einzulegen, wenn sie sich in ihren Rechten gemäß dieser Verordnung verletzt sieht</w:t>
      </w:r>
      <w:r w:rsidR="00054F11" w:rsidRPr="00BB2613">
        <w:t xml:space="preserve"> […]</w:t>
      </w:r>
      <w:r w:rsidR="008142CE" w:rsidRPr="00BB2613">
        <w:t>.</w:t>
      </w:r>
    </w:p>
    <w:p w14:paraId="4A7033AC" w14:textId="35ACB928" w:rsidR="00054F11" w:rsidRDefault="004140DF" w:rsidP="00054F11">
      <w:pPr>
        <w:ind w:left="708"/>
      </w:pPr>
      <w:r>
        <w:lastRenderedPageBreak/>
        <w:t>Rn. </w:t>
      </w:r>
      <w:r w:rsidR="00054F11">
        <w:t xml:space="preserve">105, Antwort auf Vorlagefragen 2,3 </w:t>
      </w:r>
      <w:r w:rsidR="00054F11" w:rsidRPr="008142CE">
        <w:t>und</w:t>
      </w:r>
      <w:r w:rsidR="008142CE" w:rsidRPr="008142CE">
        <w:t xml:space="preserve"> 6</w:t>
      </w:r>
      <w:r w:rsidR="00054F11" w:rsidRPr="008142CE">
        <w:t>:</w:t>
      </w:r>
      <w:r w:rsidR="00054F11">
        <w:t xml:space="preserve"> </w:t>
      </w:r>
      <w:r>
        <w:t>Art. </w:t>
      </w:r>
      <w:r w:rsidR="00054F11">
        <w:t xml:space="preserve">46 </w:t>
      </w:r>
      <w:r>
        <w:t>Abs. </w:t>
      </w:r>
      <w:r w:rsidR="00054F11">
        <w:t xml:space="preserve">1 und </w:t>
      </w:r>
      <w:r>
        <w:t>Art. </w:t>
      </w:r>
      <w:r w:rsidR="00054F11">
        <w:t xml:space="preserve">46 </w:t>
      </w:r>
      <w:r>
        <w:t>Abs. </w:t>
      </w:r>
      <w:r w:rsidR="00054F11">
        <w:t>2 Buchst. c der DS</w:t>
      </w:r>
      <w:r w:rsidR="004C26B8">
        <w:t>-</w:t>
      </w:r>
      <w:r w:rsidR="00054F11">
        <w:t xml:space="preserve">GVO sind dahin auszulegen, dass die nach diesen Vorschriften erforderlichen geeigneten Garantien, </w:t>
      </w:r>
      <w:r w:rsidR="00054F11" w:rsidRPr="00054F11">
        <w:rPr>
          <w:b/>
          <w:bCs/>
        </w:rPr>
        <w:t>durchsetzbaren Rechte und wirksamen Rechtsbehelfe gewährleisten müssen</w:t>
      </w:r>
      <w:r w:rsidR="00054F11">
        <w:t xml:space="preserve">, dass die </w:t>
      </w:r>
      <w:r w:rsidR="00054F11" w:rsidRPr="00054F11">
        <w:rPr>
          <w:b/>
          <w:bCs/>
        </w:rPr>
        <w:t>Rechte der Personen</w:t>
      </w:r>
      <w:r w:rsidR="00054F11">
        <w:t xml:space="preserve">, deren personenbezogene Daten auf </w:t>
      </w:r>
      <w:r w:rsidR="00054F11" w:rsidRPr="00054F11">
        <w:rPr>
          <w:b/>
          <w:bCs/>
        </w:rPr>
        <w:t>der Grundlage von Standarddatenschutzklauseln in ein Drittland übermittelt werden</w:t>
      </w:r>
      <w:r w:rsidR="00054F11">
        <w:t xml:space="preserve">, ein </w:t>
      </w:r>
      <w:r w:rsidR="00054F11" w:rsidRPr="00054F11">
        <w:rPr>
          <w:b/>
          <w:bCs/>
        </w:rPr>
        <w:t>Schutzniveau genießen</w:t>
      </w:r>
      <w:r w:rsidR="00054F11">
        <w:t>, das dem in der Union durch die DS</w:t>
      </w:r>
      <w:r w:rsidR="004C26B8">
        <w:t>-</w:t>
      </w:r>
      <w:r w:rsidR="00054F11">
        <w:t xml:space="preserve">GVO im Licht der Charta garantierten Niveau der Sache nach </w:t>
      </w:r>
      <w:r w:rsidR="00054F11" w:rsidRPr="00054F11">
        <w:rPr>
          <w:b/>
          <w:bCs/>
        </w:rPr>
        <w:t>gleichwertig ist</w:t>
      </w:r>
      <w:r w:rsidR="00054F11">
        <w:t>.</w:t>
      </w:r>
    </w:p>
    <w:p w14:paraId="51F137B1" w14:textId="3F087A8C" w:rsidR="00054F11" w:rsidRDefault="004140DF" w:rsidP="00054F11">
      <w:pPr>
        <w:ind w:left="708"/>
      </w:pPr>
      <w:r>
        <w:t>Rn. </w:t>
      </w:r>
      <w:r w:rsidR="00054F11">
        <w:t xml:space="preserve">57: Nach alledem ist auf die Vorlagefragen zu antworten, dass </w:t>
      </w:r>
      <w:r>
        <w:t>Art. </w:t>
      </w:r>
      <w:r w:rsidR="00054F11">
        <w:t xml:space="preserve">77 </w:t>
      </w:r>
      <w:r>
        <w:t>Abs. </w:t>
      </w:r>
      <w:r w:rsidR="00054F11">
        <w:t xml:space="preserve">1, </w:t>
      </w:r>
      <w:r>
        <w:t>Art. </w:t>
      </w:r>
      <w:r w:rsidR="00054F11">
        <w:t xml:space="preserve">78 </w:t>
      </w:r>
      <w:r>
        <w:t>Abs. </w:t>
      </w:r>
      <w:r w:rsidR="00054F11">
        <w:t xml:space="preserve">1 und </w:t>
      </w:r>
      <w:r>
        <w:t>Art. </w:t>
      </w:r>
      <w:r w:rsidR="00054F11">
        <w:t xml:space="preserve">79 </w:t>
      </w:r>
      <w:r>
        <w:t>Abs. </w:t>
      </w:r>
      <w:r w:rsidR="00054F11">
        <w:t xml:space="preserve">1 der Verordnung 2016/679 </w:t>
      </w:r>
      <w:r w:rsidR="00054F11" w:rsidRPr="00054F11">
        <w:rPr>
          <w:b/>
          <w:bCs/>
        </w:rPr>
        <w:t xml:space="preserve">in Verbindung mit </w:t>
      </w:r>
      <w:r>
        <w:rPr>
          <w:b/>
          <w:bCs/>
        </w:rPr>
        <w:t>Art. </w:t>
      </w:r>
      <w:r w:rsidR="00054F11" w:rsidRPr="00054F11">
        <w:rPr>
          <w:b/>
          <w:bCs/>
        </w:rPr>
        <w:t>47 der Charta</w:t>
      </w:r>
      <w:r w:rsidR="00054F11">
        <w:t xml:space="preserve"> dahin </w:t>
      </w:r>
      <w:r w:rsidR="00054F11" w:rsidRPr="00054F11">
        <w:rPr>
          <w:b/>
          <w:bCs/>
        </w:rPr>
        <w:t>auszulegen sind</w:t>
      </w:r>
      <w:r w:rsidR="00054F11" w:rsidRPr="00BB2613">
        <w:t xml:space="preserve"> […]</w:t>
      </w:r>
      <w:r w:rsidR="008142CE" w:rsidRPr="00BB2613">
        <w:t>.</w:t>
      </w:r>
    </w:p>
    <w:p w14:paraId="47097574" w14:textId="18BC9D34" w:rsidR="00054F11" w:rsidRDefault="00054F11" w:rsidP="00054F11">
      <w:r>
        <w:t xml:space="preserve">In </w:t>
      </w:r>
      <w:r w:rsidR="004140DF">
        <w:t>Art. </w:t>
      </w:r>
      <w:r>
        <w:t>47</w:t>
      </w:r>
      <w:r>
        <w:rPr>
          <w:rStyle w:val="Funotenzeichen"/>
        </w:rPr>
        <w:footnoteReference w:id="10"/>
      </w:r>
      <w:r>
        <w:t xml:space="preserve"> </w:t>
      </w:r>
      <w:r w:rsidRPr="00054F11">
        <w:t>Charta der Grundrechte der Europäischen Union</w:t>
      </w:r>
      <w:r w:rsidR="00C10850">
        <w:rPr>
          <w:rStyle w:val="Funotenzeichen"/>
        </w:rPr>
        <w:footnoteReference w:id="11"/>
      </w:r>
      <w:r>
        <w:t xml:space="preserve"> findet sich hierzu </w:t>
      </w:r>
      <w:r w:rsidRPr="008142CE">
        <w:t>u.</w:t>
      </w:r>
      <w:r w:rsidR="008142CE" w:rsidRPr="008142CE">
        <w:t> </w:t>
      </w:r>
      <w:r w:rsidRPr="008142CE">
        <w:t>a.</w:t>
      </w:r>
      <w:r>
        <w:t>:</w:t>
      </w:r>
    </w:p>
    <w:p w14:paraId="20E5040E" w14:textId="77777777" w:rsidR="00054F11" w:rsidRDefault="00054F11" w:rsidP="00054F11">
      <w:pPr>
        <w:ind w:left="708"/>
      </w:pPr>
      <w:r w:rsidRPr="00054F11">
        <w:rPr>
          <w:b/>
          <w:bCs/>
        </w:rPr>
        <w:t>Jede Person</w:t>
      </w:r>
      <w:r>
        <w:t xml:space="preserve">, deren durch das Recht der Union garantierte Rechte oder Freiheiten verletzt worden sind, </w:t>
      </w:r>
      <w:r w:rsidRPr="00054F11">
        <w:rPr>
          <w:b/>
          <w:bCs/>
        </w:rPr>
        <w:t>hat das Recht</w:t>
      </w:r>
      <w:r>
        <w:t xml:space="preserve">, </w:t>
      </w:r>
      <w:r w:rsidRPr="00054F11">
        <w:rPr>
          <w:b/>
          <w:bCs/>
        </w:rPr>
        <w:t xml:space="preserve">nach Maßgabe der in diesem Artikel vorgesehenen Bedingungen </w:t>
      </w:r>
      <w:r>
        <w:t xml:space="preserve">bei einem Gericht </w:t>
      </w:r>
      <w:r w:rsidRPr="00054F11">
        <w:rPr>
          <w:b/>
          <w:bCs/>
        </w:rPr>
        <w:t>einen wirksamen Rechtsbehelf einzulegen</w:t>
      </w:r>
      <w:r>
        <w:t>.</w:t>
      </w:r>
    </w:p>
    <w:p w14:paraId="73F97867" w14:textId="57695784" w:rsidR="00054F11" w:rsidRDefault="00054F11" w:rsidP="00054F11">
      <w:pPr>
        <w:ind w:left="708"/>
      </w:pPr>
      <w:r>
        <w:t xml:space="preserve">Jede Person hat ein Recht darauf, dass ihre Sache von einem unabhängigen, unparteiischen und </w:t>
      </w:r>
      <w:r w:rsidRPr="00054F11">
        <w:rPr>
          <w:b/>
          <w:bCs/>
        </w:rPr>
        <w:t>zuvor durch Gesetz errichteten Gericht</w:t>
      </w:r>
      <w:r>
        <w:t xml:space="preserve"> in einem </w:t>
      </w:r>
      <w:r w:rsidRPr="00054F11">
        <w:rPr>
          <w:b/>
          <w:bCs/>
        </w:rPr>
        <w:t>fairen Verfahren, öffentlich</w:t>
      </w:r>
      <w:r>
        <w:t xml:space="preserve"> und innerhalb angemessener Frist </w:t>
      </w:r>
      <w:r w:rsidRPr="00054F11">
        <w:rPr>
          <w:b/>
          <w:bCs/>
        </w:rPr>
        <w:t>verhandelt wird</w:t>
      </w:r>
      <w:r>
        <w:t xml:space="preserve">. </w:t>
      </w:r>
    </w:p>
    <w:p w14:paraId="1C8850FC" w14:textId="19D12805" w:rsidR="00054F11" w:rsidRDefault="00054F11" w:rsidP="00054F11">
      <w:pPr>
        <w:spacing w:after="0"/>
      </w:pPr>
      <w:r>
        <w:t>Bei der Beurteilung hinsichtlich der einer betroffenen Person im Drittland zur Verfügung stehenden Rechtsmittel ist also insbesondere zu beachten:</w:t>
      </w:r>
    </w:p>
    <w:p w14:paraId="349787D9" w14:textId="6980C9D7" w:rsidR="00054F11" w:rsidRDefault="00054F11" w:rsidP="00054F11">
      <w:pPr>
        <w:pStyle w:val="Listenabsatz"/>
        <w:numPr>
          <w:ilvl w:val="0"/>
          <w:numId w:val="2"/>
        </w:numPr>
      </w:pPr>
      <w:r>
        <w:t>Hat die Person die Möglichkeit, die Rechtsmittel bei einem zuvor durch Gesetz errichteten Gericht einzulegen?</w:t>
      </w:r>
    </w:p>
    <w:p w14:paraId="3443616E" w14:textId="12A9347E" w:rsidR="00054F11" w:rsidRDefault="00054F11" w:rsidP="00054F11">
      <w:pPr>
        <w:pStyle w:val="Listenabsatz"/>
        <w:numPr>
          <w:ilvl w:val="0"/>
          <w:numId w:val="2"/>
        </w:numPr>
      </w:pPr>
      <w:r>
        <w:t>Ist das darauf basierende Verfahren öffentlich, sodass die betroffene Person selbst an dem Verfahren teilnehmen kann?</w:t>
      </w:r>
    </w:p>
    <w:p w14:paraId="6FD202DF" w14:textId="2C4C650D" w:rsidR="00054F11" w:rsidRDefault="00054F11" w:rsidP="00054F11">
      <w:pPr>
        <w:pStyle w:val="Listenabsatz"/>
        <w:numPr>
          <w:ilvl w:val="0"/>
          <w:numId w:val="2"/>
        </w:numPr>
      </w:pPr>
      <w:r>
        <w:t>Ist es insgesamt ein faires Verfahren, wozu insbesondere auch die Transparenz des Verfahrens bewertet werden muss?</w:t>
      </w:r>
    </w:p>
    <w:p w14:paraId="0001B4C9" w14:textId="4E3EFE86" w:rsidR="005163FF" w:rsidRDefault="005163FF" w:rsidP="004140DF">
      <w:pPr>
        <w:pStyle w:val="berschrift2"/>
      </w:pPr>
      <w:bookmarkStart w:id="94" w:name="_Toc132204338"/>
      <w:r w:rsidRPr="008142CE">
        <w:t>Schrems-II-Urteil</w:t>
      </w:r>
      <w:r>
        <w:t>: Resultierende Anforderungen</w:t>
      </w:r>
      <w:bookmarkEnd w:id="94"/>
    </w:p>
    <w:p w14:paraId="4011A55D" w14:textId="578046EC" w:rsidR="005163FF" w:rsidRDefault="005163FF" w:rsidP="005163FF">
      <w:pPr>
        <w:spacing w:after="0"/>
      </w:pPr>
      <w:r>
        <w:t xml:space="preserve">Im Schrems-II-Urteil leitete der EuGH diverse Anforderungen unmittelbar aus der Grundrechtecharta ab, wodurch </w:t>
      </w:r>
      <w:r w:rsidR="004140DF">
        <w:t>Art. </w:t>
      </w:r>
      <w:r>
        <w:t>45 DS-GVO auch dieser Sichtweise entsprechend interpretiert werden muss. Zu den Anforderungen des EuGH bzgl. einer Prüfung des Schutzniveaus in einem Drittland hinsichtlich der Verarbeitung personenbezogener Daten gehören insbesondere:</w:t>
      </w:r>
    </w:p>
    <w:p w14:paraId="24BE7CC7" w14:textId="4B32C113" w:rsidR="005163FF" w:rsidRDefault="005163FF" w:rsidP="005163FF">
      <w:pPr>
        <w:pStyle w:val="Listenabsatz"/>
        <w:numPr>
          <w:ilvl w:val="0"/>
          <w:numId w:val="12"/>
        </w:numPr>
      </w:pPr>
      <w:r>
        <w:t>Die Prüfung</w:t>
      </w:r>
      <w:r w:rsidRPr="005163FF">
        <w:t xml:space="preserve">, inwieweit </w:t>
      </w:r>
      <w:r>
        <w:t>im jeweiligen Drittland</w:t>
      </w:r>
      <w:r w:rsidRPr="005163FF">
        <w:t xml:space="preserve"> die Rechtsstaatlichkeit gewahrt ist, der Rechtsweg gewährleistet ist und die internationalen Menschenrechtsnormen und -standards eingehalten werden</w:t>
      </w:r>
      <w:r>
        <w:t xml:space="preserve"> (</w:t>
      </w:r>
      <w:r w:rsidR="004140DF">
        <w:t>Rn. </w:t>
      </w:r>
      <w:r>
        <w:t>104 Schrems-II-Urteil)</w:t>
      </w:r>
      <w:r w:rsidR="008C78C6">
        <w:t>.</w:t>
      </w:r>
    </w:p>
    <w:p w14:paraId="08313F58" w14:textId="7525D80E" w:rsidR="005163FF" w:rsidRDefault="005163FF" w:rsidP="005163FF">
      <w:pPr>
        <w:pStyle w:val="Listenabsatz"/>
        <w:numPr>
          <w:ilvl w:val="0"/>
          <w:numId w:val="12"/>
        </w:numPr>
      </w:pPr>
      <w:r>
        <w:t xml:space="preserve">Eine Prüfung, welche </w:t>
      </w:r>
      <w:r w:rsidRPr="005163FF">
        <w:t>allgemeinen und sektorspezifischen Vorschriften, wozu auch die Vorschriften über die öffentliche Sicherheit, die Landesverteidigung und die nationale Sicherheit sowie die öffentliche Ordnung und das Strafrecht zählen</w:t>
      </w:r>
      <w:r>
        <w:t>, im jeweiligen Drittland gelten (</w:t>
      </w:r>
      <w:r w:rsidR="004140DF">
        <w:t>Rn. </w:t>
      </w:r>
      <w:r>
        <w:t>104 Schrems-II-Urteil)</w:t>
      </w:r>
      <w:r w:rsidR="008C78C6">
        <w:t>.</w:t>
      </w:r>
    </w:p>
    <w:p w14:paraId="2A0AF8FF" w14:textId="11BDDE07" w:rsidR="005163FF" w:rsidRDefault="005163FF" w:rsidP="005163FF">
      <w:pPr>
        <w:pStyle w:val="Listenabsatz"/>
        <w:numPr>
          <w:ilvl w:val="0"/>
          <w:numId w:val="12"/>
        </w:numPr>
      </w:pPr>
      <w:r>
        <w:t xml:space="preserve">Eine Prüfung, ob im jeweiligen </w:t>
      </w:r>
      <w:r w:rsidRPr="005163FF">
        <w:t>Drittland eine wirksame unabhängige Überwachung des Datenschutzes gewährleiste</w:t>
      </w:r>
      <w:r>
        <w:t xml:space="preserve">t ist </w:t>
      </w:r>
      <w:r w:rsidRPr="005163FF">
        <w:t xml:space="preserve">und </w:t>
      </w:r>
      <w:r>
        <w:t xml:space="preserve">das Recht im Drittland </w:t>
      </w:r>
      <w:r w:rsidRPr="005163FF">
        <w:t xml:space="preserve">Mechanismen für eine </w:t>
      </w:r>
      <w:r w:rsidRPr="005163FF">
        <w:lastRenderedPageBreak/>
        <w:t xml:space="preserve">Zusammenarbeit mit den Datenschutzbehörden der </w:t>
      </w:r>
      <w:r>
        <w:t>EU-</w:t>
      </w:r>
      <w:r w:rsidRPr="005163FF">
        <w:t>Mitgliedstaaten vorsehen</w:t>
      </w:r>
      <w:r>
        <w:t xml:space="preserve"> (</w:t>
      </w:r>
      <w:r w:rsidR="004140DF">
        <w:t>Rn. </w:t>
      </w:r>
      <w:r>
        <w:t>104 Schrems-II-Urteil)</w:t>
      </w:r>
      <w:r w:rsidR="008C78C6">
        <w:t>.</w:t>
      </w:r>
    </w:p>
    <w:p w14:paraId="5F747709" w14:textId="3BFB5EAD" w:rsidR="005163FF" w:rsidRDefault="005163FF" w:rsidP="005163FF">
      <w:pPr>
        <w:pStyle w:val="Listenabsatz"/>
        <w:numPr>
          <w:ilvl w:val="0"/>
          <w:numId w:val="12"/>
        </w:numPr>
      </w:pPr>
      <w:r>
        <w:t xml:space="preserve">Eine Prüfung, ob </w:t>
      </w:r>
      <w:r w:rsidRPr="005163FF">
        <w:t xml:space="preserve">betroffenen Personen </w:t>
      </w:r>
      <w:r>
        <w:t xml:space="preserve">im jeweiligen Drittland </w:t>
      </w:r>
      <w:r w:rsidRPr="005163FF">
        <w:t>wirksame und durchsetzbare Rechte sowie wirksame verwaltungsrechtliche und gerichtliche Rechtsbehelfe eingeräumt werden</w:t>
      </w:r>
      <w:r>
        <w:t xml:space="preserve"> (</w:t>
      </w:r>
      <w:r w:rsidR="004140DF">
        <w:t>Rn. </w:t>
      </w:r>
      <w:r>
        <w:t>104 Schrems-II-Urteil)</w:t>
      </w:r>
      <w:r w:rsidR="008C78C6">
        <w:t>.</w:t>
      </w:r>
    </w:p>
    <w:p w14:paraId="46422A37" w14:textId="356BEC2A" w:rsidR="005163FF" w:rsidRDefault="005163FF" w:rsidP="005163FF">
      <w:pPr>
        <w:pStyle w:val="Listenabsatz"/>
        <w:numPr>
          <w:ilvl w:val="0"/>
          <w:numId w:val="12"/>
        </w:numPr>
      </w:pPr>
      <w:r>
        <w:t>Eine Prüfung, ob im jeweiligen Drittland behördliche Zugriffsrechte auf personenbezogene Daten bestehen (</w:t>
      </w:r>
      <w:r w:rsidR="004140DF">
        <w:t>Rn. </w:t>
      </w:r>
      <w:r>
        <w:t>105 Schrems-II-Urteil)</w:t>
      </w:r>
      <w:r w:rsidR="008C78C6">
        <w:t>.</w:t>
      </w:r>
    </w:p>
    <w:p w14:paraId="7A1C032F" w14:textId="409E12BD" w:rsidR="00A04C3B" w:rsidRDefault="00A04C3B" w:rsidP="004140DF">
      <w:pPr>
        <w:pStyle w:val="berschrift2"/>
      </w:pPr>
      <w:bookmarkStart w:id="95" w:name="_Toc132204339"/>
      <w:r>
        <w:t xml:space="preserve">EDSA und </w:t>
      </w:r>
      <w:r w:rsidRPr="008142CE">
        <w:t>Schrems</w:t>
      </w:r>
      <w:r w:rsidR="008142CE" w:rsidRPr="008142CE">
        <w:t>-</w:t>
      </w:r>
      <w:r w:rsidRPr="008142CE">
        <w:t>II</w:t>
      </w:r>
      <w:r w:rsidR="008142CE" w:rsidRPr="008142CE">
        <w:t>-Urteil</w:t>
      </w:r>
      <w:r>
        <w:t>: Empfehlungen</w:t>
      </w:r>
      <w:bookmarkEnd w:id="95"/>
    </w:p>
    <w:p w14:paraId="41F59DCC" w14:textId="7D90FB69" w:rsidR="00054F11" w:rsidRDefault="00A04C3B" w:rsidP="00054F11">
      <w:r w:rsidRPr="00A04C3B">
        <w:t xml:space="preserve">Basierend auf das </w:t>
      </w:r>
      <w:r w:rsidRPr="008142CE">
        <w:t>Schrems</w:t>
      </w:r>
      <w:r w:rsidR="008142CE" w:rsidRPr="008142CE">
        <w:t>-</w:t>
      </w:r>
      <w:r w:rsidRPr="008142CE">
        <w:t>II-Urteil</w:t>
      </w:r>
      <w:r w:rsidRPr="00A04C3B">
        <w:t xml:space="preserve"> veröffentliche </w:t>
      </w:r>
      <w:r>
        <w:t xml:space="preserve">der </w:t>
      </w:r>
      <w:r w:rsidRPr="00BB2613">
        <w:t>Europäische</w:t>
      </w:r>
      <w:r w:rsidRPr="00A04C3B">
        <w:t xml:space="preserve"> Datenschutzausschuss </w:t>
      </w:r>
      <w:r>
        <w:t>(</w:t>
      </w:r>
      <w:r w:rsidRPr="00A04C3B">
        <w:t>EDSA</w:t>
      </w:r>
      <w:r>
        <w:t>)</w:t>
      </w:r>
      <w:r w:rsidRPr="00A04C3B">
        <w:t xml:space="preserve"> im Juni 2021 </w:t>
      </w:r>
      <w:r w:rsidR="004140DF">
        <w:t>„</w:t>
      </w:r>
      <w:r w:rsidRPr="00A04C3B">
        <w:t>Empfehlungen 01/2020 zu Maßnahmen zur Ergänzung von Übermittlungstools zur Gewährleistung des unionsrechtlichen Schutzniveaus für personenbezogene Daten</w:t>
      </w:r>
      <w:r w:rsidR="004140DF">
        <w:t>“</w:t>
      </w:r>
      <w:r>
        <w:rPr>
          <w:rStyle w:val="Funotenzeichen"/>
        </w:rPr>
        <w:footnoteReference w:id="12"/>
      </w:r>
      <w:r w:rsidRPr="00A04C3B">
        <w:t xml:space="preserve">. Darin finden sich </w:t>
      </w:r>
      <w:r>
        <w:t>sechs</w:t>
      </w:r>
      <w:r w:rsidRPr="00A04C3B">
        <w:t xml:space="preserve"> grundlegende Empfehlungen zum Vorgehen bei geplanten Verarbeitungen personenbezogener Daten in einem Drittland:</w:t>
      </w:r>
    </w:p>
    <w:p w14:paraId="57024067" w14:textId="4D59B1BE" w:rsidR="00A04C3B" w:rsidRDefault="00A04C3B" w:rsidP="00A7469C">
      <w:pPr>
        <w:ind w:left="1560" w:hanging="850"/>
        <w:contextualSpacing/>
      </w:pPr>
      <w:r>
        <w:t>Schritt 1:</w:t>
      </w:r>
      <w:r w:rsidR="008C78C6">
        <w:tab/>
      </w:r>
      <w:r>
        <w:t xml:space="preserve">Die Datenübermittlungen </w:t>
      </w:r>
      <w:r w:rsidRPr="00BB2613">
        <w:t>kennen</w:t>
      </w:r>
    </w:p>
    <w:p w14:paraId="0C6D9B51" w14:textId="168161D2" w:rsidR="00A04C3B" w:rsidRDefault="00A04C3B" w:rsidP="00A7469C">
      <w:pPr>
        <w:ind w:left="1560"/>
        <w:contextualSpacing/>
      </w:pPr>
      <w:r>
        <w:t xml:space="preserve">Alle Verarbeitungen personenbezogener Daten wie beispielsweise Übermittlungen in ein Drittland sollen im Verzeichnis der Verarbeitungen dokumentiert sein; nach </w:t>
      </w:r>
      <w:r w:rsidR="004140DF">
        <w:t>Art. </w:t>
      </w:r>
      <w:r>
        <w:t xml:space="preserve">30 DS-GVO existiert </w:t>
      </w:r>
      <w:r w:rsidRPr="008142CE">
        <w:t>i.</w:t>
      </w:r>
      <w:r w:rsidR="008142CE" w:rsidRPr="008142CE">
        <w:t> </w:t>
      </w:r>
      <w:r w:rsidRPr="008142CE">
        <w:t>d.</w:t>
      </w:r>
      <w:r w:rsidR="008142CE" w:rsidRPr="008142CE">
        <w:t> </w:t>
      </w:r>
      <w:r w:rsidRPr="008142CE">
        <w:t>R.</w:t>
      </w:r>
      <w:r>
        <w:t xml:space="preserve"> ein entsprechendes Verzeichnis für alle Verarbeitungen.</w:t>
      </w:r>
    </w:p>
    <w:p w14:paraId="63EC3B7B" w14:textId="4C99BCEA" w:rsidR="00A04C3B" w:rsidRDefault="00A04C3B" w:rsidP="00A7469C">
      <w:pPr>
        <w:ind w:left="1560"/>
      </w:pPr>
      <w:r>
        <w:t>Als Verarbeitung/Übermittlung versteht der EDSA dabei jegliche Zugriffsmöglichkeit aus einem Drittland. Dies beinhaltet beispielsweise auch Zugriffe zu Wartungszwecken oder auch (Weiter-)Übermittlungen an Unterauftragnehmern in Drittländern.</w:t>
      </w:r>
    </w:p>
    <w:p w14:paraId="78B2BB57" w14:textId="3FCA497B" w:rsidR="00A04C3B" w:rsidRDefault="00A04C3B" w:rsidP="00A7469C">
      <w:pPr>
        <w:ind w:left="1560" w:hanging="850"/>
        <w:contextualSpacing/>
      </w:pPr>
      <w:r>
        <w:t>Schritt 2:</w:t>
      </w:r>
      <w:r w:rsidR="008C78C6">
        <w:tab/>
      </w:r>
      <w:r>
        <w:t xml:space="preserve">Auswahl der eingesetzten </w:t>
      </w:r>
      <w:r w:rsidRPr="00BB2613">
        <w:t>Übermittlungsinstrumente</w:t>
      </w:r>
    </w:p>
    <w:p w14:paraId="7BC9FAC1" w14:textId="6C794D4B" w:rsidR="00A04C3B" w:rsidRDefault="00A04C3B" w:rsidP="00A7469C">
      <w:pPr>
        <w:ind w:left="1560"/>
        <w:contextualSpacing/>
      </w:pPr>
      <w:r>
        <w:t>Entsprechend der geplanten Drittland</w:t>
      </w:r>
      <w:r w:rsidR="008C78C6">
        <w:t>v</w:t>
      </w:r>
      <w:r>
        <w:t xml:space="preserve">erarbeitung soll der Datenexporteur das Übermittlungsinstrument nach Kapitel V der DS-GVO festlegen. </w:t>
      </w:r>
      <w:r w:rsidRPr="00BB2613">
        <w:t>In Frage</w:t>
      </w:r>
      <w:r>
        <w:t xml:space="preserve"> kommen </w:t>
      </w:r>
      <w:r w:rsidRPr="008142CE">
        <w:t>i.</w:t>
      </w:r>
      <w:r w:rsidR="008142CE" w:rsidRPr="008142CE">
        <w:t> </w:t>
      </w:r>
      <w:r w:rsidRPr="008142CE">
        <w:t>d.</w:t>
      </w:r>
      <w:r w:rsidR="008142CE" w:rsidRPr="008142CE">
        <w:t> </w:t>
      </w:r>
      <w:r w:rsidRPr="008142CE">
        <w:t>R.</w:t>
      </w:r>
      <w:r w:rsidR="008C78C6">
        <w:t>:</w:t>
      </w:r>
    </w:p>
    <w:p w14:paraId="0EA5AB96" w14:textId="005F5708" w:rsidR="00A04C3B" w:rsidRDefault="004140DF" w:rsidP="00AC69DE">
      <w:pPr>
        <w:pStyle w:val="Listenabsatz"/>
        <w:numPr>
          <w:ilvl w:val="0"/>
          <w:numId w:val="6"/>
        </w:numPr>
      </w:pPr>
      <w:r>
        <w:t>Art. </w:t>
      </w:r>
      <w:r w:rsidR="00A04C3B">
        <w:t xml:space="preserve">45, </w:t>
      </w:r>
      <w:r w:rsidR="00A04C3B" w:rsidRPr="008142CE">
        <w:t>d.</w:t>
      </w:r>
      <w:r w:rsidR="008142CE" w:rsidRPr="008142CE">
        <w:t> </w:t>
      </w:r>
      <w:r w:rsidR="00A04C3B" w:rsidRPr="008142CE">
        <w:t>h.</w:t>
      </w:r>
      <w:r w:rsidR="00A04C3B">
        <w:t xml:space="preserve"> Datenübermittlung auf der Grundlage eines Angemessenheitsbeschlusses der EU-Kommission,</w:t>
      </w:r>
    </w:p>
    <w:p w14:paraId="04B45B82" w14:textId="180BCB23" w:rsidR="00A04C3B" w:rsidRDefault="00A04C3B" w:rsidP="00AC69DE">
      <w:pPr>
        <w:pStyle w:val="Listenabsatz"/>
        <w:numPr>
          <w:ilvl w:val="0"/>
          <w:numId w:val="6"/>
        </w:numPr>
      </w:pPr>
      <w:r w:rsidRPr="00BB2613">
        <w:t>verbindlichen</w:t>
      </w:r>
      <w:r>
        <w:t xml:space="preserve"> internen Datenschutzvorschriften (</w:t>
      </w:r>
      <w:r w:rsidRPr="00BB2613">
        <w:t>Binding</w:t>
      </w:r>
      <w:r w:rsidRPr="00F34948">
        <w:t xml:space="preserve"> Corporate </w:t>
      </w:r>
      <w:r w:rsidRPr="00BB2613">
        <w:t>Rules</w:t>
      </w:r>
      <w:r>
        <w:t xml:space="preserve">) gemäß </w:t>
      </w:r>
      <w:r w:rsidR="004140DF">
        <w:t>Art. </w:t>
      </w:r>
      <w:r>
        <w:t>47 DS-GVO,</w:t>
      </w:r>
    </w:p>
    <w:p w14:paraId="16273EAE" w14:textId="6DBA0C2E" w:rsidR="00A04C3B" w:rsidRDefault="00A04C3B" w:rsidP="00AC69DE">
      <w:pPr>
        <w:pStyle w:val="Listenabsatz"/>
        <w:numPr>
          <w:ilvl w:val="0"/>
          <w:numId w:val="6"/>
        </w:numPr>
      </w:pPr>
      <w:r w:rsidRPr="00BB2613">
        <w:t>von</w:t>
      </w:r>
      <w:r>
        <w:t xml:space="preserve"> der Kommission erlassene Standarddatenschutzklauseln (von der EU-Kommission Standardvertragsklauseln, </w:t>
      </w:r>
      <w:r w:rsidRPr="00302A7B">
        <w:t>SCC</w:t>
      </w:r>
      <w:r>
        <w:t xml:space="preserve">, genannt) </w:t>
      </w:r>
      <w:r w:rsidRPr="00BB2613">
        <w:t>sowie</w:t>
      </w:r>
    </w:p>
    <w:p w14:paraId="7A9C5261" w14:textId="285297B2" w:rsidR="00A04C3B" w:rsidRDefault="00A04C3B" w:rsidP="00AC69DE">
      <w:pPr>
        <w:pStyle w:val="Listenabsatz"/>
        <w:numPr>
          <w:ilvl w:val="0"/>
          <w:numId w:val="6"/>
        </w:numPr>
      </w:pPr>
      <w:r w:rsidRPr="00BB2613">
        <w:t>in</w:t>
      </w:r>
      <w:r>
        <w:t xml:space="preserve"> einzelnen/besonderen Fällen die in </w:t>
      </w:r>
      <w:r w:rsidR="004140DF">
        <w:t>Art. </w:t>
      </w:r>
      <w:r>
        <w:t>49 DS-GVO enthaltenen Ausnahmeregelungen.</w:t>
      </w:r>
    </w:p>
    <w:p w14:paraId="5A1143C8" w14:textId="0341429B" w:rsidR="00A04C3B" w:rsidRDefault="00A04C3B" w:rsidP="00A7469C">
      <w:pPr>
        <w:ind w:left="1560" w:hanging="850"/>
        <w:contextualSpacing/>
      </w:pPr>
      <w:r>
        <w:t>Schritt 3:</w:t>
      </w:r>
      <w:r w:rsidR="008C78C6">
        <w:tab/>
      </w:r>
      <w:r>
        <w:t>Beurteilung der Wirksamkeit des ausgewählten Übermittlungsinstruments gemäß Artikel 46 DS</w:t>
      </w:r>
      <w:r w:rsidR="008C78C6">
        <w:t>-</w:t>
      </w:r>
      <w:r>
        <w:t xml:space="preserve">GVO im Hinblick auf die Gesamtumstände der </w:t>
      </w:r>
      <w:r w:rsidRPr="00BB2613">
        <w:t>Übermittlung</w:t>
      </w:r>
    </w:p>
    <w:p w14:paraId="5C50057D" w14:textId="535CD27C" w:rsidR="00A0643B" w:rsidRDefault="00A04C3B" w:rsidP="00A7469C">
      <w:pPr>
        <w:ind w:left="1560"/>
        <w:contextualSpacing/>
      </w:pPr>
      <w:r>
        <w:t>Sodann muss der Datenexporteur, ggf. mit Unterstützung des Datenimporteurs, die Rechtslage im Drittland beurteil</w:t>
      </w:r>
      <w:r w:rsidR="008C78C6">
        <w:t>t</w:t>
      </w:r>
      <w:r>
        <w:t xml:space="preserve"> und die Effektivität </w:t>
      </w:r>
      <w:r w:rsidRPr="00BB2613">
        <w:t>der im Drittland vorgesehen Garantien</w:t>
      </w:r>
      <w:r>
        <w:t xml:space="preserve"> bzgl. eines der EU entsprechendes </w:t>
      </w:r>
      <w:r w:rsidRPr="00BB2613">
        <w:t>gleichwertiges Schutzniveaus</w:t>
      </w:r>
      <w:r>
        <w:t xml:space="preserve"> überprüft werden. Hierbei sind insbesondere auch die Zugriffsrechte staatlicher Stellen zu berücksichtigen</w:t>
      </w:r>
      <w:r w:rsidRPr="00BB2613">
        <w:t>.</w:t>
      </w:r>
      <w:r w:rsidR="008C78C6" w:rsidRPr="00BB2613">
        <w:t xml:space="preserve"> </w:t>
      </w:r>
      <w:r w:rsidR="00A0643B" w:rsidRPr="00BB2613">
        <w:br w:type="page"/>
      </w:r>
    </w:p>
    <w:p w14:paraId="46E1CA30" w14:textId="4C47A344" w:rsidR="00A04C3B" w:rsidRDefault="00A04C3B" w:rsidP="00A7469C">
      <w:pPr>
        <w:ind w:left="1560" w:hanging="850"/>
        <w:contextualSpacing/>
      </w:pPr>
      <w:r>
        <w:lastRenderedPageBreak/>
        <w:t>Schritt 4:</w:t>
      </w:r>
      <w:r w:rsidR="008C78C6">
        <w:tab/>
      </w:r>
      <w:r>
        <w:t xml:space="preserve">Zusätzliche Maßnahmen </w:t>
      </w:r>
      <w:r w:rsidRPr="00BB2613">
        <w:t>ergreifen</w:t>
      </w:r>
    </w:p>
    <w:p w14:paraId="7CF4B13C" w14:textId="77C3871E" w:rsidR="00A04C3B" w:rsidRDefault="00A04C3B" w:rsidP="00A7469C">
      <w:pPr>
        <w:ind w:left="1560"/>
        <w:contextualSpacing/>
      </w:pPr>
      <w:r>
        <w:t>Kommt der Datenexporteur zu dem Ergebnis, dass das Schutzniveau in dem Drittland nicht gleichwertig zu dem Schutzniveau der EU ist,</w:t>
      </w:r>
      <w:r w:rsidR="00AC69DE">
        <w:t xml:space="preserve"> </w:t>
      </w:r>
      <w:r>
        <w:t>muss er zusätzliche Maßnahmen ergreifen, welche ein entsprechendes Schutzniveau gewährleisten - oder die Verarbeitung im Drittland darf nicht erfolgen.</w:t>
      </w:r>
    </w:p>
    <w:p w14:paraId="52403FE9" w14:textId="7A503F13" w:rsidR="00A04C3B" w:rsidRDefault="00A04C3B" w:rsidP="00A7469C">
      <w:pPr>
        <w:ind w:left="1560"/>
        <w:contextualSpacing/>
      </w:pPr>
      <w:r>
        <w:t>Als Beispiele für zusätzliche technische Maßnahmen nennt der EDSA im Anhang seiner Empfehlung die Datenverschlüsselung oder Pseudonymisierung vor Übermittlung in das Drittland, sodass im Drittland kein Zugriff auf die personenbezogenen Daten möglich ist.</w:t>
      </w:r>
    </w:p>
    <w:p w14:paraId="05E0A3E4" w14:textId="7E41136D" w:rsidR="00A04C3B" w:rsidRDefault="00A04C3B" w:rsidP="00A7469C">
      <w:pPr>
        <w:ind w:left="1560" w:hanging="850"/>
        <w:contextualSpacing/>
      </w:pPr>
      <w:r>
        <w:t>Schritt 5:</w:t>
      </w:r>
      <w:r w:rsidR="008C78C6">
        <w:tab/>
      </w:r>
      <w:r>
        <w:t xml:space="preserve">Verfahrensschritte nach Ermittlung effektiver zusätzlicher </w:t>
      </w:r>
      <w:r w:rsidRPr="00BB2613">
        <w:t>Maßnahmen</w:t>
      </w:r>
    </w:p>
    <w:p w14:paraId="15FC17EE" w14:textId="17C706EE" w:rsidR="00A04C3B" w:rsidRDefault="00A04C3B" w:rsidP="00A7469C">
      <w:pPr>
        <w:ind w:left="1560"/>
        <w:contextualSpacing/>
      </w:pPr>
      <w:r>
        <w:t xml:space="preserve">In diesem Schritt muss der Datenexporteur alle förmlichen Verfahrensschritte einleiten, die für die zusätzlichen Maßnahmen erforderlich sind. </w:t>
      </w:r>
      <w:r w:rsidRPr="008142CE">
        <w:t>Z.</w:t>
      </w:r>
      <w:r w:rsidR="008142CE" w:rsidRPr="008142CE">
        <w:t> </w:t>
      </w:r>
      <w:r w:rsidRPr="008142CE">
        <w:t>B.</w:t>
      </w:r>
      <w:r>
        <w:t xml:space="preserve"> </w:t>
      </w:r>
      <w:r w:rsidRPr="008142CE">
        <w:t xml:space="preserve">muss der Datenexporteur </w:t>
      </w:r>
      <w:r>
        <w:t xml:space="preserve">Vorkehrungen treffen, die sicherstellen, dass Datenübertragungen umgehend ausgesetzt oder beendet werden, wenn der </w:t>
      </w:r>
      <w:r w:rsidRPr="008142CE">
        <w:t>Datenimporteuer</w:t>
      </w:r>
      <w:r>
        <w:t xml:space="preserve"> die ihm auferlegten Pflichten verletzt oder die zusätzlich eingerichteten Maßnahmen in dem Drittland nicht mehr sicher sind.</w:t>
      </w:r>
    </w:p>
    <w:p w14:paraId="032EBE7C" w14:textId="4AF48355" w:rsidR="00A04C3B" w:rsidRDefault="00A04C3B" w:rsidP="00A7469C">
      <w:pPr>
        <w:ind w:left="1560" w:hanging="850"/>
        <w:contextualSpacing/>
      </w:pPr>
      <w:r>
        <w:t>Schritt 6:</w:t>
      </w:r>
      <w:r w:rsidR="008C78C6">
        <w:tab/>
      </w:r>
      <w:r>
        <w:t xml:space="preserve">Neubewertung in angemessenen </w:t>
      </w:r>
      <w:r w:rsidRPr="00BB2613">
        <w:t>Abständen</w:t>
      </w:r>
    </w:p>
    <w:p w14:paraId="2352772A" w14:textId="15700C63" w:rsidR="00A04C3B" w:rsidRDefault="00A04C3B" w:rsidP="00A7469C">
      <w:pPr>
        <w:ind w:left="1560"/>
        <w:contextualSpacing/>
      </w:pPr>
      <w:r>
        <w:t>Der Datenexporteur ist verpflichtet, das Datenschutzniveau in dem Drittland, in das er personenbezogene Daten übermittelt, sowie die von ihm getroffenen Maßnahmen hinsichtlich der Gewährleistung des Schutzniveaus regelmäßig zu überprüfen</w:t>
      </w:r>
      <w:r w:rsidR="00AC69DE">
        <w:t>.</w:t>
      </w:r>
    </w:p>
    <w:p w14:paraId="654F5479" w14:textId="743D8EBC" w:rsidR="00AC69DE" w:rsidRDefault="00AC69DE" w:rsidP="00054F11">
      <w:r>
        <w:t xml:space="preserve">Grundlegende Anforderung von EDSA besteht also darin, dass man Verarbeitungen in einem Drittland (oder Verarbeitungen durch internationale Organisationen) kennen muss. Da </w:t>
      </w:r>
      <w:r w:rsidRPr="00BB2613">
        <w:t>Verantwortliche</w:t>
      </w:r>
      <w:r>
        <w:t xml:space="preserve"> betroffene Personen allein schon über die Absicht, Verarbeitungen in einem Drittland durchführen zu wollen, gemäß </w:t>
      </w:r>
      <w:r w:rsidR="004140DF">
        <w:t>Art. </w:t>
      </w:r>
      <w:r>
        <w:t xml:space="preserve">13 </w:t>
      </w:r>
      <w:r w:rsidR="004140DF">
        <w:t>Abs. </w:t>
      </w:r>
      <w:r>
        <w:t xml:space="preserve">1 </w:t>
      </w:r>
      <w:r w:rsidR="004140DF">
        <w:t>lit. </w:t>
      </w:r>
      <w:r>
        <w:t xml:space="preserve">f DS-GVO </w:t>
      </w:r>
      <w:r w:rsidR="008C78C6">
        <w:t>bzw.</w:t>
      </w:r>
      <w:r>
        <w:t xml:space="preserve"> Art 14 </w:t>
      </w:r>
      <w:r w:rsidR="004140DF">
        <w:t>Abs. </w:t>
      </w:r>
      <w:r>
        <w:t xml:space="preserve">1 </w:t>
      </w:r>
      <w:r w:rsidR="004140DF">
        <w:t>lit. </w:t>
      </w:r>
      <w:r>
        <w:t>f DS-GVO informieren müssen, beinhaltet die Unkenntnis entsprechender Drittland</w:t>
      </w:r>
      <w:r w:rsidR="008C78C6">
        <w:t>v</w:t>
      </w:r>
      <w:r>
        <w:t xml:space="preserve">erarbeitungen regelhaft einen Verstoß gegen die Informationspflichten von </w:t>
      </w:r>
      <w:r w:rsidR="004140DF">
        <w:t>Art</w:t>
      </w:r>
      <w:r w:rsidR="008C78C6">
        <w:t>t</w:t>
      </w:r>
      <w:r w:rsidR="004140DF">
        <w:t>. </w:t>
      </w:r>
      <w:r>
        <w:t>13,</w:t>
      </w:r>
      <w:r w:rsidR="008C78C6">
        <w:t xml:space="preserve"> </w:t>
      </w:r>
      <w:r>
        <w:t>14 DS-GVO.</w:t>
      </w:r>
    </w:p>
    <w:p w14:paraId="2A0A2B36" w14:textId="54F0B567" w:rsidR="00A04C3B" w:rsidRDefault="00AC69DE" w:rsidP="00054F11">
      <w:r>
        <w:t xml:space="preserve">Der Verantwortliche muss diese Verarbeitungen auch dann kennen, wenn diese Drittland-Verarbeitungen durch einen Auftragsverarbeiter initialisiert werden. Gemäß </w:t>
      </w:r>
      <w:r w:rsidR="004140DF">
        <w:t>Art. </w:t>
      </w:r>
      <w:r>
        <w:t xml:space="preserve">28 </w:t>
      </w:r>
      <w:r w:rsidR="004140DF">
        <w:t>Abs. </w:t>
      </w:r>
      <w:r>
        <w:t xml:space="preserve">2 DS-GVO benötigt ein Auftragsverarbeiter immer die Zustimmung des Verantwortlichen, wobei ein Verantwortlicher seine Zustimmung auch durch Unterlassen eines Einspruchs geben kann. Somit ist ein Verantwortlicher – wie </w:t>
      </w:r>
      <w:r w:rsidR="008C78C6">
        <w:t xml:space="preserve">die Bezeichnung </w:t>
      </w:r>
      <w:r w:rsidR="00A7469C">
        <w:t>nahelegt</w:t>
      </w:r>
      <w:r>
        <w:t xml:space="preserve"> – immer für die Verarbeitung personenbezogener Daten in einem Drittland verantwortlich. Allerdings haftet ein Auftragsverarbeiter, wenn er entgegen den einem Verantwortlichen gegebenen vertraglichen Zusicherungen personenbezogene Daten in einem Drittland verarbeitet und hierbei nicht den Vorgaben von Kapitel V DS-GVO genügt wird.</w:t>
      </w:r>
    </w:p>
    <w:p w14:paraId="2639B3EE" w14:textId="54509672" w:rsidR="008D49E5" w:rsidRDefault="008D49E5" w:rsidP="00054F11">
      <w:r>
        <w:t xml:space="preserve">Im </w:t>
      </w:r>
      <w:r w:rsidRPr="008142CE">
        <w:t>Schrems</w:t>
      </w:r>
      <w:r w:rsidR="008142CE" w:rsidRPr="008142CE">
        <w:t>-</w:t>
      </w:r>
      <w:r w:rsidRPr="008142CE">
        <w:t>II</w:t>
      </w:r>
      <w:r w:rsidR="008142CE" w:rsidRPr="008142CE">
        <w:t>-</w:t>
      </w:r>
      <w:r w:rsidRPr="008142CE">
        <w:t>Urteil</w:t>
      </w:r>
      <w:r>
        <w:t xml:space="preserve"> findet sich (</w:t>
      </w:r>
      <w:r w:rsidR="004140DF">
        <w:t>Rn. </w:t>
      </w:r>
      <w:r>
        <w:t>142):</w:t>
      </w:r>
      <w:r w:rsidR="00341A72">
        <w:t xml:space="preserve"> </w:t>
      </w:r>
      <w:r w:rsidR="00341A72" w:rsidRPr="00A976A9">
        <w:t>„</w:t>
      </w:r>
      <w:r w:rsidRPr="00A976A9">
        <w:t>Demzufolge</w:t>
      </w:r>
      <w:r w:rsidRPr="008D49E5">
        <w:t xml:space="preserve"> sind der in der Union </w:t>
      </w:r>
      <w:r w:rsidRPr="00F34948">
        <w:t>ansässige Verantwortliche und der Empfänger der Übermittlung personenbezogener Daten verpflichtet</w:t>
      </w:r>
      <w:r w:rsidRPr="008D49E5">
        <w:t>, vorab zu prüfen, ob im betreffenden Drittland das unionsrechtlich geforderte Schutzniveau eingehalten wird</w:t>
      </w:r>
      <w:r>
        <w:t xml:space="preserve">“. Verantwortliche müssen </w:t>
      </w:r>
      <w:r w:rsidR="008C78C6">
        <w:t xml:space="preserve">somit </w:t>
      </w:r>
      <w:r>
        <w:t>prüfen, ob einem Auftragsverarbeiter genehmigt werden kann, Verarbeitungen in einem Drittland oder auch durch in einem Drittland arbeitende Beschäftigte durchführen zu lassen, unabhängig davon, ob es sich hierbei um Unterauftragnehmer des Auftragsverarbeiters handelt oder beim Auftragsverarbeiter Beschäftigte.</w:t>
      </w:r>
    </w:p>
    <w:p w14:paraId="64AB6A70" w14:textId="4205815C" w:rsidR="00AC69DE" w:rsidRDefault="008C78C6" w:rsidP="00054F11">
      <w:r>
        <w:t xml:space="preserve">Es </w:t>
      </w:r>
      <w:r w:rsidR="008D49E5">
        <w:t>muss</w:t>
      </w:r>
      <w:r>
        <w:t xml:space="preserve"> daher</w:t>
      </w:r>
      <w:r w:rsidR="008D49E5">
        <w:t>, a</w:t>
      </w:r>
      <w:r w:rsidR="00AC69DE">
        <w:t>ußer bei</w:t>
      </w:r>
      <w:r w:rsidR="008D49E5">
        <w:t xml:space="preserve"> Nutzung </w:t>
      </w:r>
      <w:r w:rsidR="008D49E5" w:rsidRPr="008142CE">
        <w:t xml:space="preserve">eines </w:t>
      </w:r>
      <w:r w:rsidR="00AC69DE" w:rsidRPr="008142CE">
        <w:t>Angemessenheitsbeschluss</w:t>
      </w:r>
      <w:r w:rsidR="008142CE" w:rsidRPr="008142CE">
        <w:t xml:space="preserve">es </w:t>
      </w:r>
      <w:r w:rsidR="00AC69DE">
        <w:t xml:space="preserve">nach </w:t>
      </w:r>
      <w:r w:rsidR="004140DF">
        <w:t>Art. </w:t>
      </w:r>
      <w:r w:rsidR="00AC69DE">
        <w:t>45 DS-GVO</w:t>
      </w:r>
      <w:r w:rsidR="008142CE" w:rsidRPr="008142CE">
        <w:t xml:space="preserve"> der EU-Kommission</w:t>
      </w:r>
      <w:r w:rsidR="008D49E5">
        <w:t>,</w:t>
      </w:r>
      <w:r w:rsidR="00AC69DE">
        <w:t xml:space="preserve"> bei allen Verarbeitungen geprüft werden, ob die Vorgaben der DS-GVO eingehalten werden, insbesondere natürlich, ob das Schutzniveau im Drittland dem aus dem EU-Recht resultierendem Schutzniveau entspricht und ob die betroffenen Personen </w:t>
      </w:r>
      <w:r w:rsidR="00AC69DE" w:rsidRPr="00054F11">
        <w:t xml:space="preserve">durchsetzbare Rechte und wirksame Rechtsbehelfe </w:t>
      </w:r>
      <w:r w:rsidR="00AC69DE">
        <w:t xml:space="preserve">entsprechend </w:t>
      </w:r>
      <w:r w:rsidR="004140DF">
        <w:t>Art. </w:t>
      </w:r>
      <w:r w:rsidR="00AC69DE">
        <w:t xml:space="preserve">47 EU-Grundrechtecharta </w:t>
      </w:r>
      <w:r>
        <w:t>wahrnehmen können</w:t>
      </w:r>
      <w:r w:rsidR="00AC69DE">
        <w:t xml:space="preserve">. Daher ist </w:t>
      </w:r>
      <w:r w:rsidR="00AC69DE">
        <w:lastRenderedPageBreak/>
        <w:t xml:space="preserve">die von EDSA geforderte Kenntnis, auf welchem der in </w:t>
      </w:r>
      <w:r w:rsidR="00C61E75">
        <w:t>Kap. </w:t>
      </w:r>
      <w:r w:rsidR="00AC69DE">
        <w:t xml:space="preserve">V DS-GVO genannten Instrumente die Verarbeitung erfolgt, elementar: Nur bei einem Angemessenheitsbeschluss kann auf eine TIA verzichtet werden, weil diese durch die EU-Kommission erfolgte. </w:t>
      </w:r>
      <w:r w:rsidR="008D49E5">
        <w:t>E</w:t>
      </w:r>
      <w:r w:rsidR="00AC69DE">
        <w:t xml:space="preserve">ine Beurteilung </w:t>
      </w:r>
      <w:r w:rsidR="008D49E5">
        <w:t xml:space="preserve">der Situation inkl. der Bewertung der rechtlichen Situation im Drittland ist daher ohne Angemessenheitsbeschluss der EU-Kommission </w:t>
      </w:r>
      <w:r w:rsidR="00AC69DE">
        <w:t>unumgänglich</w:t>
      </w:r>
      <w:r w:rsidR="008D49E5">
        <w:t xml:space="preserve">, eine TIA somit </w:t>
      </w:r>
      <w:r w:rsidR="002651C3">
        <w:t xml:space="preserve">zwingend </w:t>
      </w:r>
      <w:r w:rsidR="008D49E5">
        <w:t>erforderlich</w:t>
      </w:r>
      <w:r w:rsidR="00AC69DE">
        <w:t>.</w:t>
      </w:r>
      <w:r w:rsidR="008F38B5">
        <w:t xml:space="preserve"> Entsprechend fordert auch Klausel 14 der v</w:t>
      </w:r>
      <w:r w:rsidR="008F38B5" w:rsidRPr="008F38B5">
        <w:t>on der EU-Kommission veröffentlichten Standardvertragsklauseln</w:t>
      </w:r>
      <w:r w:rsidR="008F38B5">
        <w:rPr>
          <w:rStyle w:val="Funotenzeichen"/>
        </w:rPr>
        <w:footnoteReference w:id="13"/>
      </w:r>
      <w:r w:rsidR="008F38B5">
        <w:t xml:space="preserve"> eine TIA.</w:t>
      </w:r>
    </w:p>
    <w:p w14:paraId="770564F3" w14:textId="77777777" w:rsidR="00BB2613" w:rsidRDefault="00BB2613" w:rsidP="00054F11"/>
    <w:p w14:paraId="2958578C" w14:textId="77777777" w:rsidR="00A0643B" w:rsidRDefault="00A0643B">
      <w:pPr>
        <w:jc w:val="left"/>
        <w:rPr>
          <w:rFonts w:ascii="Cambria" w:eastAsiaTheme="majorEastAsia" w:hAnsi="Cambria" w:cstheme="majorBidi"/>
          <w:color w:val="0070C0"/>
          <w:sz w:val="28"/>
          <w:szCs w:val="32"/>
        </w:rPr>
      </w:pPr>
      <w:bookmarkStart w:id="96" w:name="_Toc132204340"/>
      <w:r>
        <w:br w:type="page"/>
      </w:r>
    </w:p>
    <w:p w14:paraId="7E672D56" w14:textId="6732F7C6" w:rsidR="008D49E5" w:rsidRPr="003D2728" w:rsidRDefault="004A0D58" w:rsidP="004140DF">
      <w:pPr>
        <w:pStyle w:val="berschrift1"/>
        <w:rPr>
          <w:lang w:val="en-US"/>
        </w:rPr>
      </w:pPr>
      <w:r w:rsidRPr="003D2728">
        <w:rPr>
          <w:lang w:val="en-US"/>
        </w:rPr>
        <w:lastRenderedPageBreak/>
        <w:t>Data Transfer Impact Assessment (TIA): Aber wie?</w:t>
      </w:r>
      <w:bookmarkEnd w:id="96"/>
    </w:p>
    <w:p w14:paraId="37DBCC2A" w14:textId="70D802A4" w:rsidR="004A0D58" w:rsidRDefault="004A0D58" w:rsidP="004A0D58">
      <w:r>
        <w:t xml:space="preserve">Es </w:t>
      </w:r>
      <w:r w:rsidR="002651C3">
        <w:t>existieren keine gesetzlichen Anforderungen</w:t>
      </w:r>
      <w:r>
        <w:t xml:space="preserve">, wie eine TIA </w:t>
      </w:r>
      <w:r w:rsidR="002651C3">
        <w:t>durchzuführen</w:t>
      </w:r>
      <w:r w:rsidR="00A7469C">
        <w:t xml:space="preserve"> </w:t>
      </w:r>
      <w:r>
        <w:t xml:space="preserve">und </w:t>
      </w:r>
      <w:r w:rsidR="002651C3">
        <w:t>zu dokumentieren ist</w:t>
      </w:r>
      <w:r>
        <w:t>. Auch seitens der Datenschutz</w:t>
      </w:r>
      <w:r w:rsidR="002651C3">
        <w:t>a</w:t>
      </w:r>
      <w:r>
        <w:t xml:space="preserve">ufsichtsbehörden finden sich </w:t>
      </w:r>
      <w:r w:rsidR="002651C3">
        <w:t xml:space="preserve">zwar allgemeine </w:t>
      </w:r>
      <w:r>
        <w:t>Hinweise, aber keine Vorlage zur Durchführung.</w:t>
      </w:r>
      <w:r w:rsidR="006463D7">
        <w:rPr>
          <w:rStyle w:val="Funotenzeichen"/>
        </w:rPr>
        <w:footnoteReference w:id="14"/>
      </w:r>
      <w:r>
        <w:t xml:space="preserve"> </w:t>
      </w:r>
      <w:r w:rsidR="002651C3">
        <w:t xml:space="preserve">In der Praxis gut anwendbare Vorlagen, stellt die britische </w:t>
      </w:r>
      <w:r>
        <w:t>Datenschutzaufsicht</w:t>
      </w:r>
      <w:r w:rsidR="002651C3">
        <w:t xml:space="preserve"> auf ihrer Webseite zur Verfügung</w:t>
      </w:r>
      <w:r>
        <w:t>.</w:t>
      </w:r>
      <w:r>
        <w:rPr>
          <w:rStyle w:val="Funotenzeichen"/>
        </w:rPr>
        <w:footnoteReference w:id="15"/>
      </w:r>
    </w:p>
    <w:p w14:paraId="213C6169" w14:textId="126A0424" w:rsidR="004A0D58" w:rsidRDefault="002651C3" w:rsidP="00D8474D">
      <w:pPr>
        <w:spacing w:after="0"/>
      </w:pPr>
      <w:r>
        <w:t>Z</w:t>
      </w:r>
      <w:r w:rsidR="00D8474D">
        <w:t xml:space="preserve">unächst </w:t>
      </w:r>
      <w:r>
        <w:t xml:space="preserve">sind </w:t>
      </w:r>
      <w:r w:rsidR="00D8474D">
        <w:t xml:space="preserve">administrative Daten </w:t>
      </w:r>
      <w:r>
        <w:t>zu erfassen</w:t>
      </w:r>
      <w:r w:rsidR="00D8474D">
        <w:t xml:space="preserve">, </w:t>
      </w:r>
      <w:r w:rsidR="00D8474D" w:rsidRPr="008142CE">
        <w:t>d.</w:t>
      </w:r>
      <w:r w:rsidR="008142CE" w:rsidRPr="008142CE">
        <w:t> </w:t>
      </w:r>
      <w:r w:rsidR="00D8474D" w:rsidRPr="008142CE">
        <w:t>h.</w:t>
      </w:r>
      <w:r w:rsidR="00D8474D">
        <w:t xml:space="preserve"> es müssen Fragen gestellt und beantwortet werden, wie beispielsweise:</w:t>
      </w:r>
    </w:p>
    <w:p w14:paraId="3A8E1331" w14:textId="505DE416" w:rsidR="00D8474D" w:rsidRDefault="00D8474D" w:rsidP="00D8474D">
      <w:pPr>
        <w:pStyle w:val="Listenabsatz"/>
        <w:numPr>
          <w:ilvl w:val="0"/>
          <w:numId w:val="7"/>
        </w:numPr>
      </w:pPr>
      <w:r>
        <w:t>Welcher Verantwortliche oder Auftragsverarbeiter veranlasst die Drittland-Verarbeitung, ist also der Datenexporteur?</w:t>
      </w:r>
    </w:p>
    <w:p w14:paraId="40697079" w14:textId="3D040A17" w:rsidR="00D8474D" w:rsidRDefault="00D8474D" w:rsidP="00D8474D">
      <w:pPr>
        <w:pStyle w:val="Listenabsatz"/>
        <w:numPr>
          <w:ilvl w:val="0"/>
          <w:numId w:val="7"/>
        </w:numPr>
      </w:pPr>
      <w:r>
        <w:t xml:space="preserve">Wer ist der </w:t>
      </w:r>
      <w:r w:rsidRPr="00D8474D">
        <w:t>Verantwortlichen oder (Unter-)Auftragsverarbeiter</w:t>
      </w:r>
      <w:r>
        <w:t xml:space="preserve"> im Drittland </w:t>
      </w:r>
      <w:r w:rsidRPr="00D8474D">
        <w:t>(Datenimporteur)</w:t>
      </w:r>
      <w:r>
        <w:t>?</w:t>
      </w:r>
    </w:p>
    <w:p w14:paraId="5822AE22" w14:textId="0014C2C0" w:rsidR="00D8474D" w:rsidRDefault="00D8474D" w:rsidP="00D8474D">
      <w:pPr>
        <w:pStyle w:val="Listenabsatz"/>
        <w:numPr>
          <w:ilvl w:val="0"/>
          <w:numId w:val="7"/>
        </w:numPr>
      </w:pPr>
      <w:r>
        <w:t>In welchem Drittland erfolgt die Verarbeitung?</w:t>
      </w:r>
    </w:p>
    <w:p w14:paraId="77E584D2" w14:textId="7AB00D7C" w:rsidR="00D8474D" w:rsidRDefault="002651C3" w:rsidP="00D8474D">
      <w:pPr>
        <w:spacing w:after="0"/>
      </w:pPr>
      <w:r>
        <w:t xml:space="preserve">Anschließend ist </w:t>
      </w:r>
      <w:r w:rsidR="00D8474D">
        <w:t xml:space="preserve">die geplante Verarbeitung </w:t>
      </w:r>
      <w:r>
        <w:t xml:space="preserve">zu beschreiben. Vergleichbar </w:t>
      </w:r>
      <w:r w:rsidR="00D8474D">
        <w:t xml:space="preserve">den Angaben im </w:t>
      </w:r>
      <w:r>
        <w:t xml:space="preserve">Verzeichnis der Verarbeitungstätigkeiten (Art. 30 DS-GVO) </w:t>
      </w:r>
      <w:r w:rsidR="00D8474D">
        <w:t xml:space="preserve">muss </w:t>
      </w:r>
      <w:r w:rsidRPr="00BB2613">
        <w:t>u.</w:t>
      </w:r>
      <w:r w:rsidR="00BB2613" w:rsidRPr="00BB2613">
        <w:t> </w:t>
      </w:r>
      <w:r w:rsidRPr="00BB2613">
        <w:t>a</w:t>
      </w:r>
      <w:r w:rsidR="00D8474D" w:rsidRPr="00BB2613">
        <w:t>.</w:t>
      </w:r>
      <w:r w:rsidR="00D8474D">
        <w:t xml:space="preserve"> beschrieben werden:</w:t>
      </w:r>
    </w:p>
    <w:p w14:paraId="6846575A" w14:textId="60C10CCF" w:rsidR="00D8474D" w:rsidRDefault="00D8474D" w:rsidP="00D8474D">
      <w:pPr>
        <w:pStyle w:val="Listenabsatz"/>
        <w:numPr>
          <w:ilvl w:val="0"/>
          <w:numId w:val="7"/>
        </w:numPr>
      </w:pPr>
      <w:r w:rsidRPr="00D8474D">
        <w:t xml:space="preserve">Kontext und Zweck der </w:t>
      </w:r>
      <w:r>
        <w:t>Verarbeitung in einem Drittland</w:t>
      </w:r>
      <w:r w:rsidR="008142CE">
        <w:t>,</w:t>
      </w:r>
    </w:p>
    <w:p w14:paraId="21A2853C" w14:textId="69155D81" w:rsidR="00D8474D" w:rsidRDefault="00D8474D" w:rsidP="00D8474D">
      <w:pPr>
        <w:pStyle w:val="Listenabsatz"/>
        <w:numPr>
          <w:ilvl w:val="0"/>
          <w:numId w:val="7"/>
        </w:numPr>
      </w:pPr>
      <w:r w:rsidRPr="00D8474D">
        <w:t>Betroffene Personengruppen</w:t>
      </w:r>
      <w:r w:rsidR="008142CE">
        <w:t>,</w:t>
      </w:r>
    </w:p>
    <w:p w14:paraId="72DE10F5" w14:textId="73B104D0" w:rsidR="00D8474D" w:rsidRDefault="00D8474D" w:rsidP="00D8474D">
      <w:pPr>
        <w:pStyle w:val="Listenabsatz"/>
        <w:numPr>
          <w:ilvl w:val="0"/>
          <w:numId w:val="7"/>
        </w:numPr>
      </w:pPr>
      <w:r w:rsidRPr="00D8474D">
        <w:t xml:space="preserve">Kategorien der übermittelten personenbezogenen </w:t>
      </w:r>
      <w:r w:rsidRPr="008142CE">
        <w:t>Daten</w:t>
      </w:r>
      <w:r w:rsidR="008142CE" w:rsidRPr="008142CE">
        <w:t>,</w:t>
      </w:r>
    </w:p>
    <w:p w14:paraId="65BA45F7" w14:textId="34B06579" w:rsidR="00D8474D" w:rsidRDefault="00D8474D" w:rsidP="00D8474D">
      <w:pPr>
        <w:pStyle w:val="Listenabsatz"/>
        <w:numPr>
          <w:ilvl w:val="0"/>
          <w:numId w:val="7"/>
        </w:numPr>
      </w:pPr>
      <w:r>
        <w:t>Rechtsgrundlage der Verarbeitung an sich</w:t>
      </w:r>
      <w:r w:rsidR="008142CE">
        <w:t>.</w:t>
      </w:r>
    </w:p>
    <w:p w14:paraId="3C36267A" w14:textId="6291CB99" w:rsidR="00D8474D" w:rsidRDefault="00D8474D" w:rsidP="00D4239F">
      <w:pPr>
        <w:spacing w:after="0"/>
      </w:pPr>
      <w:r>
        <w:t xml:space="preserve">Entsprechend dem </w:t>
      </w:r>
      <w:r w:rsidRPr="008142CE">
        <w:t>Schrems</w:t>
      </w:r>
      <w:r w:rsidR="008142CE" w:rsidRPr="008142CE">
        <w:t>-</w:t>
      </w:r>
      <w:r w:rsidRPr="008142CE">
        <w:t>II</w:t>
      </w:r>
      <w:r w:rsidR="008142CE" w:rsidRPr="008142CE">
        <w:t>-U</w:t>
      </w:r>
      <w:r w:rsidRPr="008142CE">
        <w:t>rteil</w:t>
      </w:r>
      <w:r>
        <w:t xml:space="preserve"> muss die Rechtslage im Drittland beurteilt werden, </w:t>
      </w:r>
      <w:r w:rsidRPr="008142CE">
        <w:t>d.</w:t>
      </w:r>
      <w:r w:rsidR="008142CE" w:rsidRPr="008142CE">
        <w:t> </w:t>
      </w:r>
      <w:r w:rsidRPr="008142CE">
        <w:t>h.</w:t>
      </w:r>
      <w:r>
        <w:t xml:space="preserve"> ob das im Drittland vorhandene </w:t>
      </w:r>
      <w:r w:rsidR="002651C3">
        <w:t>Datens</w:t>
      </w:r>
      <w:r>
        <w:t>chutzniveau dem in der EU vorhandenen Schutzniveau gleichwertig ist und ob betroffene Personen</w:t>
      </w:r>
      <w:r w:rsidR="00D4239F">
        <w:t xml:space="preserve"> </w:t>
      </w:r>
      <w:r w:rsidR="00D4239F" w:rsidRPr="00D4239F">
        <w:t>durchsetzbare Rechte und wirksame Rechtsbehelfe</w:t>
      </w:r>
      <w:r w:rsidR="00D4239F">
        <w:t xml:space="preserve"> besitzen, welchen den Vorgaben der DS-GVO wie auch der EU-Grundrechtecharta genügen. Zu den </w:t>
      </w:r>
      <w:r w:rsidR="00D4239F" w:rsidRPr="008142CE">
        <w:t>F</w:t>
      </w:r>
      <w:r w:rsidR="008142CE" w:rsidRPr="008142CE">
        <w:t>ra</w:t>
      </w:r>
      <w:r w:rsidR="00D4239F" w:rsidRPr="008142CE">
        <w:t>gen</w:t>
      </w:r>
      <w:r w:rsidR="00D4239F">
        <w:t xml:space="preserve">, die </w:t>
      </w:r>
      <w:r w:rsidR="002651C3">
        <w:t xml:space="preserve">zu </w:t>
      </w:r>
      <w:r w:rsidR="00D4239F">
        <w:t xml:space="preserve">beantworten </w:t>
      </w:r>
      <w:r w:rsidR="002651C3">
        <w:t>sind</w:t>
      </w:r>
      <w:r w:rsidR="00D4239F">
        <w:t>, gehören somit beispielsweise:</w:t>
      </w:r>
    </w:p>
    <w:p w14:paraId="0BBDBE95" w14:textId="5E5865B6" w:rsidR="00D4239F" w:rsidRDefault="00D4239F" w:rsidP="00D4239F">
      <w:pPr>
        <w:pStyle w:val="Listenabsatz"/>
        <w:numPr>
          <w:ilvl w:val="0"/>
          <w:numId w:val="8"/>
        </w:numPr>
      </w:pPr>
      <w:r w:rsidRPr="00D4239F">
        <w:t>Verfügt das Drittland bzw. die Region des Drittlandes über gesetzliche Regelungen, welche dem Datenschutz dienen?</w:t>
      </w:r>
    </w:p>
    <w:p w14:paraId="0042D767" w14:textId="1329764B" w:rsidR="00D4239F" w:rsidRDefault="00D4239F" w:rsidP="00D4239F">
      <w:pPr>
        <w:pStyle w:val="Listenabsatz"/>
        <w:numPr>
          <w:ilvl w:val="0"/>
          <w:numId w:val="8"/>
        </w:numPr>
      </w:pPr>
      <w:r w:rsidRPr="00D4239F">
        <w:t>Gelten die Regelungen gleichermaßen für Bürger oder Einwohner des Drittlandes wie auch für Personen, welche keine Bürger oder Einwohner des Drittlandes sind?</w:t>
      </w:r>
    </w:p>
    <w:p w14:paraId="3EDB68FF" w14:textId="77777777" w:rsidR="00D4239F" w:rsidRDefault="00D4239F" w:rsidP="00D4239F">
      <w:pPr>
        <w:pStyle w:val="Listenabsatz"/>
        <w:numPr>
          <w:ilvl w:val="0"/>
          <w:numId w:val="8"/>
        </w:numPr>
      </w:pPr>
      <w:r>
        <w:t>Unterliegt der Datenimporteur diesen Gesetzen?</w:t>
      </w:r>
    </w:p>
    <w:p w14:paraId="38ABE799" w14:textId="7FF8C7E7" w:rsidR="00D4239F" w:rsidRDefault="00D4239F" w:rsidP="00D4239F">
      <w:pPr>
        <w:pStyle w:val="Listenabsatz"/>
        <w:numPr>
          <w:ilvl w:val="0"/>
          <w:numId w:val="8"/>
        </w:numPr>
      </w:pPr>
      <w:r>
        <w:t>Schützen diese Regelungen auch die von der Drittland-Verarbeitung betroffenen Daten des Datenexporteurs?</w:t>
      </w:r>
    </w:p>
    <w:p w14:paraId="0619DA24" w14:textId="68384DB9" w:rsidR="00D4239F" w:rsidRDefault="00D4239F" w:rsidP="00D4239F">
      <w:pPr>
        <w:pStyle w:val="Listenabsatz"/>
        <w:numPr>
          <w:ilvl w:val="0"/>
          <w:numId w:val="8"/>
        </w:numPr>
      </w:pPr>
      <w:r w:rsidRPr="00D4239F">
        <w:t>Gewähren diese Regelungen den von der Drittland-Verarbeitung betroffenen Personen durchsetzbaren Rechte und wirksamen Rechtsbehelfe, sodass im Drittland ein Schutzniveau vorhanden, welches dem in der Union durch die DS-GVO im Licht der Charta garantierten Niveau der Sache nach gleichwertig ist?</w:t>
      </w:r>
    </w:p>
    <w:p w14:paraId="530AA333" w14:textId="7F3DA56F" w:rsidR="00D4239F" w:rsidRDefault="00D4239F" w:rsidP="00D4239F">
      <w:pPr>
        <w:pStyle w:val="Listenabsatz"/>
        <w:numPr>
          <w:ilvl w:val="0"/>
          <w:numId w:val="8"/>
        </w:numPr>
      </w:pPr>
      <w:r w:rsidRPr="00D4239F">
        <w:t>Existieren im Drittland Gesetze oder Praktiken, welche den Datenimporteur zwingen können, Dritten wie Behörden Zugang zu den Daten gewähren zu müssen?</w:t>
      </w:r>
    </w:p>
    <w:p w14:paraId="3886CC39" w14:textId="023A8EB5" w:rsidR="00D4239F" w:rsidRDefault="004140DF" w:rsidP="00D4239F">
      <w:pPr>
        <w:spacing w:after="0"/>
      </w:pPr>
      <w:r>
        <w:lastRenderedPageBreak/>
        <w:t>Art. </w:t>
      </w:r>
      <w:r w:rsidR="00D4239F" w:rsidRPr="00D4239F">
        <w:t>44 DS-GVO</w:t>
      </w:r>
      <w:r w:rsidR="00D4239F">
        <w:t xml:space="preserve"> verlangt, dass alle Vorgaben der DS-GVO eingehalten werden, somit insbesondere auch die in </w:t>
      </w:r>
      <w:r>
        <w:t>Art. </w:t>
      </w:r>
      <w:r w:rsidR="00D4239F">
        <w:t>32 DS-GVO geforderte risikobasierte Betrachtung hinsichtlich der Schutzmaßnahmen. Somit muss auch das Risiko, welches für die betroffene Person aus einer Drittland</w:t>
      </w:r>
      <w:r w:rsidR="002651C3">
        <w:t>v</w:t>
      </w:r>
      <w:r w:rsidR="00D4239F">
        <w:t xml:space="preserve">erarbeitung erwachsen könnte, betrachtet werden. Hier ist natürlich auch zu betrachten, ob die in </w:t>
      </w:r>
      <w:r w:rsidR="00C61E75">
        <w:t>Kap. </w:t>
      </w:r>
      <w:r w:rsidR="00D4239F">
        <w:t>III DS-GVO enthaltenen Rechte der betroffenen Personen gewahrt werden, insbesondere, ob betroffene Personen über die Absicht der Drittland</w:t>
      </w:r>
      <w:r w:rsidR="002651C3">
        <w:t>v</w:t>
      </w:r>
      <w:r w:rsidR="00D4239F">
        <w:t xml:space="preserve">erarbeitung informiert sind. Weiterhin ist das Schutzniveau der Daten zu bewerten. Hierzu gehören </w:t>
      </w:r>
      <w:r w:rsidR="002651C3">
        <w:t xml:space="preserve">insbesondere </w:t>
      </w:r>
      <w:r w:rsidR="00D4239F">
        <w:t>Informationen</w:t>
      </w:r>
      <w:r w:rsidR="008142CE" w:rsidRPr="008142CE">
        <w:t>:</w:t>
      </w:r>
    </w:p>
    <w:p w14:paraId="1809EB05" w14:textId="77777777" w:rsidR="00D4239F" w:rsidRDefault="00D4239F" w:rsidP="00D4239F">
      <w:pPr>
        <w:pStyle w:val="Listenabsatz"/>
        <w:numPr>
          <w:ilvl w:val="0"/>
          <w:numId w:val="9"/>
        </w:numPr>
      </w:pPr>
      <w:r>
        <w:t>Sind Daten von Kindern von der Verarbeitung im Drittland betroffen?</w:t>
      </w:r>
    </w:p>
    <w:p w14:paraId="4F89DAE9" w14:textId="6A972CB8" w:rsidR="00D4239F" w:rsidRDefault="00D4239F" w:rsidP="00D4239F">
      <w:pPr>
        <w:pStyle w:val="Listenabsatz"/>
        <w:numPr>
          <w:ilvl w:val="0"/>
          <w:numId w:val="9"/>
        </w:numPr>
      </w:pPr>
      <w:r>
        <w:t>Sind Daten von schutzbedürftigen Erwachsenen wie z.B. Erwachsenen unter Betreuungsvorgaben oder psychisch erkrankten Personen von der Verarbeitung im Drittland betroffen?</w:t>
      </w:r>
    </w:p>
    <w:p w14:paraId="44C0DCC1" w14:textId="3077E4F4" w:rsidR="00D4239F" w:rsidRDefault="00D4239F" w:rsidP="00D4239F">
      <w:pPr>
        <w:pStyle w:val="Listenabsatz"/>
        <w:numPr>
          <w:ilvl w:val="0"/>
          <w:numId w:val="9"/>
        </w:numPr>
      </w:pPr>
      <w:r>
        <w:t xml:space="preserve">Sind in </w:t>
      </w:r>
      <w:r w:rsidR="004140DF">
        <w:t>Art. </w:t>
      </w:r>
      <w:r>
        <w:t xml:space="preserve">9 </w:t>
      </w:r>
      <w:r w:rsidR="004140DF">
        <w:t>Abs. </w:t>
      </w:r>
      <w:r>
        <w:t>1 DS-GVO genannte Daten von der Verarbeitung betroffen?</w:t>
      </w:r>
    </w:p>
    <w:p w14:paraId="1A9A0428" w14:textId="39166E93" w:rsidR="00D4239F" w:rsidRDefault="00D4239F" w:rsidP="00D4239F">
      <w:pPr>
        <w:pStyle w:val="Listenabsatz"/>
        <w:numPr>
          <w:ilvl w:val="0"/>
          <w:numId w:val="9"/>
        </w:numPr>
      </w:pPr>
      <w:r>
        <w:t xml:space="preserve">Sind besonders geschützte Daten wie beispielsweise </w:t>
      </w:r>
      <w:r w:rsidR="004140DF">
        <w:t>§ </w:t>
      </w:r>
      <w:r>
        <w:t>203 StGB unterliegende Daten von der Verarbeitung betroffen?</w:t>
      </w:r>
    </w:p>
    <w:p w14:paraId="1CD487AA" w14:textId="17EA1015" w:rsidR="00D4239F" w:rsidRDefault="00D4239F" w:rsidP="00D4239F">
      <w:pPr>
        <w:pStyle w:val="Listenabsatz"/>
        <w:numPr>
          <w:ilvl w:val="0"/>
          <w:numId w:val="9"/>
        </w:numPr>
      </w:pPr>
      <w:r>
        <w:t>Erhöht sich durch die Verarbeitung im Drittland das Risiko einer Verletzung der Rechte der Betroffenen im Drittland?</w:t>
      </w:r>
    </w:p>
    <w:p w14:paraId="0977AEBA" w14:textId="768B4695" w:rsidR="00D4239F" w:rsidRDefault="00D4239F" w:rsidP="00D4239F">
      <w:pPr>
        <w:pStyle w:val="Listenabsatz"/>
        <w:numPr>
          <w:ilvl w:val="0"/>
          <w:numId w:val="9"/>
        </w:numPr>
      </w:pPr>
      <w:r>
        <w:t xml:space="preserve">Werden Risiken durch entsprechende technisch-organisatorische Maßnahmen eliminiert oder soweit </w:t>
      </w:r>
      <w:r w:rsidR="002651C3">
        <w:t>reduziert</w:t>
      </w:r>
      <w:r>
        <w:t xml:space="preserve">, dass </w:t>
      </w:r>
      <w:r w:rsidR="007D09EC">
        <w:t>die Restrisiken</w:t>
      </w:r>
      <w:r>
        <w:t xml:space="preserve"> aus Sicht der betroffenen Person akzeptabel sind</w:t>
      </w:r>
      <w:r w:rsidR="00A7469C">
        <w:t xml:space="preserve">, d. h. die </w:t>
      </w:r>
      <w:r w:rsidR="002651C3">
        <w:t xml:space="preserve">Rechte der </w:t>
      </w:r>
      <w:r w:rsidR="00A7469C">
        <w:t>b</w:t>
      </w:r>
      <w:r w:rsidR="002651C3">
        <w:t xml:space="preserve">etroffenen </w:t>
      </w:r>
      <w:r w:rsidR="00A7469C">
        <w:t xml:space="preserve">Personen </w:t>
      </w:r>
      <w:r w:rsidR="002651C3">
        <w:t>und den Schutz der personenbezogenen Daten nicht einschränken</w:t>
      </w:r>
      <w:r>
        <w:t>?</w:t>
      </w:r>
    </w:p>
    <w:p w14:paraId="2C8C054D" w14:textId="0A272E8D" w:rsidR="00D4239F" w:rsidRDefault="00D4239F" w:rsidP="004A0D58">
      <w:r>
        <w:t xml:space="preserve">Entsprechend dem </w:t>
      </w:r>
      <w:r w:rsidRPr="008142CE">
        <w:t>Schrems</w:t>
      </w:r>
      <w:r w:rsidR="008142CE" w:rsidRPr="008142CE">
        <w:t>-</w:t>
      </w:r>
      <w:r w:rsidRPr="008142CE">
        <w:t>II</w:t>
      </w:r>
      <w:r w:rsidR="008142CE" w:rsidRPr="008142CE">
        <w:t>-</w:t>
      </w:r>
      <w:r w:rsidRPr="008142CE">
        <w:t>Urteil</w:t>
      </w:r>
      <w:r>
        <w:t xml:space="preserve"> muss auch die Möglichkeit von staatlichen Zugriffen bei einer Verarbeitung in einem Drittland oder durch internationale Organisationen betrachtet werden. Entsprechend dem Urteil des EuGH reicht die Möglichkeit eines staatlichen Zugriffs aus. Diverse Autoren befürworten, dass </w:t>
      </w:r>
      <w:r w:rsidR="00A7469C">
        <w:t>bei</w:t>
      </w:r>
      <w:r>
        <w:t xml:space="preserve"> einem geringen Risiko eines staatlichen Zugriffs diese</w:t>
      </w:r>
      <w:r w:rsidR="007D09EC">
        <w:t>s Risiko</w:t>
      </w:r>
      <w:r>
        <w:t xml:space="preserve"> kein Hindernis für eine Drittland</w:t>
      </w:r>
      <w:r w:rsidR="002651C3">
        <w:t>v</w:t>
      </w:r>
      <w:r>
        <w:t>erarbeitung darstellen sollte</w:t>
      </w:r>
      <w:r w:rsidR="00497D2D">
        <w:t>.</w:t>
      </w:r>
      <w:r w:rsidR="00535911">
        <w:rPr>
          <w:rStyle w:val="Funotenzeichen"/>
        </w:rPr>
        <w:footnoteReference w:id="16"/>
      </w:r>
      <w:r>
        <w:t xml:space="preserve"> Letzt</w:t>
      </w:r>
      <w:r w:rsidR="002651C3">
        <w:t>end</w:t>
      </w:r>
      <w:r>
        <w:t xml:space="preserve">lich muss jeder Verantwortliche </w:t>
      </w:r>
      <w:r w:rsidR="002651C3">
        <w:t xml:space="preserve">für seine Verarbeitung selbst </w:t>
      </w:r>
      <w:r>
        <w:t>entscheiden (und dies auch bei seinen Genehmigungen von Drittland</w:t>
      </w:r>
      <w:r w:rsidR="002651C3">
        <w:t>v</w:t>
      </w:r>
      <w:r>
        <w:t>erarbeitungen durch Auftragsverarbeiter berücksichtigen), wie er mit den Vorgaben des EuGH umgeht</w:t>
      </w:r>
      <w:r w:rsidRPr="00F34948">
        <w:t>.</w:t>
      </w:r>
      <w:r w:rsidR="00497D2D" w:rsidRPr="00F34948">
        <w:rPr>
          <w:rStyle w:val="Funotenzeichen"/>
        </w:rPr>
        <w:footnoteReference w:id="17"/>
      </w:r>
    </w:p>
    <w:p w14:paraId="6C07FDC2" w14:textId="534E378D" w:rsidR="00D4239F" w:rsidRDefault="00D4239F" w:rsidP="008142CE">
      <w:pPr>
        <w:spacing w:after="0"/>
      </w:pPr>
      <w:r>
        <w:t xml:space="preserve">Letztlich gehört zu einer abschließenden </w:t>
      </w:r>
      <w:r w:rsidRPr="008142CE">
        <w:t>Bewertung</w:t>
      </w:r>
      <w:r w:rsidR="008142CE" w:rsidRPr="008142CE">
        <w:t xml:space="preserve"> insbesondere:</w:t>
      </w:r>
    </w:p>
    <w:p w14:paraId="198D1FFD" w14:textId="4849AEC6" w:rsidR="00D4239F" w:rsidRDefault="00D4239F" w:rsidP="00D4239F">
      <w:pPr>
        <w:pStyle w:val="Listenabsatz"/>
        <w:numPr>
          <w:ilvl w:val="0"/>
          <w:numId w:val="10"/>
        </w:numPr>
      </w:pPr>
      <w:r>
        <w:t xml:space="preserve">Die Bewertung, ob durchsetzbaren Rechte und wirksamen Rechtsbehelfe i.S.v. </w:t>
      </w:r>
      <w:r w:rsidR="004140DF">
        <w:t>Art. </w:t>
      </w:r>
      <w:r>
        <w:t>47 der Charta der Grundrechte der EU im Drittland existieren.</w:t>
      </w:r>
    </w:p>
    <w:p w14:paraId="0324B885" w14:textId="790E6859" w:rsidR="00D4239F" w:rsidRDefault="00D4239F" w:rsidP="00D4239F">
      <w:pPr>
        <w:pStyle w:val="Listenabsatz"/>
        <w:numPr>
          <w:ilvl w:val="0"/>
          <w:numId w:val="10"/>
        </w:numPr>
      </w:pPr>
      <w:r>
        <w:t>Die Beurteilung, ob bei der Verarbeitung im Drittland alle Vorgaben der DS-GVO eingehalten werden und insbesondere die Rechte betroffener Personen gewährleistet sind.</w:t>
      </w:r>
    </w:p>
    <w:p w14:paraId="6525BD28" w14:textId="48EE905A" w:rsidR="00D4239F" w:rsidRDefault="00D4239F" w:rsidP="00D4239F">
      <w:pPr>
        <w:pStyle w:val="Listenabsatz"/>
        <w:numPr>
          <w:ilvl w:val="0"/>
          <w:numId w:val="10"/>
        </w:numPr>
      </w:pPr>
      <w:r>
        <w:t xml:space="preserve">Die Darstellung und Bewertung des </w:t>
      </w:r>
      <w:r w:rsidRPr="00D4239F">
        <w:t>Risiko</w:t>
      </w:r>
      <w:r>
        <w:t>s</w:t>
      </w:r>
      <w:r w:rsidRPr="00D4239F">
        <w:t xml:space="preserve"> für die betroffenen Personen</w:t>
      </w:r>
      <w:r>
        <w:t>.</w:t>
      </w:r>
    </w:p>
    <w:p w14:paraId="18BD8686" w14:textId="624129EA" w:rsidR="00D4239F" w:rsidRDefault="00D4239F" w:rsidP="00D4239F">
      <w:pPr>
        <w:pStyle w:val="Listenabsatz"/>
        <w:numPr>
          <w:ilvl w:val="0"/>
          <w:numId w:val="10"/>
        </w:numPr>
      </w:pPr>
      <w:r>
        <w:t>Die Wahrscheinlichkeit staatlicher Zugriffe (wenn man nicht schon die alleinige Möglichkeit als Ausschlusskriterium nimmt).</w:t>
      </w:r>
    </w:p>
    <w:p w14:paraId="2E214A4F" w14:textId="38C61F6F" w:rsidR="00D4239F" w:rsidRDefault="00D4239F" w:rsidP="00D4239F">
      <w:pPr>
        <w:pStyle w:val="Listenabsatz"/>
        <w:numPr>
          <w:ilvl w:val="0"/>
          <w:numId w:val="10"/>
        </w:numPr>
      </w:pPr>
      <w:r>
        <w:t>Die Freigabe durch eine zeichnungsberechtigte Person des Datenexporteurs.</w:t>
      </w:r>
    </w:p>
    <w:p w14:paraId="7C6E7D93" w14:textId="6380687E" w:rsidR="00535911" w:rsidRDefault="00535911" w:rsidP="004140DF">
      <w:pPr>
        <w:pStyle w:val="berschrift1"/>
      </w:pPr>
      <w:bookmarkStart w:id="97" w:name="_Toc132204341"/>
      <w:r>
        <w:lastRenderedPageBreak/>
        <w:t>Excel-Tool</w:t>
      </w:r>
      <w:r w:rsidR="004140DF">
        <w:t xml:space="preserve"> zur Durchführung einer TIA</w:t>
      </w:r>
      <w:bookmarkEnd w:id="97"/>
    </w:p>
    <w:p w14:paraId="23B0BDF7" w14:textId="4CBC484F" w:rsidR="00D4239F" w:rsidRDefault="00D4239F" w:rsidP="00D4239F">
      <w:r>
        <w:t xml:space="preserve">Es wurde eine Excel-Tabelle als Vorlage für eine TIA entworfen sowie in einer separaten Tabelle beispielhaft eine TIA für die fiktive Verarbeitung von Patientendaten durch einen amerikanischen Dienstleister durchgeführt. Beide Tabellen sind unter einer </w:t>
      </w:r>
      <w:r w:rsidRPr="00BB2613">
        <w:t>Creative</w:t>
      </w:r>
      <w:r>
        <w:t xml:space="preserve"> Commons Lizenz</w:t>
      </w:r>
      <w:r>
        <w:rPr>
          <w:rStyle w:val="Funotenzeichen"/>
        </w:rPr>
        <w:footnoteReference w:id="18"/>
      </w:r>
      <w:r>
        <w:t xml:space="preserve"> frei verfügbar. Obwohl die Tabellen nach bestem Wissen und Gewissen erstellt wurden, kann für die Richtigkeit der Tabellen nicht garantiert, eine Haftung nicht übernommen werden. Wer trotzdem die Tabellen nutzen möchte, findet diese unter</w:t>
      </w:r>
      <w:r w:rsidR="00FD1B1E">
        <w:rPr>
          <w:rStyle w:val="Hyperlink"/>
        </w:rPr>
        <w:t xml:space="preserve"> </w:t>
      </w:r>
      <w:hyperlink r:id="rId15" w:history="1">
        <w:r w:rsidR="00FD1B1E" w:rsidRPr="00FD1B1E">
          <w:rPr>
            <w:rStyle w:val="Hyperlink"/>
          </w:rPr>
          <w:t>https://gesundheitsdatenschutz.org/html/tia</w:t>
        </w:r>
        <w:r w:rsidR="00FD1B1E" w:rsidRPr="00BB2613">
          <w:rPr>
            <w:rStyle w:val="Hyperlink"/>
          </w:rPr>
          <w:t>.php</w:t>
        </w:r>
      </w:hyperlink>
      <w:r>
        <w:t xml:space="preserve">. Über Hinweise und Verbesserungsvorschläge </w:t>
      </w:r>
      <w:r w:rsidR="00E807AB">
        <w:t xml:space="preserve">bzgl. Aufbau, Struktur und Nutzbarkeit der Excel-Tabelle </w:t>
      </w:r>
      <w:r>
        <w:t>ist der Autor dankbar.</w:t>
      </w:r>
    </w:p>
    <w:p w14:paraId="7C296C65" w14:textId="7CCF4E9C" w:rsidR="000D6C60" w:rsidRDefault="000D6C60" w:rsidP="000D6C60">
      <w:pPr>
        <w:spacing w:after="0"/>
      </w:pPr>
      <w:r>
        <w:t>Die Excel-Tabelle besteht aus mehreren Tabellenblättern:</w:t>
      </w:r>
    </w:p>
    <w:p w14:paraId="0EB3AB8C" w14:textId="39A91F6B" w:rsidR="000D6C60" w:rsidRPr="00A7469C" w:rsidRDefault="000D6C60" w:rsidP="000D6C60">
      <w:pPr>
        <w:pStyle w:val="Listenabsatz"/>
        <w:numPr>
          <w:ilvl w:val="0"/>
          <w:numId w:val="13"/>
        </w:numPr>
        <w:rPr>
          <w:b/>
          <w:bCs/>
        </w:rPr>
      </w:pPr>
      <w:r w:rsidRPr="00A7469C">
        <w:rPr>
          <w:b/>
          <w:bCs/>
        </w:rPr>
        <w:t>Tabellenblatt „</w:t>
      </w:r>
      <w:r w:rsidRPr="00BB2613">
        <w:rPr>
          <w:b/>
          <w:bCs/>
        </w:rPr>
        <w:t>Einführung</w:t>
      </w:r>
      <w:r w:rsidRPr="00A7469C">
        <w:rPr>
          <w:b/>
          <w:bCs/>
        </w:rPr>
        <w:t>“</w:t>
      </w:r>
    </w:p>
    <w:p w14:paraId="2E646E9C" w14:textId="0680249D" w:rsidR="000D6C60" w:rsidRDefault="000D6C60" w:rsidP="000D6C60">
      <w:pPr>
        <w:pStyle w:val="Listenabsatz"/>
      </w:pPr>
      <w:r w:rsidRPr="000D6C60">
        <w:t xml:space="preserve">Dieses Tabellenblatt enthält eine kurze Einführung in die TIA-Thematik, </w:t>
      </w:r>
      <w:r>
        <w:t xml:space="preserve">ähnlich diesem </w:t>
      </w:r>
      <w:r w:rsidRPr="00BB2613">
        <w:t>Text</w:t>
      </w:r>
    </w:p>
    <w:p w14:paraId="2AA77EDD" w14:textId="7E059362" w:rsidR="000D6C60" w:rsidRPr="00A7469C" w:rsidRDefault="000D6C60" w:rsidP="000D6C60">
      <w:pPr>
        <w:pStyle w:val="Listenabsatz"/>
        <w:numPr>
          <w:ilvl w:val="0"/>
          <w:numId w:val="13"/>
        </w:numPr>
        <w:rPr>
          <w:b/>
          <w:bCs/>
        </w:rPr>
      </w:pPr>
      <w:r w:rsidRPr="00A7469C">
        <w:rPr>
          <w:b/>
          <w:bCs/>
        </w:rPr>
        <w:t>Tabellenblatt „Adm. Angaben“</w:t>
      </w:r>
    </w:p>
    <w:p w14:paraId="2CF7AF3F" w14:textId="3E09EDBF" w:rsidR="000D6C60" w:rsidRDefault="000D6C60" w:rsidP="000D6C60">
      <w:pPr>
        <w:pStyle w:val="Listenabsatz"/>
      </w:pPr>
      <w:r>
        <w:t>In diesem Tabellenblatt werden die administrativen Daten zur geplanten Verarbeitung in einem Drittland eingetragen, z.</w:t>
      </w:r>
      <w:r w:rsidR="004140DF">
        <w:t> </w:t>
      </w:r>
      <w:r>
        <w:t>B.:</w:t>
      </w:r>
    </w:p>
    <w:p w14:paraId="350ACED1" w14:textId="1EE30D3F" w:rsidR="000D6C60" w:rsidRDefault="000D6C60" w:rsidP="000D6C60">
      <w:pPr>
        <w:pStyle w:val="Listenabsatz"/>
        <w:numPr>
          <w:ilvl w:val="1"/>
          <w:numId w:val="13"/>
        </w:numPr>
      </w:pPr>
      <w:r>
        <w:t>Wer führt Daten aus welchem Land zu wem in welches Land aus?</w:t>
      </w:r>
    </w:p>
    <w:p w14:paraId="7AACF3FA" w14:textId="527C8391" w:rsidR="000D6C60" w:rsidRDefault="000D6C60" w:rsidP="000D6C60">
      <w:pPr>
        <w:pStyle w:val="Listenabsatz"/>
        <w:numPr>
          <w:ilvl w:val="1"/>
          <w:numId w:val="13"/>
        </w:numPr>
      </w:pPr>
      <w:r>
        <w:t>Wer erstellte wann die TIA?</w:t>
      </w:r>
    </w:p>
    <w:p w14:paraId="196A7BFB" w14:textId="75FCD54A" w:rsidR="000D6C60" w:rsidRDefault="00A7469C" w:rsidP="000D6C60">
      <w:pPr>
        <w:pStyle w:val="Listenabsatz"/>
        <w:numPr>
          <w:ilvl w:val="1"/>
          <w:numId w:val="13"/>
        </w:numPr>
      </w:pPr>
      <w:r>
        <w:t>U</w:t>
      </w:r>
      <w:r w:rsidR="000D6C60">
        <w:t>sw.</w:t>
      </w:r>
    </w:p>
    <w:p w14:paraId="0C1CDB7B" w14:textId="24CE3B81" w:rsidR="000D6C60" w:rsidRPr="00A7469C" w:rsidRDefault="000D6C60" w:rsidP="000D6C60">
      <w:pPr>
        <w:pStyle w:val="Listenabsatz"/>
        <w:numPr>
          <w:ilvl w:val="0"/>
          <w:numId w:val="13"/>
        </w:numPr>
        <w:rPr>
          <w:b/>
          <w:bCs/>
        </w:rPr>
      </w:pPr>
      <w:r w:rsidRPr="00A7469C">
        <w:rPr>
          <w:b/>
          <w:bCs/>
        </w:rPr>
        <w:t>Tabellenblatt „Geplante Verarbeitung“</w:t>
      </w:r>
    </w:p>
    <w:p w14:paraId="5CBFD3DA" w14:textId="4D6ED701" w:rsidR="000D6C60" w:rsidRDefault="000D6C60" w:rsidP="000D6C60">
      <w:pPr>
        <w:pStyle w:val="Listenabsatz"/>
      </w:pPr>
      <w:r>
        <w:t>Hier erfolgt eine kurze Beschreibung,</w:t>
      </w:r>
    </w:p>
    <w:p w14:paraId="462F3267" w14:textId="69F9443F" w:rsidR="000D6C60" w:rsidRDefault="000D6C60" w:rsidP="000D6C60">
      <w:pPr>
        <w:pStyle w:val="Listenabsatz"/>
        <w:numPr>
          <w:ilvl w:val="1"/>
          <w:numId w:val="13"/>
        </w:numPr>
      </w:pPr>
      <w:r w:rsidRPr="00BB2613">
        <w:t>um</w:t>
      </w:r>
      <w:r>
        <w:t xml:space="preserve"> welche Verarbeitung es sich handelt,</w:t>
      </w:r>
    </w:p>
    <w:p w14:paraId="1BAD7BF4" w14:textId="08073054" w:rsidR="000D6C60" w:rsidRDefault="000D6C60" w:rsidP="000D6C60">
      <w:pPr>
        <w:pStyle w:val="Listenabsatz"/>
        <w:numPr>
          <w:ilvl w:val="1"/>
          <w:numId w:val="13"/>
        </w:numPr>
      </w:pPr>
      <w:r w:rsidRPr="00BB2613">
        <w:t>welche</w:t>
      </w:r>
      <w:r>
        <w:t xml:space="preserve"> Personengruppen von der Verarbeitung betroffen sind,</w:t>
      </w:r>
    </w:p>
    <w:p w14:paraId="6978EDA5" w14:textId="1CCBCD4C" w:rsidR="000D6C60" w:rsidRDefault="000D6C60" w:rsidP="000D6C60">
      <w:pPr>
        <w:pStyle w:val="Listenabsatz"/>
        <w:numPr>
          <w:ilvl w:val="1"/>
          <w:numId w:val="13"/>
        </w:numPr>
      </w:pPr>
      <w:r w:rsidRPr="00BB2613">
        <w:t>welche</w:t>
      </w:r>
      <w:r>
        <w:t xml:space="preserve"> Datenkategorien verarbeitet werden sollen,</w:t>
      </w:r>
    </w:p>
    <w:p w14:paraId="4A5B4BB5" w14:textId="1F8D8109" w:rsidR="000D6C60" w:rsidRDefault="000D6C60" w:rsidP="000D6C60">
      <w:pPr>
        <w:pStyle w:val="Listenabsatz"/>
        <w:numPr>
          <w:ilvl w:val="1"/>
          <w:numId w:val="13"/>
        </w:numPr>
      </w:pPr>
      <w:r w:rsidRPr="00BB2613">
        <w:t>usw</w:t>
      </w:r>
      <w:r>
        <w:t>.</w:t>
      </w:r>
    </w:p>
    <w:p w14:paraId="0D83FB66" w14:textId="0D8E4E29" w:rsidR="000D6C60" w:rsidRPr="00A7469C" w:rsidRDefault="000D6C60" w:rsidP="000D6C60">
      <w:pPr>
        <w:pStyle w:val="Listenabsatz"/>
        <w:numPr>
          <w:ilvl w:val="0"/>
          <w:numId w:val="13"/>
        </w:numPr>
        <w:rPr>
          <w:b/>
          <w:bCs/>
        </w:rPr>
      </w:pPr>
      <w:r w:rsidRPr="00A7469C">
        <w:rPr>
          <w:b/>
          <w:bCs/>
        </w:rPr>
        <w:t>Tabellenblatt „Relevante Gesetze im Drittland“</w:t>
      </w:r>
    </w:p>
    <w:p w14:paraId="30727394" w14:textId="3F952AD0" w:rsidR="000D6C60" w:rsidRDefault="000D6C60" w:rsidP="000D6C60">
      <w:pPr>
        <w:pStyle w:val="Listenabsatz"/>
      </w:pPr>
      <w:r w:rsidRPr="000D6C60">
        <w:t xml:space="preserve">Hier werden die im Drittland für die Verarbeitung relevanten Gesetze kurz dargestellt. </w:t>
      </w:r>
      <w:r>
        <w:t xml:space="preserve">Entsprechend den Vorgaben des EuGH folgend </w:t>
      </w:r>
      <w:r w:rsidR="004140DF">
        <w:t xml:space="preserve">gehört dazu </w:t>
      </w:r>
      <w:r>
        <w:t>auch</w:t>
      </w:r>
      <w:r w:rsidRPr="000D6C60">
        <w:t>, welche Gesetze staatlichen Akteuren ggf. Zugriff auf die personenbezogenen Daten gewähren könnten</w:t>
      </w:r>
      <w:r>
        <w:t>.</w:t>
      </w:r>
    </w:p>
    <w:p w14:paraId="34AFEDD4" w14:textId="01B7B173" w:rsidR="000D6C60" w:rsidRPr="00A7469C" w:rsidRDefault="000D6C60" w:rsidP="000D6C60">
      <w:pPr>
        <w:pStyle w:val="Listenabsatz"/>
        <w:numPr>
          <w:ilvl w:val="0"/>
          <w:numId w:val="13"/>
        </w:numPr>
        <w:rPr>
          <w:b/>
          <w:bCs/>
        </w:rPr>
      </w:pPr>
      <w:r w:rsidRPr="00A7469C">
        <w:rPr>
          <w:b/>
          <w:bCs/>
        </w:rPr>
        <w:t>Tabellenblatt „</w:t>
      </w:r>
      <w:r w:rsidRPr="00BB2613">
        <w:rPr>
          <w:b/>
          <w:bCs/>
        </w:rPr>
        <w:t>Bew.Drittland-Ges.</w:t>
      </w:r>
      <w:r w:rsidRPr="00A7469C">
        <w:rPr>
          <w:b/>
          <w:bCs/>
        </w:rPr>
        <w:t>“</w:t>
      </w:r>
    </w:p>
    <w:p w14:paraId="3C708C62" w14:textId="1546ECEB" w:rsidR="000D6C60" w:rsidRDefault="000D6C60" w:rsidP="000D6C60">
      <w:pPr>
        <w:pStyle w:val="Listenabsatz"/>
      </w:pPr>
      <w:r w:rsidRPr="000D6C60">
        <w:t xml:space="preserve">Hier erfolgt eine Bewertung, ob die Gesetze im Drittland die von der geplanten </w:t>
      </w:r>
      <w:r w:rsidRPr="00BB2613">
        <w:t>Drittland-</w:t>
      </w:r>
      <w:r w:rsidR="00984D67" w:rsidRPr="00BB2613">
        <w:t>v</w:t>
      </w:r>
      <w:r w:rsidRPr="00BB2613">
        <w:t>erarbeitung</w:t>
      </w:r>
      <w:r w:rsidRPr="000D6C60">
        <w:t xml:space="preserve"> betroffenen Daten bzw. die Rechte der von der Drittland</w:t>
      </w:r>
      <w:r w:rsidR="00984D67">
        <w:t>v</w:t>
      </w:r>
      <w:r w:rsidRPr="000D6C60">
        <w:t xml:space="preserve">erarbeitung betroffenen Personen </w:t>
      </w:r>
      <w:r>
        <w:t xml:space="preserve">in gleicher Weise </w:t>
      </w:r>
      <w:r w:rsidRPr="000D6C60">
        <w:t>schützen</w:t>
      </w:r>
      <w:r>
        <w:t>, wie es bei einer Verarbeitung in der EU bzw. EWR der Fall wäre.</w:t>
      </w:r>
    </w:p>
    <w:p w14:paraId="4BF83058" w14:textId="77777777" w:rsidR="000D6C60" w:rsidRPr="00A7469C" w:rsidRDefault="000D6C60" w:rsidP="000D6C60">
      <w:pPr>
        <w:pStyle w:val="Listenabsatz"/>
        <w:numPr>
          <w:ilvl w:val="0"/>
          <w:numId w:val="13"/>
        </w:numPr>
        <w:rPr>
          <w:b/>
          <w:bCs/>
        </w:rPr>
      </w:pPr>
      <w:r w:rsidRPr="00A7469C">
        <w:rPr>
          <w:b/>
          <w:bCs/>
        </w:rPr>
        <w:t>Tabellenblatt „Risiko</w:t>
      </w:r>
      <w:r w:rsidRPr="00BB2613">
        <w:rPr>
          <w:b/>
          <w:bCs/>
        </w:rPr>
        <w:t>,betr.-Person</w:t>
      </w:r>
      <w:r w:rsidRPr="00A7469C">
        <w:rPr>
          <w:b/>
          <w:bCs/>
        </w:rPr>
        <w:t>“</w:t>
      </w:r>
    </w:p>
    <w:p w14:paraId="1D883513" w14:textId="4199B22A" w:rsidR="000D6C60" w:rsidRDefault="000D6C60" w:rsidP="000D6C60">
      <w:pPr>
        <w:pStyle w:val="Listenabsatz"/>
      </w:pPr>
      <w:r>
        <w:t>In diesem Tabellenblatt wird betrachtet, w</w:t>
      </w:r>
      <w:r w:rsidRPr="000D6C60">
        <w:t xml:space="preserve">elches Risiko die </w:t>
      </w:r>
      <w:r>
        <w:t xml:space="preserve">geplante </w:t>
      </w:r>
      <w:r w:rsidRPr="000D6C60">
        <w:t>Verarbeitung i</w:t>
      </w:r>
      <w:r>
        <w:t xml:space="preserve">m betrachteten </w:t>
      </w:r>
      <w:r w:rsidRPr="000D6C60">
        <w:t>Drittland grundsätzlich für eine betroffene Person dar</w:t>
      </w:r>
      <w:r>
        <w:t>stellt.</w:t>
      </w:r>
    </w:p>
    <w:p w14:paraId="15BEF00A" w14:textId="77777777" w:rsidR="000D6C60" w:rsidRPr="00A7469C" w:rsidRDefault="000D6C60" w:rsidP="000D6C60">
      <w:pPr>
        <w:pStyle w:val="Listenabsatz"/>
        <w:numPr>
          <w:ilvl w:val="0"/>
          <w:numId w:val="13"/>
        </w:numPr>
        <w:rPr>
          <w:b/>
          <w:bCs/>
        </w:rPr>
      </w:pPr>
      <w:r w:rsidRPr="00A7469C">
        <w:rPr>
          <w:b/>
          <w:bCs/>
        </w:rPr>
        <w:t>Tabellenblatt „Risiko</w:t>
      </w:r>
      <w:r w:rsidRPr="00BB2613">
        <w:rPr>
          <w:b/>
          <w:bCs/>
        </w:rPr>
        <w:t>,Behörd.-</w:t>
      </w:r>
      <w:r w:rsidRPr="00A7469C">
        <w:rPr>
          <w:b/>
          <w:bCs/>
        </w:rPr>
        <w:t>Zugriff“</w:t>
      </w:r>
    </w:p>
    <w:p w14:paraId="4782F568" w14:textId="05372BC3" w:rsidR="000D6C60" w:rsidRDefault="000D6C60" w:rsidP="000D6C60">
      <w:pPr>
        <w:pStyle w:val="Listenabsatz"/>
      </w:pPr>
      <w:r w:rsidRPr="000D6C60">
        <w:t>Basierend auf vorhandenen Erfahrungswerten des Daten</w:t>
      </w:r>
      <w:r>
        <w:t>i</w:t>
      </w:r>
      <w:r w:rsidRPr="000D6C60">
        <w:t xml:space="preserve">mporteurs wird geschätzt, wie hoch die Wahrscheinlichkeit </w:t>
      </w:r>
      <w:r>
        <w:t xml:space="preserve">dafür </w:t>
      </w:r>
      <w:r w:rsidRPr="000D6C60">
        <w:t>ist, dass ein staatlicher Akteur Zugriff auf die personenbezogenen Daten bekommt.</w:t>
      </w:r>
    </w:p>
    <w:p w14:paraId="44EB540A" w14:textId="77777777" w:rsidR="000D6C60" w:rsidRPr="00A7469C" w:rsidRDefault="000D6C60" w:rsidP="000D6C60">
      <w:pPr>
        <w:pStyle w:val="Listenabsatz"/>
        <w:numPr>
          <w:ilvl w:val="0"/>
          <w:numId w:val="13"/>
        </w:numPr>
        <w:rPr>
          <w:b/>
          <w:bCs/>
        </w:rPr>
      </w:pPr>
      <w:r w:rsidRPr="00A7469C">
        <w:rPr>
          <w:b/>
          <w:bCs/>
        </w:rPr>
        <w:t>Tabellenblatt „Risiko</w:t>
      </w:r>
      <w:r w:rsidRPr="00BB2613">
        <w:rPr>
          <w:b/>
          <w:bCs/>
        </w:rPr>
        <w:t>,Massenüberwachung</w:t>
      </w:r>
      <w:r w:rsidRPr="00A7469C">
        <w:rPr>
          <w:b/>
          <w:bCs/>
        </w:rPr>
        <w:t>“</w:t>
      </w:r>
    </w:p>
    <w:p w14:paraId="7ADF4036" w14:textId="35B12C92" w:rsidR="000D6C60" w:rsidRDefault="000D6C60" w:rsidP="000D6C60">
      <w:pPr>
        <w:pStyle w:val="Listenabsatz"/>
      </w:pPr>
      <w:r>
        <w:t xml:space="preserve">Wird eine Transportverschlüsselung, die dem Stand der Technik entspricht, genutzt, wird dieses Tabellenblatt ausgeblendet, da die personenbezogenen Daten im Rahmen einer </w:t>
      </w:r>
      <w:r>
        <w:lastRenderedPageBreak/>
        <w:t>Massenüberwachung nicht unverschlüsselt abgefangen werden können, somit keine Gefahr einer unbefugten Kenntnisnahme der Daten besteht.</w:t>
      </w:r>
    </w:p>
    <w:p w14:paraId="61AF5E43" w14:textId="77777777" w:rsidR="000D6C60" w:rsidRDefault="000D6C60" w:rsidP="000D6C60">
      <w:pPr>
        <w:pStyle w:val="Listenabsatz"/>
      </w:pPr>
      <w:r>
        <w:t>Sollte jedoch keine Transportverschlüsselung eingesetzt werden, so muss dieses Risiko betrachtet und bewertet werden.</w:t>
      </w:r>
    </w:p>
    <w:p w14:paraId="27727D7D" w14:textId="582FEC8B" w:rsidR="000D6C60" w:rsidRDefault="000D6C60" w:rsidP="000D6C60">
      <w:pPr>
        <w:pStyle w:val="Listenabsatz"/>
      </w:pPr>
      <w:r>
        <w:t xml:space="preserve">Ein- bzw. Ausblenden erfolgt über die Antwort auf die Frage „Wie erfolgt die Übertragung der Daten?“ </w:t>
      </w:r>
      <w:r w:rsidRPr="00BB2613">
        <w:t>in</w:t>
      </w:r>
      <w:r>
        <w:t xml:space="preserve"> Zeile </w:t>
      </w:r>
      <w:r w:rsidR="00341A72">
        <w:t>10</w:t>
      </w:r>
      <w:r>
        <w:t xml:space="preserve"> im Tabellenblatt „Risiko</w:t>
      </w:r>
      <w:r w:rsidRPr="00BB2613">
        <w:t>,betr.-Person</w:t>
      </w:r>
      <w:r>
        <w:t>“.</w:t>
      </w:r>
    </w:p>
    <w:p w14:paraId="6D40FA37" w14:textId="6B891489" w:rsidR="000D6C60" w:rsidRDefault="000D6C60" w:rsidP="000D6C60">
      <w:pPr>
        <w:pStyle w:val="Listenabsatz"/>
        <w:numPr>
          <w:ilvl w:val="0"/>
          <w:numId w:val="13"/>
        </w:numPr>
      </w:pPr>
      <w:r w:rsidRPr="00A7469C">
        <w:rPr>
          <w:b/>
          <w:bCs/>
        </w:rPr>
        <w:t>Tabellenblatt „Begriffsbestimmungen“</w:t>
      </w:r>
    </w:p>
    <w:p w14:paraId="61AF812E" w14:textId="36D9C299" w:rsidR="000D6C60" w:rsidRDefault="000D6C60" w:rsidP="000D6C60">
      <w:pPr>
        <w:pStyle w:val="Listenabsatz"/>
      </w:pPr>
      <w:r>
        <w:t xml:space="preserve">Dieses Tabellenblatt wurde eingefügt, damit in den verschiedenen Tabellenblättern </w:t>
      </w:r>
      <w:r w:rsidRPr="000D6C60">
        <w:t xml:space="preserve">verwendete Begriffe wie </w:t>
      </w:r>
      <w:r>
        <w:t>beispielsweise „</w:t>
      </w:r>
      <w:r w:rsidRPr="000D6C60">
        <w:t>Datenexporteur</w:t>
      </w:r>
      <w:r>
        <w:t>“</w:t>
      </w:r>
      <w:r w:rsidRPr="000D6C60">
        <w:t xml:space="preserve"> </w:t>
      </w:r>
      <w:r>
        <w:t>nachgelesen werden können.</w:t>
      </w:r>
    </w:p>
    <w:p w14:paraId="40E8AE98" w14:textId="77777777" w:rsidR="000D6C60" w:rsidRPr="00A7469C" w:rsidRDefault="000D6C60" w:rsidP="000D6C60">
      <w:pPr>
        <w:pStyle w:val="Listenabsatz"/>
        <w:numPr>
          <w:ilvl w:val="0"/>
          <w:numId w:val="13"/>
        </w:numPr>
        <w:rPr>
          <w:b/>
          <w:bCs/>
        </w:rPr>
      </w:pPr>
      <w:r w:rsidRPr="00A7469C">
        <w:rPr>
          <w:b/>
          <w:bCs/>
        </w:rPr>
        <w:t>Tabellenblatt „Links“</w:t>
      </w:r>
    </w:p>
    <w:p w14:paraId="7CC6AF9D" w14:textId="5D5BC562" w:rsidR="000D6C60" w:rsidRDefault="000D6C60" w:rsidP="000D6C60">
      <w:pPr>
        <w:pStyle w:val="Listenabsatz"/>
      </w:pPr>
      <w:r>
        <w:t>In diesem Tabellenblatt sind ausgewählte Internetadressen zu finden, die f</w:t>
      </w:r>
      <w:r w:rsidRPr="000D6C60">
        <w:t xml:space="preserve">ür </w:t>
      </w:r>
      <w:r>
        <w:t xml:space="preserve">eine </w:t>
      </w:r>
      <w:r w:rsidRPr="000D6C60">
        <w:t xml:space="preserve">TIA relevant </w:t>
      </w:r>
      <w:r>
        <w:t>sein können. Hier sind z. B. Internetadressen für die aktuellen SCC zu finden oder auch ein Link zum Schrems-II-Urteil.</w:t>
      </w:r>
    </w:p>
    <w:p w14:paraId="25D74D7E" w14:textId="77777777" w:rsidR="000D6C60" w:rsidRPr="00A7469C" w:rsidRDefault="000D6C60" w:rsidP="000D6C60">
      <w:pPr>
        <w:pStyle w:val="Listenabsatz"/>
        <w:numPr>
          <w:ilvl w:val="0"/>
          <w:numId w:val="13"/>
        </w:numPr>
        <w:rPr>
          <w:b/>
          <w:bCs/>
        </w:rPr>
      </w:pPr>
      <w:r w:rsidRPr="00A7469C">
        <w:rPr>
          <w:b/>
          <w:bCs/>
        </w:rPr>
        <w:t>Tabellenblatt „Literatur“</w:t>
      </w:r>
    </w:p>
    <w:p w14:paraId="7F44E413" w14:textId="0BD01EAE" w:rsidR="000D6C60" w:rsidRDefault="000D6C60" w:rsidP="000D6C60">
      <w:pPr>
        <w:pStyle w:val="Listenabsatz"/>
      </w:pPr>
      <w:r>
        <w:t>Wie der Name es schon andeutet, finden sich hier Literaturhinweise zum Thema Verarbeitung in Drittländern.</w:t>
      </w:r>
    </w:p>
    <w:p w14:paraId="6913FBC4" w14:textId="77777777" w:rsidR="000D6C60" w:rsidRPr="00A7469C" w:rsidRDefault="000D6C60" w:rsidP="000D6C60">
      <w:pPr>
        <w:pStyle w:val="Listenabsatz"/>
        <w:numPr>
          <w:ilvl w:val="0"/>
          <w:numId w:val="13"/>
        </w:numPr>
        <w:rPr>
          <w:b/>
          <w:bCs/>
        </w:rPr>
      </w:pPr>
      <w:r w:rsidRPr="00A7469C">
        <w:rPr>
          <w:b/>
          <w:bCs/>
        </w:rPr>
        <w:t>Tabellenblatt „Hilfstexte“</w:t>
      </w:r>
    </w:p>
    <w:p w14:paraId="3353BE2E" w14:textId="72574C71" w:rsidR="000D6C60" w:rsidRDefault="000D6C60" w:rsidP="000D6C60">
      <w:pPr>
        <w:pStyle w:val="Listenabsatz"/>
      </w:pPr>
      <w:r>
        <w:t>Dieses Tabellenblatt ist standardmäßig ausgeblendet. Es enthält Ausfülltexte, die in einigen Tabellenblättern genutzt werden.</w:t>
      </w:r>
    </w:p>
    <w:p w14:paraId="7A4F5645" w14:textId="15240BBC" w:rsidR="000D6C60" w:rsidRDefault="000D6C60" w:rsidP="00D4239F">
      <w:r>
        <w:t xml:space="preserve">Die Tabellenblätter enthalten Fragen, die häufig mit vorausgefüllten Werten beantwortet werden. Viele Fragen enthalten „Ja/Nein“-Möglichkeiten, aber es gibt auch umfangreichere Antwortmöglichkeiten (siehe </w:t>
      </w:r>
      <w:fldSimple w:instr=" REF _Ref131886854 ">
        <w:r w:rsidR="00A0643B">
          <w:t xml:space="preserve">Abbildung </w:t>
        </w:r>
        <w:r w:rsidR="00A0643B">
          <w:rPr>
            <w:noProof/>
          </w:rPr>
          <w:t>1</w:t>
        </w:r>
      </w:fldSimple>
      <w:r>
        <w:t>).</w:t>
      </w:r>
    </w:p>
    <w:p w14:paraId="312F5FC3" w14:textId="2917E312" w:rsidR="000D6C60" w:rsidRDefault="000D6C60" w:rsidP="000D6C60">
      <w:pPr>
        <w:pStyle w:val="Beschriftung"/>
        <w:spacing w:after="0"/>
      </w:pPr>
      <w:bookmarkStart w:id="98" w:name="_Ref131886778"/>
      <w:r w:rsidRPr="000D6C60">
        <w:rPr>
          <w:noProof/>
        </w:rPr>
        <w:drawing>
          <wp:inline distT="0" distB="0" distL="0" distR="0" wp14:anchorId="3BF2FEEE" wp14:editId="62D7ED5F">
            <wp:extent cx="4962634" cy="4452257"/>
            <wp:effectExtent l="0" t="0" r="0" b="5715"/>
            <wp:docPr id="19362206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20633" name=""/>
                    <pic:cNvPicPr/>
                  </pic:nvPicPr>
                  <pic:blipFill>
                    <a:blip r:embed="rId16"/>
                    <a:stretch>
                      <a:fillRect/>
                    </a:stretch>
                  </pic:blipFill>
                  <pic:spPr>
                    <a:xfrm>
                      <a:off x="0" y="0"/>
                      <a:ext cx="4977297" cy="4465412"/>
                    </a:xfrm>
                    <a:prstGeom prst="rect">
                      <a:avLst/>
                    </a:prstGeom>
                  </pic:spPr>
                </pic:pic>
              </a:graphicData>
            </a:graphic>
          </wp:inline>
        </w:drawing>
      </w:r>
      <w:bookmarkEnd w:id="98"/>
    </w:p>
    <w:p w14:paraId="2EB279EE" w14:textId="1F9E7108" w:rsidR="000D6C60" w:rsidRDefault="000D6C60" w:rsidP="000D6C60">
      <w:pPr>
        <w:pStyle w:val="Beschriftung"/>
      </w:pPr>
      <w:bookmarkStart w:id="99" w:name="_Ref131886854"/>
      <w:r>
        <w:t xml:space="preserve">Abbildung </w:t>
      </w:r>
      <w:fldSimple w:instr=" SEQ Abbildung \* ARABIC ">
        <w:r w:rsidR="00A0643B">
          <w:rPr>
            <w:noProof/>
          </w:rPr>
          <w:t>1</w:t>
        </w:r>
      </w:fldSimple>
      <w:bookmarkEnd w:id="99"/>
      <w:r w:rsidRPr="008304D9">
        <w:t>: Beispiel für Antwortmöglichkeiten</w:t>
      </w:r>
    </w:p>
    <w:p w14:paraId="519CAE1F" w14:textId="2F17F738" w:rsidR="000D6C60" w:rsidRDefault="000D6C60" w:rsidP="000D6C60">
      <w:r>
        <w:lastRenderedPageBreak/>
        <w:t xml:space="preserve">In anderen Bereichen, wie beispielsweise der Darstellung der im Drittland geltenden und für die Verarbeitung relevanten Gesetze, muss Freitext eingetragen werden (siehe </w:t>
      </w:r>
      <w:fldSimple w:instr=" REF _Ref131887079 ">
        <w:r w:rsidR="00A0643B">
          <w:t xml:space="preserve">Abbildung </w:t>
        </w:r>
        <w:r w:rsidR="00A0643B">
          <w:rPr>
            <w:noProof/>
          </w:rPr>
          <w:t>2</w:t>
        </w:r>
      </w:fldSimple>
      <w:r>
        <w:t>).</w:t>
      </w:r>
    </w:p>
    <w:p w14:paraId="50C7E979" w14:textId="6627D929" w:rsidR="000D6C60" w:rsidRDefault="000D6C60" w:rsidP="00A7469C">
      <w:pPr>
        <w:spacing w:after="0"/>
      </w:pPr>
      <w:r w:rsidRPr="000D6C60">
        <w:rPr>
          <w:noProof/>
        </w:rPr>
        <w:drawing>
          <wp:inline distT="0" distB="0" distL="0" distR="0" wp14:anchorId="21C2E618" wp14:editId="3F9181AA">
            <wp:extent cx="5760720" cy="2322195"/>
            <wp:effectExtent l="0" t="0" r="0" b="1905"/>
            <wp:docPr id="11710947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94716" name=""/>
                    <pic:cNvPicPr/>
                  </pic:nvPicPr>
                  <pic:blipFill>
                    <a:blip r:embed="rId17"/>
                    <a:stretch>
                      <a:fillRect/>
                    </a:stretch>
                  </pic:blipFill>
                  <pic:spPr>
                    <a:xfrm>
                      <a:off x="0" y="0"/>
                      <a:ext cx="5760720" cy="2322195"/>
                    </a:xfrm>
                    <a:prstGeom prst="rect">
                      <a:avLst/>
                    </a:prstGeom>
                  </pic:spPr>
                </pic:pic>
              </a:graphicData>
            </a:graphic>
          </wp:inline>
        </w:drawing>
      </w:r>
    </w:p>
    <w:p w14:paraId="6D86574A" w14:textId="36E390D0" w:rsidR="000D6C60" w:rsidRDefault="000D6C60" w:rsidP="000D6C60">
      <w:pPr>
        <w:pStyle w:val="Beschriftung"/>
      </w:pPr>
      <w:bookmarkStart w:id="100" w:name="_Ref131887079"/>
      <w:r>
        <w:t xml:space="preserve">Abbildung </w:t>
      </w:r>
      <w:fldSimple w:instr=" SEQ Abbildung \* ARABIC ">
        <w:r w:rsidR="00A0643B">
          <w:rPr>
            <w:noProof/>
          </w:rPr>
          <w:t>2</w:t>
        </w:r>
      </w:fldSimple>
      <w:bookmarkEnd w:id="100"/>
      <w:r>
        <w:t>:</w:t>
      </w:r>
      <w:r>
        <w:rPr>
          <w:noProof/>
        </w:rPr>
        <w:t xml:space="preserve"> Beispiel für Freitext-Eingabe</w:t>
      </w:r>
    </w:p>
    <w:p w14:paraId="52087181" w14:textId="37252650" w:rsidR="00745CB8" w:rsidRDefault="00745CB8" w:rsidP="000D6C60">
      <w:r>
        <w:t xml:space="preserve">Im Tabellenblatt „Bewertung“ werden Aussagen ausgewertet und Hinweise gegeben (siehe </w:t>
      </w:r>
      <w:fldSimple w:instr=" REF _Ref131888399 ">
        <w:r w:rsidR="00A0643B">
          <w:t xml:space="preserve">Abbildung </w:t>
        </w:r>
        <w:r w:rsidR="00A0643B">
          <w:rPr>
            <w:noProof/>
          </w:rPr>
          <w:t>3</w:t>
        </w:r>
      </w:fldSimple>
      <w:r>
        <w:t>). Der Hinweis „Verboten“ bedeutet nicht, dass grundsätzlich eine Verarbeitung im Drittland nicht möglich wäre. „</w:t>
      </w:r>
      <w:r w:rsidRPr="00745CB8">
        <w:t>Verboten</w:t>
      </w:r>
      <w:r>
        <w:t xml:space="preserve">“ muss </w:t>
      </w:r>
      <w:r w:rsidRPr="00BB2613">
        <w:t>i</w:t>
      </w:r>
      <w:r w:rsidRPr="00745CB8">
        <w:t>.</w:t>
      </w:r>
      <w:r>
        <w:t> </w:t>
      </w:r>
      <w:r w:rsidRPr="00745CB8">
        <w:t>S.</w:t>
      </w:r>
      <w:r>
        <w:t> </w:t>
      </w:r>
      <w:r w:rsidRPr="00745CB8">
        <w:t xml:space="preserve">v. </w:t>
      </w:r>
      <w:r>
        <w:t>„</w:t>
      </w:r>
      <w:r w:rsidRPr="00745CB8">
        <w:t xml:space="preserve">Verarbeitung </w:t>
      </w:r>
      <w:r>
        <w:t xml:space="preserve">ist </w:t>
      </w:r>
      <w:r w:rsidRPr="00745CB8">
        <w:t>im Drittland nicht möglich, wenn der Zugriff auf die personenbezogenen Daten nicht wirksam verhindert wird</w:t>
      </w:r>
      <w:r>
        <w:t xml:space="preserve">“. Dies kann </w:t>
      </w:r>
      <w:r w:rsidRPr="00745CB8">
        <w:t>beispielsweise durch eine dem Stand der Technik entsprechende Verschlüsselung</w:t>
      </w:r>
      <w:r>
        <w:t xml:space="preserve"> erfolgen</w:t>
      </w:r>
      <w:r w:rsidRPr="00745CB8">
        <w:t>, wobei die Schlüssel dann ausschließlich in der Verfügungsgewalt des Datenexporteurs liegen müssen.</w:t>
      </w:r>
      <w:r>
        <w:t xml:space="preserve"> Kann kein Dritter, auch keine staatliche Behörde des Drittlandes</w:t>
      </w:r>
      <w:r w:rsidR="00984D67">
        <w:t>,</w:t>
      </w:r>
      <w:r>
        <w:t xml:space="preserve"> Zugriff auf die personenbezogenen Daten erhalten, ist eine Verarbeitung trotz gegenstehender gesetzlicher Rahmenbedingungen möglich. So kann beispielsweise ein entsprechend </w:t>
      </w:r>
      <w:r w:rsidRPr="00BB2613">
        <w:t>verschlüsseltes Backup</w:t>
      </w:r>
      <w:r>
        <w:t xml:space="preserve"> in einer Cloud in einem entsprechenden Drittland gespeichert werden, wenn </w:t>
      </w:r>
      <w:r w:rsidRPr="00BB2613">
        <w:t>das Backup</w:t>
      </w:r>
      <w:r>
        <w:t xml:space="preserve"> erst bei der Wiederherstellung in Europa entschlüsselt wird und so im Drittland </w:t>
      </w:r>
      <w:r w:rsidR="00984D67">
        <w:t>k</w:t>
      </w:r>
      <w:r>
        <w:t xml:space="preserve">eine Person </w:t>
      </w:r>
      <w:r w:rsidR="00984D67">
        <w:t xml:space="preserve">und/oder Behörde </w:t>
      </w:r>
      <w:r>
        <w:t>Zugriff auf die Daten erhalten kann.</w:t>
      </w:r>
    </w:p>
    <w:p w14:paraId="3A00303C" w14:textId="5321422A" w:rsidR="000D6C60" w:rsidRDefault="00745CB8" w:rsidP="000D6C60">
      <w:r>
        <w:t xml:space="preserve">Daher obliegt die Entscheidung, ob eine Verarbeitung in einem Drittland durchgeführt werden soll oder nicht, ausschließlich </w:t>
      </w:r>
      <w:r w:rsidR="00984D67">
        <w:t>beim Datenexporteur</w:t>
      </w:r>
      <w:r w:rsidR="00A7469C">
        <w:t>, also bei einer natürlichen oder juristischen Person</w:t>
      </w:r>
      <w:r>
        <w:t xml:space="preserve"> (siehe </w:t>
      </w:r>
      <w:fldSimple w:instr=" REF _Ref131888399 ">
        <w:r w:rsidR="00A0643B">
          <w:t xml:space="preserve">Abbildung </w:t>
        </w:r>
        <w:r w:rsidR="00A0643B">
          <w:rPr>
            <w:noProof/>
          </w:rPr>
          <w:t>3</w:t>
        </w:r>
      </w:fldSimple>
      <w:r>
        <w:t>).</w:t>
      </w:r>
    </w:p>
    <w:p w14:paraId="47453CB7" w14:textId="3DB84374" w:rsidR="00745CB8" w:rsidRDefault="00745CB8" w:rsidP="00745CB8">
      <w:pPr>
        <w:spacing w:after="0"/>
      </w:pPr>
      <w:r w:rsidRPr="00745CB8">
        <w:rPr>
          <w:noProof/>
        </w:rPr>
        <w:drawing>
          <wp:inline distT="0" distB="0" distL="0" distR="0" wp14:anchorId="61009A79" wp14:editId="00A9713B">
            <wp:extent cx="5760720" cy="1955165"/>
            <wp:effectExtent l="0" t="0" r="0" b="6985"/>
            <wp:docPr id="15732203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20373" name=""/>
                    <pic:cNvPicPr/>
                  </pic:nvPicPr>
                  <pic:blipFill>
                    <a:blip r:embed="rId18"/>
                    <a:stretch>
                      <a:fillRect/>
                    </a:stretch>
                  </pic:blipFill>
                  <pic:spPr>
                    <a:xfrm>
                      <a:off x="0" y="0"/>
                      <a:ext cx="5760720" cy="1955165"/>
                    </a:xfrm>
                    <a:prstGeom prst="rect">
                      <a:avLst/>
                    </a:prstGeom>
                  </pic:spPr>
                </pic:pic>
              </a:graphicData>
            </a:graphic>
          </wp:inline>
        </w:drawing>
      </w:r>
    </w:p>
    <w:p w14:paraId="490BCDDE" w14:textId="72D99D5A" w:rsidR="00745CB8" w:rsidRDefault="00745CB8" w:rsidP="00745CB8">
      <w:pPr>
        <w:pStyle w:val="Beschriftung"/>
      </w:pPr>
      <w:bookmarkStart w:id="101" w:name="_Ref131888399"/>
      <w:r>
        <w:t xml:space="preserve">Abbildung </w:t>
      </w:r>
      <w:fldSimple w:instr=" SEQ Abbildung \* ARABIC ">
        <w:r w:rsidR="00A0643B">
          <w:rPr>
            <w:noProof/>
          </w:rPr>
          <w:t>3</w:t>
        </w:r>
      </w:fldSimple>
      <w:bookmarkEnd w:id="101"/>
      <w:r>
        <w:t>:</w:t>
      </w:r>
      <w:r>
        <w:rPr>
          <w:noProof/>
        </w:rPr>
        <w:t xml:space="preserve"> Hinweise im Tabellenblatt "Bewertung"</w:t>
      </w:r>
    </w:p>
    <w:p w14:paraId="78E0D92A" w14:textId="77777777" w:rsidR="00745CB8" w:rsidRDefault="00745CB8" w:rsidP="000D6C60"/>
    <w:p w14:paraId="665C7C0D" w14:textId="050FF231" w:rsidR="004140DF" w:rsidRDefault="004140DF">
      <w:pPr>
        <w:jc w:val="left"/>
      </w:pPr>
      <w:r>
        <w:br w:type="page"/>
      </w:r>
    </w:p>
    <w:p w14:paraId="0C5E0844" w14:textId="77777777" w:rsidR="004140DF" w:rsidRDefault="004140DF" w:rsidP="004140DF">
      <w:pPr>
        <w:pStyle w:val="berschrift1"/>
      </w:pPr>
      <w:bookmarkStart w:id="102" w:name="_Toc129415419"/>
      <w:bookmarkStart w:id="103" w:name="_Toc132204342"/>
      <w:r>
        <w:lastRenderedPageBreak/>
        <w:t>Abkürzungen</w:t>
      </w:r>
      <w:bookmarkEnd w:id="102"/>
      <w:bookmarkEnd w:id="103"/>
    </w:p>
    <w:p w14:paraId="0E6FD34D" w14:textId="77777777" w:rsidR="004140DF" w:rsidRPr="004348C6" w:rsidRDefault="004140DF" w:rsidP="004140DF"/>
    <w:tbl>
      <w:tblPr>
        <w:tblStyle w:val="Tabellenraster"/>
        <w:tblW w:w="0" w:type="auto"/>
        <w:tblLook w:val="04A0" w:firstRow="1" w:lastRow="0" w:firstColumn="1" w:lastColumn="0" w:noHBand="0" w:noVBand="1"/>
      </w:tblPr>
      <w:tblGrid>
        <w:gridCol w:w="1334"/>
        <w:gridCol w:w="7728"/>
      </w:tblGrid>
      <w:tr w:rsidR="004140DF" w14:paraId="211BEBC3" w14:textId="77777777" w:rsidTr="00B361C3">
        <w:tc>
          <w:tcPr>
            <w:tcW w:w="1334" w:type="dxa"/>
            <w:hideMark/>
          </w:tcPr>
          <w:p w14:paraId="7309E618" w14:textId="77777777" w:rsidR="004140DF" w:rsidRDefault="004140DF" w:rsidP="00B361C3">
            <w:pPr>
              <w:spacing w:line="276" w:lineRule="auto"/>
              <w:ind w:left="708" w:hanging="708"/>
            </w:pPr>
            <w:r>
              <w:t>Abs.</w:t>
            </w:r>
          </w:p>
        </w:tc>
        <w:tc>
          <w:tcPr>
            <w:tcW w:w="7728" w:type="dxa"/>
            <w:hideMark/>
          </w:tcPr>
          <w:p w14:paraId="5DCD1E9A" w14:textId="77777777" w:rsidR="004140DF" w:rsidRDefault="004140DF" w:rsidP="00B361C3">
            <w:pPr>
              <w:spacing w:line="276" w:lineRule="auto"/>
              <w:rPr>
                <w:rFonts w:eastAsiaTheme="majorEastAsia"/>
              </w:rPr>
            </w:pPr>
            <w:r>
              <w:rPr>
                <w:rFonts w:eastAsiaTheme="majorEastAsia"/>
              </w:rPr>
              <w:t>Absatz</w:t>
            </w:r>
          </w:p>
        </w:tc>
      </w:tr>
      <w:tr w:rsidR="004140DF" w14:paraId="533CA769" w14:textId="77777777" w:rsidTr="00B361C3">
        <w:tc>
          <w:tcPr>
            <w:tcW w:w="1334" w:type="dxa"/>
          </w:tcPr>
          <w:p w14:paraId="47306E4F" w14:textId="77777777" w:rsidR="004140DF" w:rsidRPr="009C2355" w:rsidRDefault="004140DF" w:rsidP="00B361C3">
            <w:r w:rsidRPr="009C2355">
              <w:t>AEUV</w:t>
            </w:r>
          </w:p>
        </w:tc>
        <w:tc>
          <w:tcPr>
            <w:tcW w:w="7728" w:type="dxa"/>
          </w:tcPr>
          <w:p w14:paraId="280497B4" w14:textId="77777777" w:rsidR="004140DF" w:rsidRDefault="004140DF" w:rsidP="00B361C3">
            <w:r w:rsidRPr="009C2355">
              <w:t>Vertrag über die Arbeitsweise der Europäischen Union</w:t>
            </w:r>
          </w:p>
        </w:tc>
      </w:tr>
      <w:tr w:rsidR="004140DF" w14:paraId="10FB384E" w14:textId="77777777" w:rsidTr="00B361C3">
        <w:tc>
          <w:tcPr>
            <w:tcW w:w="1334" w:type="dxa"/>
            <w:hideMark/>
          </w:tcPr>
          <w:p w14:paraId="58EF4ADF" w14:textId="77777777" w:rsidR="004140DF" w:rsidRDefault="004140DF" w:rsidP="00B361C3">
            <w:pPr>
              <w:spacing w:line="276" w:lineRule="auto"/>
              <w:ind w:left="708" w:hanging="708"/>
            </w:pPr>
            <w:r>
              <w:t>Art.</w:t>
            </w:r>
          </w:p>
        </w:tc>
        <w:tc>
          <w:tcPr>
            <w:tcW w:w="7728" w:type="dxa"/>
            <w:hideMark/>
          </w:tcPr>
          <w:p w14:paraId="6F184425" w14:textId="77777777" w:rsidR="004140DF" w:rsidRDefault="004140DF" w:rsidP="00B361C3">
            <w:pPr>
              <w:spacing w:line="276" w:lineRule="auto"/>
              <w:rPr>
                <w:rFonts w:eastAsiaTheme="majorEastAsia"/>
              </w:rPr>
            </w:pPr>
            <w:r>
              <w:rPr>
                <w:rFonts w:eastAsiaTheme="majorEastAsia"/>
              </w:rPr>
              <w:t>Artikel</w:t>
            </w:r>
          </w:p>
        </w:tc>
      </w:tr>
      <w:tr w:rsidR="004140DF" w14:paraId="50DD17D7" w14:textId="77777777" w:rsidTr="00B361C3">
        <w:tc>
          <w:tcPr>
            <w:tcW w:w="1334" w:type="dxa"/>
          </w:tcPr>
          <w:p w14:paraId="10ABBB5E" w14:textId="77777777" w:rsidR="004140DF" w:rsidRPr="00F13638" w:rsidRDefault="004140DF" w:rsidP="00B361C3">
            <w:pPr>
              <w:spacing w:line="276" w:lineRule="auto"/>
              <w:ind w:left="708" w:hanging="708"/>
            </w:pPr>
            <w:r>
              <w:t>Az.</w:t>
            </w:r>
          </w:p>
        </w:tc>
        <w:tc>
          <w:tcPr>
            <w:tcW w:w="7728" w:type="dxa"/>
          </w:tcPr>
          <w:p w14:paraId="273FAD03" w14:textId="77777777" w:rsidR="004140DF" w:rsidRDefault="004140DF" w:rsidP="00B361C3">
            <w:pPr>
              <w:spacing w:line="276" w:lineRule="auto"/>
              <w:rPr>
                <w:rFonts w:eastAsiaTheme="majorEastAsia"/>
              </w:rPr>
            </w:pPr>
            <w:r>
              <w:rPr>
                <w:rFonts w:eastAsiaTheme="majorEastAsia"/>
              </w:rPr>
              <w:t>Aktenzeichen</w:t>
            </w:r>
          </w:p>
        </w:tc>
      </w:tr>
      <w:tr w:rsidR="004140DF" w14:paraId="2F400321" w14:textId="77777777" w:rsidTr="00B361C3">
        <w:tc>
          <w:tcPr>
            <w:tcW w:w="1334" w:type="dxa"/>
          </w:tcPr>
          <w:p w14:paraId="4CE88572" w14:textId="77777777" w:rsidR="004140DF" w:rsidRDefault="004140DF" w:rsidP="00B361C3">
            <w:pPr>
              <w:spacing w:line="276" w:lineRule="auto"/>
              <w:ind w:left="708" w:hanging="708"/>
            </w:pPr>
            <w:r>
              <w:t>BDSG</w:t>
            </w:r>
          </w:p>
        </w:tc>
        <w:tc>
          <w:tcPr>
            <w:tcW w:w="7728" w:type="dxa"/>
          </w:tcPr>
          <w:p w14:paraId="0F54474D" w14:textId="77777777" w:rsidR="004140DF" w:rsidRDefault="004140DF" w:rsidP="00B361C3">
            <w:pPr>
              <w:spacing w:line="276" w:lineRule="auto"/>
              <w:rPr>
                <w:rFonts w:eastAsiaTheme="majorEastAsia"/>
              </w:rPr>
            </w:pPr>
            <w:r w:rsidRPr="003F146A">
              <w:rPr>
                <w:rFonts w:eastAsiaTheme="majorEastAsia"/>
              </w:rPr>
              <w:t>Bundesdatenschutzgesetz</w:t>
            </w:r>
          </w:p>
        </w:tc>
      </w:tr>
      <w:tr w:rsidR="004140DF" w14:paraId="39A5FF73" w14:textId="77777777" w:rsidTr="00B361C3">
        <w:tc>
          <w:tcPr>
            <w:tcW w:w="1334" w:type="dxa"/>
            <w:hideMark/>
          </w:tcPr>
          <w:p w14:paraId="45C4DEA2" w14:textId="77777777" w:rsidR="004140DF" w:rsidRDefault="004140DF" w:rsidP="00B361C3">
            <w:pPr>
              <w:spacing w:line="276" w:lineRule="auto"/>
              <w:ind w:left="708" w:hanging="708"/>
              <w:rPr>
                <w:rFonts w:eastAsiaTheme="majorEastAsia"/>
              </w:rPr>
            </w:pPr>
            <w:r>
              <w:rPr>
                <w:rFonts w:eastAsiaTheme="majorEastAsia"/>
              </w:rPr>
              <w:t>DS-GVO</w:t>
            </w:r>
          </w:p>
        </w:tc>
        <w:tc>
          <w:tcPr>
            <w:tcW w:w="7728" w:type="dxa"/>
            <w:hideMark/>
          </w:tcPr>
          <w:p w14:paraId="2C9DB7EE" w14:textId="77777777" w:rsidR="004140DF" w:rsidRDefault="004140DF" w:rsidP="00B361C3">
            <w:pPr>
              <w:spacing w:line="276" w:lineRule="auto"/>
              <w:rPr>
                <w:rFonts w:eastAsiaTheme="majorEastAsia"/>
              </w:rPr>
            </w:pPr>
            <w:r w:rsidRPr="00AC21A5">
              <w:rPr>
                <w:rFonts w:eastAsiaTheme="majorEastAsia"/>
              </w:rPr>
              <w:t>Verordnung (EU) 2016/679 des Europäischen Parlaments und des Rates vom 27. April 2016 zum Schutz natürlicher Personen bei der Verarbeitung personenbezogener Daten, zum freien Datenverkehr und zur Aufhebung der Richtlinie 95/46/EG (Datenschutz-Grundverordnung</w:t>
            </w:r>
            <w:r w:rsidRPr="00BB2613">
              <w:rPr>
                <w:rFonts w:eastAsiaTheme="majorEastAsia"/>
              </w:rPr>
              <w:t>)</w:t>
            </w:r>
          </w:p>
        </w:tc>
      </w:tr>
      <w:tr w:rsidR="00481EB2" w14:paraId="389D18F3" w14:textId="77777777" w:rsidTr="00B361C3">
        <w:tc>
          <w:tcPr>
            <w:tcW w:w="1334" w:type="dxa"/>
          </w:tcPr>
          <w:p w14:paraId="59849144" w14:textId="14B5FC79" w:rsidR="00481EB2" w:rsidRDefault="00481EB2" w:rsidP="00481EB2">
            <w:pPr>
              <w:spacing w:line="276" w:lineRule="auto"/>
              <w:ind w:left="708" w:hanging="708"/>
              <w:rPr>
                <w:rFonts w:eastAsiaTheme="majorEastAsia"/>
              </w:rPr>
            </w:pPr>
            <w:r w:rsidRPr="00A976A9">
              <w:rPr>
                <w:rFonts w:eastAsiaTheme="majorEastAsia"/>
              </w:rPr>
              <w:t>DTIA</w:t>
            </w:r>
          </w:p>
        </w:tc>
        <w:tc>
          <w:tcPr>
            <w:tcW w:w="7728" w:type="dxa"/>
          </w:tcPr>
          <w:p w14:paraId="4DC5CED8" w14:textId="7F318DB3" w:rsidR="00481EB2" w:rsidRPr="00AC21A5" w:rsidRDefault="00481EB2" w:rsidP="00481EB2">
            <w:pPr>
              <w:spacing w:line="276" w:lineRule="auto"/>
              <w:rPr>
                <w:rFonts w:eastAsiaTheme="majorEastAsia"/>
              </w:rPr>
            </w:pPr>
            <w:r w:rsidRPr="009C2355">
              <w:t>Data Transfer Impact Assessment</w:t>
            </w:r>
          </w:p>
        </w:tc>
      </w:tr>
      <w:tr w:rsidR="00481EB2" w14:paraId="34EF0083" w14:textId="77777777" w:rsidTr="00B361C3">
        <w:tc>
          <w:tcPr>
            <w:tcW w:w="1334" w:type="dxa"/>
          </w:tcPr>
          <w:p w14:paraId="3045BE63" w14:textId="77777777" w:rsidR="00481EB2" w:rsidRDefault="00481EB2" w:rsidP="00481EB2">
            <w:pPr>
              <w:spacing w:line="276" w:lineRule="auto"/>
              <w:ind w:left="708" w:hanging="708"/>
              <w:rPr>
                <w:rFonts w:eastAsiaTheme="majorEastAsia"/>
              </w:rPr>
            </w:pPr>
            <w:r w:rsidRPr="00BB2613">
              <w:t>EDPB</w:t>
            </w:r>
          </w:p>
        </w:tc>
        <w:tc>
          <w:tcPr>
            <w:tcW w:w="7728" w:type="dxa"/>
          </w:tcPr>
          <w:p w14:paraId="7EA5AD1C" w14:textId="77777777" w:rsidR="00481EB2" w:rsidRPr="00622A8E" w:rsidRDefault="00481EB2" w:rsidP="00481EB2">
            <w:pPr>
              <w:spacing w:line="276" w:lineRule="auto"/>
              <w:rPr>
                <w:rFonts w:eastAsiaTheme="majorEastAsia"/>
                <w:lang w:val="en-US"/>
              </w:rPr>
            </w:pPr>
            <w:r w:rsidRPr="00622A8E">
              <w:rPr>
                <w:lang w:val="en-US"/>
              </w:rPr>
              <w:t>European Data Protection Board</w:t>
            </w:r>
          </w:p>
        </w:tc>
      </w:tr>
      <w:tr w:rsidR="00481EB2" w14:paraId="7E2EDADA" w14:textId="77777777" w:rsidTr="00B361C3">
        <w:tc>
          <w:tcPr>
            <w:tcW w:w="1334" w:type="dxa"/>
          </w:tcPr>
          <w:p w14:paraId="4FF36673" w14:textId="77777777" w:rsidR="00481EB2" w:rsidRDefault="00481EB2" w:rsidP="00481EB2">
            <w:pPr>
              <w:spacing w:line="276" w:lineRule="auto"/>
              <w:ind w:left="708" w:hanging="708"/>
            </w:pPr>
            <w:r>
              <w:t>EDSA</w:t>
            </w:r>
          </w:p>
        </w:tc>
        <w:tc>
          <w:tcPr>
            <w:tcW w:w="7728" w:type="dxa"/>
          </w:tcPr>
          <w:p w14:paraId="47AE20D8" w14:textId="77777777" w:rsidR="00481EB2" w:rsidRPr="00AA5C43" w:rsidRDefault="00481EB2" w:rsidP="00481EB2">
            <w:pPr>
              <w:spacing w:line="276" w:lineRule="auto"/>
            </w:pPr>
            <w:r w:rsidRPr="00755FB2">
              <w:t>Europäische</w:t>
            </w:r>
            <w:r>
              <w:t>r</w:t>
            </w:r>
            <w:r w:rsidRPr="00755FB2">
              <w:t xml:space="preserve"> Datenschutzausschuss</w:t>
            </w:r>
          </w:p>
        </w:tc>
      </w:tr>
      <w:tr w:rsidR="00481EB2" w14:paraId="5354D409" w14:textId="77777777" w:rsidTr="00B361C3">
        <w:tc>
          <w:tcPr>
            <w:tcW w:w="1334" w:type="dxa"/>
          </w:tcPr>
          <w:p w14:paraId="668EDBF9" w14:textId="77777777" w:rsidR="00481EB2" w:rsidRDefault="00481EB2" w:rsidP="00481EB2">
            <w:pPr>
              <w:spacing w:line="276" w:lineRule="auto"/>
              <w:ind w:left="708" w:hanging="708"/>
              <w:rPr>
                <w:rFonts w:eastAsiaTheme="majorEastAsia"/>
              </w:rPr>
            </w:pPr>
            <w:r w:rsidRPr="000D53F8">
              <w:t>ErwGr.</w:t>
            </w:r>
          </w:p>
        </w:tc>
        <w:tc>
          <w:tcPr>
            <w:tcW w:w="7728" w:type="dxa"/>
          </w:tcPr>
          <w:p w14:paraId="1199C630" w14:textId="77777777" w:rsidR="00481EB2" w:rsidRDefault="00481EB2" w:rsidP="00481EB2">
            <w:pPr>
              <w:spacing w:line="276" w:lineRule="auto"/>
              <w:rPr>
                <w:rFonts w:eastAsiaTheme="majorEastAsia"/>
              </w:rPr>
            </w:pPr>
            <w:r>
              <w:rPr>
                <w:rFonts w:eastAsiaTheme="majorEastAsia"/>
              </w:rPr>
              <w:t>Erwägungsgrund / Erwägungsgründe</w:t>
            </w:r>
          </w:p>
        </w:tc>
      </w:tr>
      <w:tr w:rsidR="00481EB2" w14:paraId="3BF2DD36" w14:textId="77777777" w:rsidTr="00B361C3">
        <w:tc>
          <w:tcPr>
            <w:tcW w:w="1334" w:type="dxa"/>
            <w:hideMark/>
          </w:tcPr>
          <w:p w14:paraId="78574ABD" w14:textId="77777777" w:rsidR="00481EB2" w:rsidRDefault="00481EB2" w:rsidP="00481EB2">
            <w:pPr>
              <w:spacing w:line="276" w:lineRule="auto"/>
            </w:pPr>
            <w:r>
              <w:t>EU</w:t>
            </w:r>
          </w:p>
        </w:tc>
        <w:tc>
          <w:tcPr>
            <w:tcW w:w="7728" w:type="dxa"/>
            <w:hideMark/>
          </w:tcPr>
          <w:p w14:paraId="47DB1CF6" w14:textId="77777777" w:rsidR="00481EB2" w:rsidRDefault="00481EB2" w:rsidP="00481EB2">
            <w:pPr>
              <w:spacing w:line="276" w:lineRule="auto"/>
            </w:pPr>
            <w:r>
              <w:t>Europäische Union</w:t>
            </w:r>
          </w:p>
        </w:tc>
      </w:tr>
      <w:tr w:rsidR="00481EB2" w14:paraId="7C43037C" w14:textId="77777777" w:rsidTr="00B361C3">
        <w:tc>
          <w:tcPr>
            <w:tcW w:w="1334" w:type="dxa"/>
          </w:tcPr>
          <w:p w14:paraId="6F1D4445" w14:textId="77777777" w:rsidR="00481EB2" w:rsidRDefault="00481EB2" w:rsidP="00481EB2">
            <w:pPr>
              <w:spacing w:line="276" w:lineRule="auto"/>
            </w:pPr>
            <w:r>
              <w:t>EuGH</w:t>
            </w:r>
          </w:p>
        </w:tc>
        <w:tc>
          <w:tcPr>
            <w:tcW w:w="7728" w:type="dxa"/>
          </w:tcPr>
          <w:p w14:paraId="50D0FB3C" w14:textId="77777777" w:rsidR="00481EB2" w:rsidRDefault="00481EB2" w:rsidP="00481EB2">
            <w:pPr>
              <w:spacing w:line="276" w:lineRule="auto"/>
            </w:pPr>
            <w:r w:rsidRPr="00311FB6">
              <w:t>Europäische</w:t>
            </w:r>
            <w:r>
              <w:t>r</w:t>
            </w:r>
            <w:r w:rsidRPr="00311FB6">
              <w:t xml:space="preserve"> Gerichtshof</w:t>
            </w:r>
          </w:p>
        </w:tc>
      </w:tr>
      <w:tr w:rsidR="00481EB2" w14:paraId="327F8C45" w14:textId="77777777" w:rsidTr="00B361C3">
        <w:tc>
          <w:tcPr>
            <w:tcW w:w="1334" w:type="dxa"/>
          </w:tcPr>
          <w:p w14:paraId="31E9B252" w14:textId="77777777" w:rsidR="00481EB2" w:rsidRDefault="00481EB2" w:rsidP="00481EB2">
            <w:pPr>
              <w:spacing w:line="276" w:lineRule="auto"/>
            </w:pPr>
            <w:r>
              <w:t>EWR</w:t>
            </w:r>
          </w:p>
        </w:tc>
        <w:tc>
          <w:tcPr>
            <w:tcW w:w="7728" w:type="dxa"/>
          </w:tcPr>
          <w:p w14:paraId="6D6ABA72" w14:textId="77777777" w:rsidR="00481EB2" w:rsidRDefault="00481EB2" w:rsidP="00481EB2">
            <w:pPr>
              <w:spacing w:line="276" w:lineRule="auto"/>
            </w:pPr>
            <w:r w:rsidRPr="0090281A">
              <w:t>Europäischer Wirtschaftsraum</w:t>
            </w:r>
          </w:p>
        </w:tc>
      </w:tr>
      <w:tr w:rsidR="00481EB2" w:rsidRPr="0090281A" w14:paraId="45976B75" w14:textId="77777777" w:rsidTr="00B361C3">
        <w:tc>
          <w:tcPr>
            <w:tcW w:w="1334" w:type="dxa"/>
          </w:tcPr>
          <w:p w14:paraId="6234F96C" w14:textId="77777777" w:rsidR="00481EB2" w:rsidRDefault="00481EB2" w:rsidP="00481EB2">
            <w:pPr>
              <w:spacing w:line="276" w:lineRule="auto"/>
            </w:pPr>
            <w:r>
              <w:t>GMDS</w:t>
            </w:r>
          </w:p>
        </w:tc>
        <w:tc>
          <w:tcPr>
            <w:tcW w:w="7728" w:type="dxa"/>
          </w:tcPr>
          <w:p w14:paraId="25519394" w14:textId="77777777" w:rsidR="00481EB2" w:rsidRPr="0090281A" w:rsidRDefault="00481EB2" w:rsidP="00481EB2">
            <w:pPr>
              <w:spacing w:line="276" w:lineRule="auto"/>
            </w:pPr>
            <w:r w:rsidRPr="0090281A">
              <w:t xml:space="preserve">Deutsche Gesellschaft für </w:t>
            </w:r>
            <w:r w:rsidRPr="00BB2613">
              <w:t>Medizinische</w:t>
            </w:r>
            <w:r w:rsidRPr="0090281A">
              <w:t xml:space="preserve"> Informatik, Biometrie und Epidemiologie</w:t>
            </w:r>
            <w:r>
              <w:t xml:space="preserve"> </w:t>
            </w:r>
            <w:r w:rsidRPr="00BB2613">
              <w:t>e.V.</w:t>
            </w:r>
          </w:p>
        </w:tc>
      </w:tr>
      <w:tr w:rsidR="00481EB2" w14:paraId="63C7541C" w14:textId="77777777" w:rsidTr="00B361C3">
        <w:tc>
          <w:tcPr>
            <w:tcW w:w="1334" w:type="dxa"/>
            <w:hideMark/>
          </w:tcPr>
          <w:p w14:paraId="5D024769" w14:textId="77777777" w:rsidR="00481EB2" w:rsidRDefault="00481EB2" w:rsidP="00481EB2">
            <w:r w:rsidRPr="00BB2613">
              <w:t>i. d. R.</w:t>
            </w:r>
          </w:p>
        </w:tc>
        <w:tc>
          <w:tcPr>
            <w:tcW w:w="7728" w:type="dxa"/>
            <w:hideMark/>
          </w:tcPr>
          <w:p w14:paraId="3B7A742A" w14:textId="77777777" w:rsidR="00481EB2" w:rsidRDefault="00481EB2" w:rsidP="00481EB2">
            <w:pPr>
              <w:rPr>
                <w:lang w:val="en-US"/>
              </w:rPr>
            </w:pPr>
            <w:r>
              <w:rPr>
                <w:lang w:val="en-US"/>
              </w:rPr>
              <w:t>in der Regel</w:t>
            </w:r>
          </w:p>
        </w:tc>
      </w:tr>
      <w:tr w:rsidR="00481EB2" w14:paraId="4A9A3EE5" w14:textId="77777777" w:rsidTr="00B361C3">
        <w:tc>
          <w:tcPr>
            <w:tcW w:w="1334" w:type="dxa"/>
          </w:tcPr>
          <w:p w14:paraId="70F2A2BE" w14:textId="77777777" w:rsidR="00481EB2" w:rsidRPr="00A95C16" w:rsidRDefault="00481EB2" w:rsidP="00481EB2">
            <w:r w:rsidRPr="00BB2613">
              <w:t>i.</w:t>
            </w:r>
            <w:r>
              <w:t> S.</w:t>
            </w:r>
          </w:p>
        </w:tc>
        <w:tc>
          <w:tcPr>
            <w:tcW w:w="7728" w:type="dxa"/>
          </w:tcPr>
          <w:p w14:paraId="275A346F" w14:textId="77777777" w:rsidR="00481EB2" w:rsidRPr="005E18B2" w:rsidRDefault="00481EB2" w:rsidP="00481EB2">
            <w:r w:rsidRPr="00BB2613">
              <w:t>im</w:t>
            </w:r>
            <w:r w:rsidRPr="00023144">
              <w:t xml:space="preserve"> Sinne</w:t>
            </w:r>
          </w:p>
        </w:tc>
      </w:tr>
      <w:tr w:rsidR="00481EB2" w14:paraId="6894D264" w14:textId="77777777" w:rsidTr="00B361C3">
        <w:tc>
          <w:tcPr>
            <w:tcW w:w="1334" w:type="dxa"/>
            <w:hideMark/>
          </w:tcPr>
          <w:p w14:paraId="1A6BB65A" w14:textId="77777777" w:rsidR="00481EB2" w:rsidRDefault="00481EB2" w:rsidP="00481EB2">
            <w:r w:rsidRPr="00BB2613">
              <w:t>i. S. d.</w:t>
            </w:r>
          </w:p>
        </w:tc>
        <w:tc>
          <w:tcPr>
            <w:tcW w:w="7728" w:type="dxa"/>
            <w:hideMark/>
          </w:tcPr>
          <w:p w14:paraId="313F6866" w14:textId="77777777" w:rsidR="00481EB2" w:rsidRDefault="00481EB2" w:rsidP="00481EB2">
            <w:r w:rsidRPr="00BB2613">
              <w:t>im</w:t>
            </w:r>
            <w:r>
              <w:t xml:space="preserve"> Sinne der / des</w:t>
            </w:r>
          </w:p>
        </w:tc>
      </w:tr>
      <w:tr w:rsidR="00481EB2" w14:paraId="58DD47C4" w14:textId="77777777" w:rsidTr="00B361C3">
        <w:tc>
          <w:tcPr>
            <w:tcW w:w="1334" w:type="dxa"/>
            <w:hideMark/>
          </w:tcPr>
          <w:p w14:paraId="30582F27" w14:textId="77777777" w:rsidR="00481EB2" w:rsidRDefault="00481EB2" w:rsidP="00481EB2">
            <w:r w:rsidRPr="00BB2613">
              <w:t>i.</w:t>
            </w:r>
            <w:r>
              <w:t> S. v.</w:t>
            </w:r>
          </w:p>
        </w:tc>
        <w:tc>
          <w:tcPr>
            <w:tcW w:w="7728" w:type="dxa"/>
            <w:hideMark/>
          </w:tcPr>
          <w:p w14:paraId="4215C96E" w14:textId="77777777" w:rsidR="00481EB2" w:rsidRDefault="00481EB2" w:rsidP="00481EB2">
            <w:r w:rsidRPr="00BB2613">
              <w:t>im</w:t>
            </w:r>
            <w:r>
              <w:t xml:space="preserve"> Sinne von</w:t>
            </w:r>
          </w:p>
        </w:tc>
      </w:tr>
      <w:tr w:rsidR="00481EB2" w14:paraId="2EAF961A" w14:textId="77777777" w:rsidTr="00B361C3">
        <w:tc>
          <w:tcPr>
            <w:tcW w:w="1334" w:type="dxa"/>
            <w:hideMark/>
          </w:tcPr>
          <w:p w14:paraId="3C171CFE" w14:textId="77777777" w:rsidR="00481EB2" w:rsidRDefault="00481EB2" w:rsidP="00481EB2">
            <w:r w:rsidRPr="00BB2613">
              <w:t>i. V.</w:t>
            </w:r>
            <w:r>
              <w:t> m.</w:t>
            </w:r>
          </w:p>
        </w:tc>
        <w:tc>
          <w:tcPr>
            <w:tcW w:w="7728" w:type="dxa"/>
            <w:hideMark/>
          </w:tcPr>
          <w:p w14:paraId="5DC0209A" w14:textId="77777777" w:rsidR="00481EB2" w:rsidRDefault="00481EB2" w:rsidP="00481EB2">
            <w:r w:rsidRPr="00BB2613">
              <w:t>in</w:t>
            </w:r>
            <w:r>
              <w:t xml:space="preserve"> Verbindung mit</w:t>
            </w:r>
          </w:p>
        </w:tc>
      </w:tr>
      <w:tr w:rsidR="00481EB2" w14:paraId="1D21CF09" w14:textId="77777777" w:rsidTr="00B361C3">
        <w:tc>
          <w:tcPr>
            <w:tcW w:w="1334" w:type="dxa"/>
          </w:tcPr>
          <w:p w14:paraId="211E3B57" w14:textId="77777777" w:rsidR="00481EB2" w:rsidRPr="00A95C16" w:rsidRDefault="00481EB2" w:rsidP="00481EB2">
            <w:r>
              <w:t>Kap.</w:t>
            </w:r>
          </w:p>
        </w:tc>
        <w:tc>
          <w:tcPr>
            <w:tcW w:w="7728" w:type="dxa"/>
          </w:tcPr>
          <w:p w14:paraId="1FD72E8E" w14:textId="77777777" w:rsidR="00481EB2" w:rsidRPr="00A95C16" w:rsidRDefault="00481EB2" w:rsidP="00481EB2">
            <w:r>
              <w:t>Kapitel</w:t>
            </w:r>
          </w:p>
        </w:tc>
      </w:tr>
      <w:tr w:rsidR="00481EB2" w14:paraId="11978206" w14:textId="77777777" w:rsidTr="00B361C3">
        <w:tc>
          <w:tcPr>
            <w:tcW w:w="1334" w:type="dxa"/>
            <w:hideMark/>
          </w:tcPr>
          <w:p w14:paraId="351050C1" w14:textId="77777777" w:rsidR="00481EB2" w:rsidRDefault="00481EB2" w:rsidP="00481EB2">
            <w:pPr>
              <w:spacing w:line="276" w:lineRule="auto"/>
              <w:ind w:left="708" w:hanging="708"/>
            </w:pPr>
            <w:r w:rsidRPr="00BB2613">
              <w:t>lit</w:t>
            </w:r>
            <w:r>
              <w:t>.</w:t>
            </w:r>
          </w:p>
        </w:tc>
        <w:tc>
          <w:tcPr>
            <w:tcW w:w="7728" w:type="dxa"/>
            <w:hideMark/>
          </w:tcPr>
          <w:p w14:paraId="4DF6D6B3" w14:textId="77777777" w:rsidR="00481EB2" w:rsidRDefault="00481EB2" w:rsidP="00481EB2">
            <w:pPr>
              <w:spacing w:line="276" w:lineRule="auto"/>
              <w:rPr>
                <w:rFonts w:eastAsiaTheme="majorEastAsia"/>
              </w:rPr>
            </w:pPr>
            <w:r w:rsidRPr="00D47065">
              <w:rPr>
                <w:rFonts w:eastAsiaTheme="majorEastAsia"/>
                <w:lang w:val="la-Latn"/>
              </w:rPr>
              <w:t>littera</w:t>
            </w:r>
            <w:r>
              <w:rPr>
                <w:rFonts w:eastAsiaTheme="majorEastAsia"/>
              </w:rPr>
              <w:t xml:space="preserve"> (lat. „Buchstabe“)</w:t>
            </w:r>
          </w:p>
        </w:tc>
      </w:tr>
      <w:tr w:rsidR="00481EB2" w14:paraId="71B690BD" w14:textId="77777777" w:rsidTr="00B361C3">
        <w:tc>
          <w:tcPr>
            <w:tcW w:w="1334" w:type="dxa"/>
          </w:tcPr>
          <w:p w14:paraId="7C63D05B" w14:textId="77777777" w:rsidR="00481EB2" w:rsidRPr="00A95C16" w:rsidRDefault="00481EB2" w:rsidP="00481EB2">
            <w:r>
              <w:t>Rn.</w:t>
            </w:r>
          </w:p>
        </w:tc>
        <w:tc>
          <w:tcPr>
            <w:tcW w:w="7728" w:type="dxa"/>
          </w:tcPr>
          <w:p w14:paraId="1C3D2B65" w14:textId="77777777" w:rsidR="00481EB2" w:rsidRDefault="00481EB2" w:rsidP="00481EB2">
            <w:r w:rsidRPr="00023144">
              <w:t>Randnummer</w:t>
            </w:r>
          </w:p>
        </w:tc>
      </w:tr>
      <w:tr w:rsidR="00481EB2" w14:paraId="6E7127CC" w14:textId="77777777" w:rsidTr="00B361C3">
        <w:tc>
          <w:tcPr>
            <w:tcW w:w="1334" w:type="dxa"/>
          </w:tcPr>
          <w:p w14:paraId="03DB94B4" w14:textId="77777777" w:rsidR="00481EB2" w:rsidRPr="009C2355" w:rsidRDefault="00481EB2" w:rsidP="00481EB2">
            <w:r>
              <w:t>SCC</w:t>
            </w:r>
          </w:p>
        </w:tc>
        <w:tc>
          <w:tcPr>
            <w:tcW w:w="7728" w:type="dxa"/>
          </w:tcPr>
          <w:p w14:paraId="19E4828D" w14:textId="77777777" w:rsidR="00481EB2" w:rsidRPr="009C2355" w:rsidRDefault="00481EB2" w:rsidP="00481EB2">
            <w:r>
              <w:t xml:space="preserve">Standarddatenschutzklauseln, von der EU-Kommission </w:t>
            </w:r>
            <w:r w:rsidRPr="009C2355">
              <w:t>Standardvertragsklauseln</w:t>
            </w:r>
            <w:r>
              <w:t xml:space="preserve"> genannt </w:t>
            </w:r>
            <w:r w:rsidRPr="009C2355">
              <w:t>(engl. „</w:t>
            </w:r>
            <w:r w:rsidRPr="00D47065">
              <w:rPr>
                <w:lang w:val="en-US"/>
              </w:rPr>
              <w:t>standard contractual clauses</w:t>
            </w:r>
            <w:r>
              <w:t>“)</w:t>
            </w:r>
          </w:p>
        </w:tc>
      </w:tr>
      <w:tr w:rsidR="00481EB2" w14:paraId="244730E5" w14:textId="77777777" w:rsidTr="00B361C3">
        <w:tc>
          <w:tcPr>
            <w:tcW w:w="1334" w:type="dxa"/>
          </w:tcPr>
          <w:p w14:paraId="0610AF61" w14:textId="77777777" w:rsidR="00481EB2" w:rsidRDefault="00481EB2" w:rsidP="00481EB2">
            <w:r w:rsidRPr="009C2355">
              <w:t>TIA</w:t>
            </w:r>
          </w:p>
        </w:tc>
        <w:tc>
          <w:tcPr>
            <w:tcW w:w="7728" w:type="dxa"/>
          </w:tcPr>
          <w:p w14:paraId="4924CFDD" w14:textId="25B301D6" w:rsidR="00481EB2" w:rsidRDefault="00481EB2" w:rsidP="00481EB2">
            <w:r w:rsidRPr="009C2355">
              <w:t>Transfer Impact Assessment</w:t>
            </w:r>
          </w:p>
        </w:tc>
      </w:tr>
      <w:tr w:rsidR="00481EB2" w14:paraId="2E9632D7" w14:textId="77777777" w:rsidTr="00B361C3">
        <w:tc>
          <w:tcPr>
            <w:tcW w:w="1334" w:type="dxa"/>
          </w:tcPr>
          <w:p w14:paraId="5A2B9256" w14:textId="77777777" w:rsidR="00481EB2" w:rsidRPr="006B6BD3" w:rsidRDefault="00481EB2" w:rsidP="00481EB2">
            <w:r w:rsidRPr="00BB2613">
              <w:t>Urt</w:t>
            </w:r>
            <w:r>
              <w:t>.</w:t>
            </w:r>
          </w:p>
        </w:tc>
        <w:tc>
          <w:tcPr>
            <w:tcW w:w="7728" w:type="dxa"/>
          </w:tcPr>
          <w:p w14:paraId="5499E294" w14:textId="77777777" w:rsidR="00481EB2" w:rsidRPr="00B2066A" w:rsidRDefault="00481EB2" w:rsidP="00481EB2">
            <w:r>
              <w:t>Urteil</w:t>
            </w:r>
          </w:p>
        </w:tc>
      </w:tr>
      <w:tr w:rsidR="00481EB2" w14:paraId="76AE0A43" w14:textId="77777777" w:rsidTr="00B361C3">
        <w:tc>
          <w:tcPr>
            <w:tcW w:w="1334" w:type="dxa"/>
          </w:tcPr>
          <w:p w14:paraId="53292B3C" w14:textId="77777777" w:rsidR="00481EB2" w:rsidRPr="00A95C16" w:rsidRDefault="00481EB2" w:rsidP="00481EB2">
            <w:r w:rsidRPr="00BB2613">
              <w:t>vgl</w:t>
            </w:r>
            <w:r>
              <w:t>.</w:t>
            </w:r>
          </w:p>
        </w:tc>
        <w:tc>
          <w:tcPr>
            <w:tcW w:w="7728" w:type="dxa"/>
          </w:tcPr>
          <w:p w14:paraId="6D6C816C" w14:textId="77777777" w:rsidR="00481EB2" w:rsidRDefault="00481EB2" w:rsidP="00481EB2">
            <w:r w:rsidRPr="00BB2613">
              <w:t>vergleiche</w:t>
            </w:r>
          </w:p>
        </w:tc>
      </w:tr>
      <w:tr w:rsidR="00481EB2" w14:paraId="1E859790" w14:textId="77777777" w:rsidTr="00B361C3">
        <w:tc>
          <w:tcPr>
            <w:tcW w:w="1334" w:type="dxa"/>
          </w:tcPr>
          <w:p w14:paraId="0DCC9A43" w14:textId="77777777" w:rsidR="00481EB2" w:rsidRPr="006B6BD3" w:rsidRDefault="00481EB2" w:rsidP="00481EB2">
            <w:r>
              <w:t>VO</w:t>
            </w:r>
          </w:p>
        </w:tc>
        <w:tc>
          <w:tcPr>
            <w:tcW w:w="7728" w:type="dxa"/>
          </w:tcPr>
          <w:p w14:paraId="7D46C1CC" w14:textId="77777777" w:rsidR="00481EB2" w:rsidRPr="00B2066A" w:rsidRDefault="00481EB2" w:rsidP="00481EB2">
            <w:r>
              <w:t>Verordnung</w:t>
            </w:r>
          </w:p>
        </w:tc>
      </w:tr>
    </w:tbl>
    <w:p w14:paraId="06142AE2" w14:textId="77777777" w:rsidR="004140DF" w:rsidRDefault="004140DF" w:rsidP="004140DF"/>
    <w:p w14:paraId="4FCAF1C1" w14:textId="7BC54184" w:rsidR="004140DF" w:rsidRDefault="004140DF">
      <w:pPr>
        <w:jc w:val="left"/>
      </w:pPr>
      <w:r>
        <w:br w:type="page"/>
      </w:r>
    </w:p>
    <w:p w14:paraId="596F551F" w14:textId="16C5E8CB" w:rsidR="004140DF" w:rsidRDefault="004140DF" w:rsidP="004140DF">
      <w:pPr>
        <w:pStyle w:val="berschrift1"/>
      </w:pPr>
      <w:bookmarkStart w:id="104" w:name="_Toc132204343"/>
      <w:r>
        <w:lastRenderedPageBreak/>
        <w:t>Literaturhinweise</w:t>
      </w:r>
      <w:bookmarkEnd w:id="104"/>
    </w:p>
    <w:p w14:paraId="12F8D531" w14:textId="77777777" w:rsidR="004140DF" w:rsidRDefault="004140DF" w:rsidP="004140DF">
      <w:pPr>
        <w:pStyle w:val="berschrift2"/>
      </w:pPr>
      <w:bookmarkStart w:id="105" w:name="_Toc132204344"/>
      <w:r>
        <w:t>Zeitschriftenbeiträge</w:t>
      </w:r>
      <w:bookmarkEnd w:id="105"/>
    </w:p>
    <w:p w14:paraId="51520823" w14:textId="6229C357" w:rsidR="00481EB2" w:rsidRDefault="00481EB2" w:rsidP="004140DF">
      <w:pPr>
        <w:pStyle w:val="Listenabsatz"/>
        <w:numPr>
          <w:ilvl w:val="0"/>
          <w:numId w:val="17"/>
        </w:numPr>
      </w:pPr>
      <w:r w:rsidRPr="00481EB2">
        <w:t>Baumgartner</w:t>
      </w:r>
      <w:r>
        <w:t xml:space="preserve"> U, </w:t>
      </w:r>
      <w:r w:rsidRPr="00BB2613">
        <w:t>Hansch</w:t>
      </w:r>
      <w:r>
        <w:t xml:space="preserve"> G, </w:t>
      </w:r>
      <w:r w:rsidRPr="00481EB2">
        <w:t>Roth</w:t>
      </w:r>
      <w:r>
        <w:t xml:space="preserve"> H. (2021)</w:t>
      </w:r>
      <w:r w:rsidRPr="00481EB2">
        <w:t xml:space="preserve"> </w:t>
      </w:r>
      <w:r w:rsidRPr="00BB2613">
        <w:t>Die</w:t>
      </w:r>
      <w:r w:rsidRPr="00481EB2">
        <w:t xml:space="preserve"> neuen Standardvertragsklauseln der EU-Kommission für Datenübermittlungen in Drittstaaten</w:t>
      </w:r>
      <w:r>
        <w:t xml:space="preserve">. </w:t>
      </w:r>
      <w:r w:rsidRPr="00BB2613">
        <w:t>ZD</w:t>
      </w:r>
      <w:r>
        <w:t>: 608-614</w:t>
      </w:r>
    </w:p>
    <w:p w14:paraId="6F176A7A" w14:textId="1C9D1597" w:rsidR="004140DF" w:rsidRDefault="004140DF" w:rsidP="004140DF">
      <w:pPr>
        <w:pStyle w:val="Listenabsatz"/>
        <w:numPr>
          <w:ilvl w:val="0"/>
          <w:numId w:val="17"/>
        </w:numPr>
      </w:pPr>
      <w:r>
        <w:t xml:space="preserve">Bergt M. (2022) </w:t>
      </w:r>
      <w:r w:rsidRPr="00BB2613">
        <w:t>Datenschutzrechtliche</w:t>
      </w:r>
      <w:r>
        <w:t xml:space="preserve"> Anforderungen an den Einsatz von US-Cloud-Anbietern - nicht nur in Vergabeverfahren. </w:t>
      </w:r>
      <w:r w:rsidRPr="00BB2613">
        <w:t>CR</w:t>
      </w:r>
      <w:r>
        <w:t>: 629-635</w:t>
      </w:r>
    </w:p>
    <w:p w14:paraId="705CB491" w14:textId="77777777" w:rsidR="004140DF" w:rsidRDefault="004140DF" w:rsidP="004140DF">
      <w:pPr>
        <w:pStyle w:val="Listenabsatz"/>
        <w:numPr>
          <w:ilvl w:val="0"/>
          <w:numId w:val="17"/>
        </w:numPr>
      </w:pPr>
      <w:r w:rsidRPr="00BB2613">
        <w:t>Dehmel</w:t>
      </w:r>
      <w:r>
        <w:t xml:space="preserve"> S, </w:t>
      </w:r>
      <w:r w:rsidRPr="00BB2613">
        <w:t>Ossmann-Magiera</w:t>
      </w:r>
      <w:r>
        <w:t xml:space="preserve"> L. (2023) Drittstaatentransfers nach </w:t>
      </w:r>
      <w:r w:rsidRPr="00BB2613">
        <w:t>Schrems</w:t>
      </w:r>
      <w:r>
        <w:t xml:space="preserve"> II. Wie können Daten international übermittelt werden und gleichzeitig ein angemessenes Datenschutzniveau gewährleisten? </w:t>
      </w:r>
      <w:r w:rsidRPr="00BB2613">
        <w:t>MMR</w:t>
      </w:r>
      <w:r>
        <w:t>: 17-22</w:t>
      </w:r>
    </w:p>
    <w:p w14:paraId="2F880E65" w14:textId="77777777" w:rsidR="004140DF" w:rsidRDefault="004140DF" w:rsidP="004140DF">
      <w:pPr>
        <w:pStyle w:val="Listenabsatz"/>
        <w:numPr>
          <w:ilvl w:val="0"/>
          <w:numId w:val="17"/>
        </w:numPr>
      </w:pPr>
      <w:r w:rsidRPr="00536FFA">
        <w:rPr>
          <w:lang w:val="en-US"/>
        </w:rPr>
        <w:t xml:space="preserve">Determann L, Lutz H, Nebel M. (2022) International Data Transfer and Trade Restraints. </w:t>
      </w:r>
      <w:r w:rsidRPr="00A976A9">
        <w:t>Cri</w:t>
      </w:r>
      <w:r>
        <w:t>: 140-146</w:t>
      </w:r>
    </w:p>
    <w:p w14:paraId="16FD3BE2" w14:textId="1A80B778" w:rsidR="00481EB2" w:rsidRDefault="00481EB2" w:rsidP="004140DF">
      <w:pPr>
        <w:pStyle w:val="Listenabsatz"/>
        <w:numPr>
          <w:ilvl w:val="0"/>
          <w:numId w:val="17"/>
        </w:numPr>
      </w:pPr>
      <w:r w:rsidRPr="00BB2613">
        <w:t>Determann</w:t>
      </w:r>
      <w:r>
        <w:t xml:space="preserve"> L, Lutz H, Nebel M. (2022) </w:t>
      </w:r>
      <w:r w:rsidRPr="00BB2613">
        <w:t>Internationale</w:t>
      </w:r>
      <w:r w:rsidRPr="00481EB2">
        <w:t xml:space="preserve"> Datenübermittlungen</w:t>
      </w:r>
      <w:r>
        <w:t xml:space="preserve">. </w:t>
      </w:r>
      <w:r w:rsidRPr="00BB2613">
        <w:t>IWRZ</w:t>
      </w:r>
      <w:r>
        <w:t>: 204-208</w:t>
      </w:r>
    </w:p>
    <w:p w14:paraId="1E8BDFA5" w14:textId="176EDAF7" w:rsidR="00730195" w:rsidRDefault="00730195" w:rsidP="004140DF">
      <w:pPr>
        <w:pStyle w:val="Listenabsatz"/>
        <w:numPr>
          <w:ilvl w:val="0"/>
          <w:numId w:val="17"/>
        </w:numPr>
      </w:pPr>
      <w:r w:rsidRPr="00BB2613">
        <w:t>Diercks</w:t>
      </w:r>
      <w:r w:rsidRPr="00730195">
        <w:t xml:space="preserve"> N, Roth HM. (2021) Datenübermittlung in unsichere Drittstaaten. </w:t>
      </w:r>
      <w:r w:rsidRPr="00BB2613">
        <w:t>ZdiW</w:t>
      </w:r>
      <w:r w:rsidRPr="00730195">
        <w:t>: 313 - 320</w:t>
      </w:r>
    </w:p>
    <w:p w14:paraId="119D0BF1" w14:textId="77777777" w:rsidR="004140DF" w:rsidRDefault="004140DF" w:rsidP="004140DF">
      <w:pPr>
        <w:pStyle w:val="Listenabsatz"/>
        <w:numPr>
          <w:ilvl w:val="0"/>
          <w:numId w:val="17"/>
        </w:numPr>
      </w:pPr>
      <w:r w:rsidRPr="00536FFA">
        <w:rPr>
          <w:lang w:val="en-US"/>
        </w:rPr>
        <w:t xml:space="preserve">Drechsler L. (2022) Defining personal data transfers for the context of the General Data Protection Regulation. A critical perspective on the Guidelines 5/2021 of the European Data Protection Board. </w:t>
      </w:r>
      <w:r w:rsidRPr="00A976A9">
        <w:t>PinG</w:t>
      </w:r>
      <w:r>
        <w:t>: 24-29</w:t>
      </w:r>
    </w:p>
    <w:p w14:paraId="50DFC875" w14:textId="77777777" w:rsidR="004140DF" w:rsidRDefault="004140DF" w:rsidP="004140DF">
      <w:pPr>
        <w:pStyle w:val="Listenabsatz"/>
        <w:numPr>
          <w:ilvl w:val="0"/>
          <w:numId w:val="17"/>
        </w:numPr>
      </w:pPr>
      <w:r>
        <w:t xml:space="preserve">Eichmann N, Nowak </w:t>
      </w:r>
      <w:r w:rsidRPr="00BB2613">
        <w:t>JN</w:t>
      </w:r>
      <w:r>
        <w:t xml:space="preserve">. (2021) Zum Rechtsrahmen für den transatlantischen Datenverkehr. </w:t>
      </w:r>
      <w:r w:rsidRPr="00BB2613">
        <w:t>RDV</w:t>
      </w:r>
      <w:r>
        <w:t>: 194-199</w:t>
      </w:r>
    </w:p>
    <w:p w14:paraId="341A1B47" w14:textId="77777777" w:rsidR="004140DF" w:rsidRDefault="004140DF" w:rsidP="004140DF">
      <w:pPr>
        <w:pStyle w:val="Listenabsatz"/>
        <w:numPr>
          <w:ilvl w:val="0"/>
          <w:numId w:val="17"/>
        </w:numPr>
      </w:pPr>
      <w:r w:rsidRPr="00BB2613">
        <w:t>Eisenmenger</w:t>
      </w:r>
      <w:r>
        <w:t xml:space="preserve"> F. (2023) Durchführung von Transfer Impact Assessments am Beispiel der VR China. </w:t>
      </w:r>
      <w:r w:rsidRPr="00BB2613">
        <w:t>ZD</w:t>
      </w:r>
      <w:r>
        <w:t>: 204-209</w:t>
      </w:r>
    </w:p>
    <w:p w14:paraId="1D825156" w14:textId="6241370F" w:rsidR="00AF4B60" w:rsidRDefault="00AF4B60" w:rsidP="003443D1">
      <w:pPr>
        <w:pStyle w:val="Listenabsatz"/>
        <w:numPr>
          <w:ilvl w:val="0"/>
          <w:numId w:val="17"/>
        </w:numPr>
      </w:pPr>
      <w:r w:rsidRPr="00BB2613">
        <w:t>Glocker</w:t>
      </w:r>
      <w:r>
        <w:t xml:space="preserve"> F. (2023) EU-US Data </w:t>
      </w:r>
      <w:r w:rsidRPr="00BB2613">
        <w:t>Privacy</w:t>
      </w:r>
      <w:r>
        <w:t xml:space="preserve"> Framework: Update des </w:t>
      </w:r>
      <w:r w:rsidRPr="00BB2613">
        <w:t>Privacy</w:t>
      </w:r>
      <w:r>
        <w:t xml:space="preserve"> </w:t>
      </w:r>
      <w:r w:rsidRPr="00BB2613">
        <w:t>Shield</w:t>
      </w:r>
      <w:r>
        <w:t xml:space="preserve"> mit </w:t>
      </w:r>
      <w:r w:rsidRPr="00BB2613">
        <w:t>Augenmass</w:t>
      </w:r>
      <w:r>
        <w:t xml:space="preserve">. Entwurf des Angemessenheitsbeschlusses der EU-Kommission und seine Erfolgsaussichten vor dem EuGH. </w:t>
      </w:r>
      <w:r w:rsidRPr="00BB2613">
        <w:t>ZD</w:t>
      </w:r>
      <w:r>
        <w:t>: 189-194</w:t>
      </w:r>
    </w:p>
    <w:p w14:paraId="68954669" w14:textId="77777777" w:rsidR="004140DF" w:rsidRDefault="004140DF" w:rsidP="004140DF">
      <w:pPr>
        <w:pStyle w:val="Listenabsatz"/>
        <w:numPr>
          <w:ilvl w:val="0"/>
          <w:numId w:val="17"/>
        </w:numPr>
      </w:pPr>
      <w:r>
        <w:t xml:space="preserve">Kremer S. (2021) </w:t>
      </w:r>
      <w:r w:rsidRPr="00BB2613">
        <w:t>Arbeitsteilige</w:t>
      </w:r>
      <w:r>
        <w:t xml:space="preserve"> Verarbeitungen: Wer übermittelt die Daten ans Drittland? </w:t>
      </w:r>
      <w:r w:rsidRPr="00BB2613">
        <w:t>CR</w:t>
      </w:r>
      <w:r>
        <w:t>: 719-730</w:t>
      </w:r>
    </w:p>
    <w:p w14:paraId="41BB1F42" w14:textId="77777777" w:rsidR="004140DF" w:rsidRDefault="004140DF" w:rsidP="004140DF">
      <w:pPr>
        <w:pStyle w:val="Listenabsatz"/>
        <w:numPr>
          <w:ilvl w:val="0"/>
          <w:numId w:val="17"/>
        </w:numPr>
      </w:pPr>
      <w:r>
        <w:t xml:space="preserve">Lejeune M. (2021) Datenaustausch mit Drittländern auf der Grundlage der neuen EU-Standardvertragsklauseln. </w:t>
      </w:r>
      <w:r w:rsidRPr="00BB2613">
        <w:t>ITRB</w:t>
      </w:r>
      <w:r>
        <w:t>: 293-299</w:t>
      </w:r>
    </w:p>
    <w:p w14:paraId="7A6E11A6" w14:textId="60898854" w:rsidR="00481EB2" w:rsidRDefault="00481EB2" w:rsidP="004140DF">
      <w:pPr>
        <w:pStyle w:val="Listenabsatz"/>
        <w:numPr>
          <w:ilvl w:val="0"/>
          <w:numId w:val="17"/>
        </w:numPr>
      </w:pPr>
      <w:r>
        <w:t xml:space="preserve">Lejeune M. (2022) </w:t>
      </w:r>
      <w:r w:rsidRPr="00481EB2">
        <w:t xml:space="preserve">Datentransfer mit den USA auf der Grundlage der </w:t>
      </w:r>
      <w:r w:rsidRPr="00BB2613">
        <w:t>Executive</w:t>
      </w:r>
      <w:r w:rsidRPr="00481EB2">
        <w:t xml:space="preserve"> Order von Präsident Biden vom 7.10.2022 </w:t>
      </w:r>
      <w:r w:rsidRPr="00BB2613">
        <w:t>Wann</w:t>
      </w:r>
      <w:r w:rsidRPr="00481EB2">
        <w:t xml:space="preserve"> ist der Datenschutz in Drittstaaten wie den USA adäquat? </w:t>
      </w:r>
      <w:r w:rsidRPr="00BB2613">
        <w:t>CR</w:t>
      </w:r>
      <w:r>
        <w:t>:</w:t>
      </w:r>
      <w:r w:rsidRPr="00481EB2">
        <w:t xml:space="preserve"> 775-785</w:t>
      </w:r>
    </w:p>
    <w:p w14:paraId="42AAFD25" w14:textId="4F0E80BF" w:rsidR="004140DF" w:rsidRDefault="004140DF" w:rsidP="004140DF">
      <w:pPr>
        <w:pStyle w:val="Listenabsatz"/>
        <w:numPr>
          <w:ilvl w:val="0"/>
          <w:numId w:val="17"/>
        </w:numPr>
      </w:pPr>
      <w:r w:rsidRPr="00BB2613">
        <w:t>RoßnagelA</w:t>
      </w:r>
      <w:r>
        <w:t xml:space="preserve">. (2022) Internationaler Datentransfer. Stand und Perspektiven. </w:t>
      </w:r>
      <w:r w:rsidRPr="00BB2613">
        <w:t>DuD</w:t>
      </w:r>
      <w:r>
        <w:t>: 545-549</w:t>
      </w:r>
    </w:p>
    <w:p w14:paraId="34BE49F0" w14:textId="77777777" w:rsidR="004140DF" w:rsidRDefault="004140DF" w:rsidP="004140DF">
      <w:pPr>
        <w:pStyle w:val="Listenabsatz"/>
        <w:numPr>
          <w:ilvl w:val="0"/>
          <w:numId w:val="17"/>
        </w:numPr>
      </w:pPr>
      <w:r w:rsidRPr="00536FFA">
        <w:rPr>
          <w:lang w:val="en-US"/>
        </w:rPr>
        <w:t xml:space="preserve">Sandfuchs B. (2021) The Future of Data Transfers to Third Countries in Light of the CJEU’s Judgment C-311/18 – Schrems II. </w:t>
      </w:r>
      <w:r w:rsidRPr="00A976A9">
        <w:t>GRUR</w:t>
      </w:r>
      <w:r>
        <w:t xml:space="preserve"> Int.: 245-249</w:t>
      </w:r>
    </w:p>
    <w:p w14:paraId="03273955" w14:textId="77777777" w:rsidR="004140DF" w:rsidRDefault="004140DF" w:rsidP="004140DF">
      <w:pPr>
        <w:pStyle w:val="Listenabsatz"/>
        <w:numPr>
          <w:ilvl w:val="0"/>
          <w:numId w:val="17"/>
        </w:numPr>
      </w:pPr>
      <w:r>
        <w:t xml:space="preserve">Schmitz B, </w:t>
      </w:r>
      <w:r w:rsidRPr="00BB2613">
        <w:t>Spies</w:t>
      </w:r>
      <w:r>
        <w:t xml:space="preserve"> A. (2022) </w:t>
      </w:r>
      <w:r w:rsidRPr="00BB2613">
        <w:t>DSK</w:t>
      </w:r>
      <w:r>
        <w:t>: US-Gutachten zur Risikoeinschätzung bei Datentransfers (</w:t>
      </w:r>
      <w:r w:rsidRPr="00A976A9">
        <w:t>DTIA</w:t>
      </w:r>
      <w:r>
        <w:t xml:space="preserve">) veröffentlicht. </w:t>
      </w:r>
      <w:r w:rsidRPr="00BB2613">
        <w:t>ZD-Aktuell</w:t>
      </w:r>
      <w:r>
        <w:t>: 01051</w:t>
      </w:r>
    </w:p>
    <w:p w14:paraId="12CF2DC0" w14:textId="1D555F11" w:rsidR="004140DF" w:rsidRDefault="004140DF" w:rsidP="004140DF">
      <w:pPr>
        <w:pStyle w:val="Listenabsatz"/>
        <w:numPr>
          <w:ilvl w:val="0"/>
          <w:numId w:val="17"/>
        </w:numPr>
      </w:pPr>
      <w:r>
        <w:t>Voigt P. (2021)</w:t>
      </w:r>
      <w:r w:rsidR="00481EB2">
        <w:t xml:space="preserve"> </w:t>
      </w:r>
      <w:r w:rsidRPr="00BB2613">
        <w:t>Neue</w:t>
      </w:r>
      <w:r>
        <w:t xml:space="preserve"> Standardvertragsklauseln für internationale Datentransfers. Überblick und Praxistauglichkeit. </w:t>
      </w:r>
      <w:r w:rsidRPr="00BB2613">
        <w:t>CR</w:t>
      </w:r>
      <w:r>
        <w:t>: 458-465</w:t>
      </w:r>
    </w:p>
    <w:p w14:paraId="311AD740" w14:textId="6A92AC01" w:rsidR="004140DF" w:rsidRDefault="004140DF" w:rsidP="004140DF">
      <w:pPr>
        <w:pStyle w:val="Listenabsatz"/>
        <w:numPr>
          <w:ilvl w:val="0"/>
          <w:numId w:val="17"/>
        </w:numPr>
      </w:pPr>
      <w:r w:rsidRPr="00BB2613">
        <w:t>Zanon</w:t>
      </w:r>
      <w:r>
        <w:t xml:space="preserve"> NB, Petersen E. (2021) </w:t>
      </w:r>
      <w:r w:rsidRPr="00BB2613">
        <w:t>Neue</w:t>
      </w:r>
      <w:r>
        <w:t xml:space="preserve"> Perspektive für Drittlandsübermittlungen? Änderungen und Neuerungen durch die neuen Standarddatenschutzklauseln der EU-Kommission. </w:t>
      </w:r>
      <w:r w:rsidRPr="00BB2613">
        <w:t>ITRB</w:t>
      </w:r>
      <w:r>
        <w:t>: 189-193</w:t>
      </w:r>
    </w:p>
    <w:p w14:paraId="0C3E9D63" w14:textId="77777777" w:rsidR="004140DF" w:rsidRDefault="004140DF" w:rsidP="004140DF">
      <w:pPr>
        <w:pStyle w:val="berschrift2"/>
      </w:pPr>
      <w:bookmarkStart w:id="106" w:name="_Toc132204345"/>
      <w:r>
        <w:t>Bücher</w:t>
      </w:r>
      <w:bookmarkEnd w:id="106"/>
    </w:p>
    <w:p w14:paraId="5928A0D3" w14:textId="49BA2E80" w:rsidR="004140DF" w:rsidRDefault="004140DF" w:rsidP="004140DF">
      <w:pPr>
        <w:pStyle w:val="Listenabsatz"/>
        <w:numPr>
          <w:ilvl w:val="0"/>
          <w:numId w:val="18"/>
        </w:numPr>
      </w:pPr>
      <w:r w:rsidRPr="00BB2613">
        <w:t>Kröpfl</w:t>
      </w:r>
      <w:r>
        <w:t xml:space="preserve">, Maximilian. Praxiskommentar zu den SCC 2021. EU Standardvertragsklauseln für die Übermittlung personenbezogener Daten an Drittländer. Jan </w:t>
      </w:r>
      <w:r w:rsidRPr="00BB2613">
        <w:t>Sramek</w:t>
      </w:r>
      <w:r>
        <w:t xml:space="preserve"> Verlag KG, 2021. ISBN</w:t>
      </w:r>
      <w:r w:rsidR="00481EB2">
        <w:t xml:space="preserve"> </w:t>
      </w:r>
      <w:r>
        <w:t>978-3-7097-0285-7</w:t>
      </w:r>
    </w:p>
    <w:p w14:paraId="06AEB1E5" w14:textId="77777777" w:rsidR="004140DF" w:rsidRDefault="004140DF" w:rsidP="004140DF">
      <w:pPr>
        <w:pStyle w:val="Listenabsatz"/>
        <w:numPr>
          <w:ilvl w:val="0"/>
          <w:numId w:val="18"/>
        </w:numPr>
      </w:pPr>
      <w:r w:rsidRPr="00BB2613">
        <w:t>Seak</w:t>
      </w:r>
      <w:r>
        <w:t xml:space="preserve">, Sabrina. Grenzen der Datenübermittlungen aus der EU in Drittstaaten – anhand des Beispiels der USA. Verlag </w:t>
      </w:r>
      <w:r w:rsidRPr="00BB2613">
        <w:t>Duncker</w:t>
      </w:r>
      <w:r>
        <w:t xml:space="preserve"> &amp; </w:t>
      </w:r>
      <w:r w:rsidRPr="00BB2613">
        <w:t>Humblot</w:t>
      </w:r>
      <w:r>
        <w:t xml:space="preserve"> GmbH, 2022. ISBN 978-3-428-18505-4</w:t>
      </w:r>
    </w:p>
    <w:p w14:paraId="76EB5F9A" w14:textId="77777777" w:rsidR="004140DF" w:rsidRDefault="004140DF" w:rsidP="004140DF">
      <w:pPr>
        <w:pStyle w:val="Listenabsatz"/>
        <w:numPr>
          <w:ilvl w:val="0"/>
          <w:numId w:val="18"/>
        </w:numPr>
      </w:pPr>
      <w:r w:rsidRPr="00536FFA">
        <w:rPr>
          <w:lang w:val="en-US"/>
        </w:rPr>
        <w:t xml:space="preserve">Wittershagen, Leonie. The Transfer of Personal Data from the European Union to the United Kingdom post-Brexit. </w:t>
      </w:r>
      <w:r>
        <w:t xml:space="preserve">Walter </w:t>
      </w:r>
      <w:r w:rsidRPr="00A976A9">
        <w:t>de Gruyter</w:t>
      </w:r>
      <w:r>
        <w:t xml:space="preserve"> GmbH</w:t>
      </w:r>
      <w:r w:rsidRPr="00A976A9">
        <w:t>,2023.</w:t>
      </w:r>
      <w:r>
        <w:t xml:space="preserve"> ISBN 978-3-11-099933-4</w:t>
      </w:r>
    </w:p>
    <w:p w14:paraId="54A0DACC" w14:textId="6653039F" w:rsidR="004140DF" w:rsidRDefault="00730195" w:rsidP="004140DF">
      <w:pPr>
        <w:pStyle w:val="berschrift2"/>
      </w:pPr>
      <w:bookmarkStart w:id="107" w:name="_Toc132204346"/>
      <w:r>
        <w:lastRenderedPageBreak/>
        <w:t>Internet</w:t>
      </w:r>
      <w:bookmarkEnd w:id="107"/>
    </w:p>
    <w:p w14:paraId="39F6B1A8" w14:textId="0AB481FD" w:rsidR="004140DF" w:rsidRDefault="004140DF" w:rsidP="00B76C0B">
      <w:pPr>
        <w:pStyle w:val="Listenabsatz"/>
        <w:numPr>
          <w:ilvl w:val="0"/>
          <w:numId w:val="19"/>
        </w:numPr>
      </w:pPr>
      <w:r w:rsidRPr="00BB2613">
        <w:t>bitkom</w:t>
      </w:r>
      <w:r>
        <w:t xml:space="preserve"> (2022) Verarbeitung personenbezogener Daten in Drittländern. Version 1.3, </w:t>
      </w:r>
      <w:r w:rsidRPr="00BB2613">
        <w:t>Auf</w:t>
      </w:r>
      <w:r>
        <w:t xml:space="preserve"> Basis der EU-Datenschutz-Grundverordnung post </w:t>
      </w:r>
      <w:r w:rsidRPr="00BB2613">
        <w:t>Schrems</w:t>
      </w:r>
      <w:r>
        <w:t xml:space="preserve"> II.</w:t>
      </w:r>
      <w:r w:rsidR="005742A1">
        <w:t xml:space="preserve"> Online, zitiert am 2023-04-09; verfügbar </w:t>
      </w:r>
      <w:r w:rsidR="005742A1" w:rsidRPr="00BB2613">
        <w:t xml:space="preserve">unter </w:t>
      </w:r>
      <w:r w:rsidR="005742A1">
        <w:t xml:space="preserve"> </w:t>
      </w:r>
      <w:hyperlink r:id="rId19" w:history="1">
        <w:r w:rsidRPr="00FD476C">
          <w:rPr>
            <w:rStyle w:val="Hyperlink"/>
          </w:rPr>
          <w:t>https://www.bitkom.org/Bitkom/Publikationen/Verarbeitung-personenbezogener-Daten-Drittlaender</w:t>
        </w:r>
      </w:hyperlink>
    </w:p>
    <w:p w14:paraId="480A42F0" w14:textId="69BD39E5" w:rsidR="004140DF" w:rsidRDefault="004140DF" w:rsidP="007B6519">
      <w:pPr>
        <w:pStyle w:val="Listenabsatz"/>
        <w:numPr>
          <w:ilvl w:val="0"/>
          <w:numId w:val="19"/>
        </w:numPr>
      </w:pPr>
      <w:r w:rsidRPr="00BB2613">
        <w:t>DSK</w:t>
      </w:r>
      <w:r>
        <w:t xml:space="preserve"> (2022-11-15) Kurzgutachten zur datenschutzrechtlichen Konformität des Betriebs von Facebook‐Fanpages.</w:t>
      </w:r>
      <w:r w:rsidR="005742A1">
        <w:t xml:space="preserve"> Online, zitiert am 2023-04-09; verfügbar </w:t>
      </w:r>
      <w:r w:rsidR="005742A1" w:rsidRPr="00BB2613">
        <w:t xml:space="preserve">unter </w:t>
      </w:r>
      <w:r w:rsidR="005742A1">
        <w:t xml:space="preserve"> </w:t>
      </w:r>
      <w:hyperlink r:id="rId20" w:history="1">
        <w:r w:rsidR="005742A1" w:rsidRPr="00BB2613">
          <w:rPr>
            <w:rStyle w:val="Hyperlink"/>
          </w:rPr>
          <w:t>https</w:t>
        </w:r>
        <w:r w:rsidR="005742A1">
          <w:rPr>
            <w:rStyle w:val="Hyperlink"/>
          </w:rPr>
          <w:t>://</w:t>
        </w:r>
        <w:r w:rsidR="005742A1" w:rsidRPr="00BB2613">
          <w:rPr>
            <w:rStyle w:val="Hyperlink"/>
          </w:rPr>
          <w:t>www</w:t>
        </w:r>
        <w:r w:rsidR="005742A1">
          <w:rPr>
            <w:rStyle w:val="Hyperlink"/>
          </w:rPr>
          <w:t xml:space="preserve">. </w:t>
        </w:r>
        <w:r w:rsidR="005742A1" w:rsidRPr="00BB2613">
          <w:rPr>
            <w:rStyle w:val="Hyperlink"/>
          </w:rPr>
          <w:t>datenschutzkonferenz-online.de</w:t>
        </w:r>
        <w:r w:rsidR="005742A1">
          <w:rPr>
            <w:rStyle w:val="Hyperlink"/>
          </w:rPr>
          <w:t>/</w:t>
        </w:r>
        <w:r w:rsidR="005742A1" w:rsidRPr="00BB2613">
          <w:rPr>
            <w:rStyle w:val="Hyperlink"/>
          </w:rPr>
          <w:t>media</w:t>
        </w:r>
        <w:r w:rsidR="005742A1">
          <w:rPr>
            <w:rStyle w:val="Hyperlink"/>
          </w:rPr>
          <w:t>/</w:t>
        </w:r>
        <w:r w:rsidR="005742A1" w:rsidRPr="00BB2613">
          <w:rPr>
            <w:rStyle w:val="Hyperlink"/>
          </w:rPr>
          <w:t>weitere_dokumente</w:t>
        </w:r>
        <w:r w:rsidR="005742A1">
          <w:rPr>
            <w:rStyle w:val="Hyperlink"/>
          </w:rPr>
          <w:t>/</w:t>
        </w:r>
        <w:r w:rsidR="005742A1" w:rsidRPr="00BB2613">
          <w:rPr>
            <w:rStyle w:val="Hyperlink"/>
          </w:rPr>
          <w:t>Kurzgutachten_Facebook-Fanpages_V1_1_clean.pdf</w:t>
        </w:r>
      </w:hyperlink>
    </w:p>
    <w:p w14:paraId="10A5F117" w14:textId="62A60388" w:rsidR="004140DF" w:rsidRDefault="004140DF" w:rsidP="004140DF">
      <w:pPr>
        <w:pStyle w:val="Listenabsatz"/>
        <w:numPr>
          <w:ilvl w:val="0"/>
          <w:numId w:val="19"/>
        </w:numPr>
      </w:pPr>
      <w:r>
        <w:t>EDSA (2021) Empfehlungen 01/2020 zu Maßnahmen zur Ergänzung von Übermittlungstools zur Gewährleistung des unionsrechtlichen Schutzniveaus für personenbezogene Daten.</w:t>
      </w:r>
      <w:r w:rsidR="00481EB2">
        <w:t xml:space="preserve"> </w:t>
      </w:r>
      <w:r>
        <w:t>Version 2.0.</w:t>
      </w:r>
    </w:p>
    <w:p w14:paraId="4CB6C0E9" w14:textId="3C645721" w:rsidR="004140DF" w:rsidRDefault="005742A1" w:rsidP="005742A1">
      <w:pPr>
        <w:pStyle w:val="Listenabsatz"/>
        <w:ind w:left="360"/>
      </w:pPr>
      <w:r w:rsidRPr="005742A1">
        <w:t xml:space="preserve">Online, zitiert am 2023-04-09; verfügbar unter </w:t>
      </w:r>
      <w:hyperlink r:id="rId21" w:history="1">
        <w:r w:rsidR="004140DF">
          <w:rPr>
            <w:rStyle w:val="Hyperlink"/>
          </w:rPr>
          <w:t xml:space="preserve">https://edpb.europa.eu/our-work-tools/our-documents/ </w:t>
        </w:r>
        <w:r w:rsidR="004140DF" w:rsidRPr="00BB2613">
          <w:rPr>
            <w:rStyle w:val="Hyperlink"/>
          </w:rPr>
          <w:t>recommendations</w:t>
        </w:r>
        <w:r w:rsidR="004140DF">
          <w:rPr>
            <w:rStyle w:val="Hyperlink"/>
          </w:rPr>
          <w:t>/</w:t>
        </w:r>
        <w:r w:rsidR="004140DF" w:rsidRPr="00BB2613">
          <w:rPr>
            <w:rStyle w:val="Hyperlink"/>
          </w:rPr>
          <w:t>recommendations-012020-measures-supplement-transfer_de</w:t>
        </w:r>
      </w:hyperlink>
    </w:p>
    <w:p w14:paraId="465447F7" w14:textId="7BBA70D7" w:rsidR="005742A1" w:rsidRPr="00341A72" w:rsidRDefault="005742A1" w:rsidP="008D5F04">
      <w:pPr>
        <w:pStyle w:val="Listenabsatz"/>
        <w:numPr>
          <w:ilvl w:val="0"/>
          <w:numId w:val="19"/>
        </w:numPr>
      </w:pPr>
      <w:r w:rsidRPr="005742A1">
        <w:rPr>
          <w:lang w:val="en-US"/>
        </w:rPr>
        <w:t xml:space="preserve">ICO (2022) Data protection impact assessments. </w:t>
      </w:r>
      <w:r w:rsidRPr="005742A1">
        <w:t xml:space="preserve">Online, zitiert am 2023-04-09; verfügbar unter </w:t>
      </w:r>
      <w:hyperlink r:id="rId22" w:history="1">
        <w:r w:rsidRPr="00543886">
          <w:rPr>
            <w:rStyle w:val="Hyperlink"/>
          </w:rPr>
          <w:t>https://ico.org.uk/for-organisations/guide-to-data-protection/guide-to-the-general-data-protection-regulation-gdpr/accountability-and-governance/data-protection-impact-assessments/</w:t>
        </w:r>
      </w:hyperlink>
    </w:p>
    <w:p w14:paraId="36E31127" w14:textId="0B666AC2" w:rsidR="005742A1" w:rsidRPr="00341A72" w:rsidRDefault="005742A1" w:rsidP="008A2C3C">
      <w:pPr>
        <w:pStyle w:val="Listenabsatz"/>
        <w:numPr>
          <w:ilvl w:val="0"/>
          <w:numId w:val="19"/>
        </w:numPr>
      </w:pPr>
      <w:r w:rsidRPr="00BB2613">
        <w:t>ICO</w:t>
      </w:r>
      <w:r w:rsidRPr="00341A72">
        <w:t xml:space="preserve"> (2018) Sample </w:t>
      </w:r>
      <w:r w:rsidRPr="00BB2613">
        <w:t>DPIA</w:t>
      </w:r>
      <w:r w:rsidRPr="00341A72">
        <w:t xml:space="preserve"> </w:t>
      </w:r>
      <w:r w:rsidRPr="00BB2613">
        <w:t>template</w:t>
      </w:r>
      <w:r w:rsidRPr="00341A72">
        <w:t xml:space="preserve">. </w:t>
      </w:r>
      <w:r w:rsidRPr="005742A1">
        <w:t xml:space="preserve">Online, zitiert am 2023-04-09; verfügbar unter </w:t>
      </w:r>
      <w:hyperlink r:id="rId23" w:history="1">
        <w:r w:rsidRPr="00BB2613">
          <w:rPr>
            <w:rStyle w:val="Hyperlink"/>
          </w:rPr>
          <w:t>https://ico.org.uk/media/for-organisations/documents/2553993/dpia-template.docx</w:t>
        </w:r>
      </w:hyperlink>
    </w:p>
    <w:p w14:paraId="1A138EAD" w14:textId="54D3AFF4" w:rsidR="004140DF" w:rsidRDefault="004140DF" w:rsidP="00BE03FA">
      <w:pPr>
        <w:pStyle w:val="Listenabsatz"/>
        <w:numPr>
          <w:ilvl w:val="0"/>
          <w:numId w:val="19"/>
        </w:numPr>
      </w:pPr>
      <w:r w:rsidRPr="005742A1">
        <w:rPr>
          <w:lang w:val="en-US"/>
        </w:rPr>
        <w:t>ICO (2022) International data transfer agreement and guidance.</w:t>
      </w:r>
      <w:r w:rsidR="00730195" w:rsidRPr="005742A1">
        <w:rPr>
          <w:lang w:val="en-US"/>
        </w:rPr>
        <w:t xml:space="preserve"> </w:t>
      </w:r>
      <w:r w:rsidR="00730195" w:rsidRPr="00341A72">
        <w:t>Transfer Impact Assessment Templates.</w:t>
      </w:r>
      <w:r w:rsidR="005742A1" w:rsidRPr="00341A72">
        <w:t xml:space="preserve"> </w:t>
      </w:r>
      <w:r w:rsidR="005742A1" w:rsidRPr="005742A1">
        <w:t xml:space="preserve">Online, zitiert am 2023-04-09; verfügbar unter </w:t>
      </w:r>
      <w:hyperlink r:id="rId24" w:history="1">
        <w:r w:rsidRPr="00FD476C">
          <w:rPr>
            <w:rStyle w:val="Hyperlink"/>
          </w:rPr>
          <w:t>https://ico.org.uk/for-organisations/guide-to-data-protection/guide-to-the-general-data-protection-regulation-gdpr/international-data-transfer-agreement-and-guidance/</w:t>
        </w:r>
      </w:hyperlink>
    </w:p>
    <w:p w14:paraId="7B554921" w14:textId="48B14144" w:rsidR="004140DF" w:rsidRDefault="004140DF" w:rsidP="000F5F4D">
      <w:pPr>
        <w:pStyle w:val="Listenabsatz"/>
        <w:numPr>
          <w:ilvl w:val="0"/>
          <w:numId w:val="19"/>
        </w:numPr>
      </w:pPr>
      <w:r w:rsidRPr="00BB2613">
        <w:t>ICO</w:t>
      </w:r>
      <w:r>
        <w:t xml:space="preserve"> (2022) Transfer </w:t>
      </w:r>
      <w:r w:rsidRPr="00BB2613">
        <w:t>risk</w:t>
      </w:r>
      <w:r>
        <w:t xml:space="preserve"> </w:t>
      </w:r>
      <w:r w:rsidRPr="00BB2613">
        <w:t>assessments</w:t>
      </w:r>
      <w:r>
        <w:t>.</w:t>
      </w:r>
      <w:r w:rsidR="005742A1">
        <w:t xml:space="preserve"> </w:t>
      </w:r>
      <w:r w:rsidR="005742A1" w:rsidRPr="005742A1">
        <w:t xml:space="preserve">Online, zitiert am 2023-04-09; verfügbar unter </w:t>
      </w:r>
      <w:hyperlink r:id="rId25" w:history="1">
        <w:r w:rsidRPr="00BB2613">
          <w:rPr>
            <w:rStyle w:val="Hyperlink"/>
          </w:rPr>
          <w:t>https://ico.org.uk/for-organisations/guide-to-data-protection/guide-to-the-general-data-protection-regulation-gdpr/international-data-transfer-agreement-and-guidance/transfer-risk-assessments/</w:t>
        </w:r>
      </w:hyperlink>
    </w:p>
    <w:p w14:paraId="54D2E185" w14:textId="4B5965DC" w:rsidR="00730195" w:rsidRDefault="00730195" w:rsidP="001A155B">
      <w:pPr>
        <w:pStyle w:val="Listenabsatz"/>
        <w:numPr>
          <w:ilvl w:val="0"/>
          <w:numId w:val="19"/>
        </w:numPr>
      </w:pPr>
      <w:r w:rsidRPr="00730195">
        <w:t xml:space="preserve">International </w:t>
      </w:r>
      <w:r w:rsidRPr="00BB2613">
        <w:t>Association</w:t>
      </w:r>
      <w:r w:rsidRPr="00730195">
        <w:t xml:space="preserve"> </w:t>
      </w:r>
      <w:r w:rsidRPr="00BB2613">
        <w:t>of</w:t>
      </w:r>
      <w:r w:rsidRPr="00730195">
        <w:t xml:space="preserve"> </w:t>
      </w:r>
      <w:r w:rsidRPr="00BB2613">
        <w:t>Privacy</w:t>
      </w:r>
      <w:r w:rsidRPr="00730195">
        <w:t xml:space="preserve"> Professionals</w:t>
      </w:r>
      <w:r>
        <w:t xml:space="preserve"> (</w:t>
      </w:r>
      <w:r w:rsidRPr="00BB2613">
        <w:t>IAPP</w:t>
      </w:r>
      <w:r>
        <w:t>, 2021)</w:t>
      </w:r>
      <w:r w:rsidR="005742A1">
        <w:t xml:space="preserve"> </w:t>
      </w:r>
      <w:r w:rsidR="005742A1" w:rsidRPr="005742A1">
        <w:t xml:space="preserve">Online, zitiert am 2023-04-09; verfügbar unter </w:t>
      </w:r>
      <w:hyperlink r:id="rId26" w:history="1">
        <w:r w:rsidRPr="00543886">
          <w:rPr>
            <w:rStyle w:val="Hyperlink"/>
          </w:rPr>
          <w:t>https://iapp.org/resources/article/transfer-</w:t>
        </w:r>
        <w:r w:rsidRPr="00BB2613">
          <w:rPr>
            <w:rStyle w:val="Hyperlink"/>
          </w:rPr>
          <w:t>impact-assessment-templates/</w:t>
        </w:r>
      </w:hyperlink>
    </w:p>
    <w:p w14:paraId="5EAD9179" w14:textId="4C98F8DF" w:rsidR="00730195" w:rsidRDefault="00730195" w:rsidP="0040263A">
      <w:pPr>
        <w:pStyle w:val="Listenabsatz"/>
        <w:numPr>
          <w:ilvl w:val="0"/>
          <w:numId w:val="19"/>
        </w:numPr>
      </w:pPr>
      <w:r w:rsidRPr="00536FFA">
        <w:rPr>
          <w:lang w:val="en-US"/>
        </w:rPr>
        <w:t>Microsoft (2023) Data Protection Impact Assessment for the GDPR.</w:t>
      </w:r>
      <w:r w:rsidR="005742A1" w:rsidRPr="00536FFA">
        <w:rPr>
          <w:lang w:val="en-US"/>
        </w:rPr>
        <w:t xml:space="preserve"> </w:t>
      </w:r>
      <w:r w:rsidR="005742A1" w:rsidRPr="005742A1">
        <w:t xml:space="preserve">Online, zitiert am 2023-04-09; verfügbar unter </w:t>
      </w:r>
      <w:hyperlink r:id="rId27" w:history="1">
        <w:r w:rsidRPr="00A976A9">
          <w:rPr>
            <w:rStyle w:val="Hyperlink"/>
          </w:rPr>
          <w:t>https://learn.microsoft.com/en-us/compliance/regulatory/gdpr-data-protection-impact-assessments</w:t>
        </w:r>
      </w:hyperlink>
    </w:p>
    <w:p w14:paraId="11E35F5E" w14:textId="761E53A8" w:rsidR="004140DF" w:rsidRDefault="004140DF" w:rsidP="00A44C03">
      <w:pPr>
        <w:pStyle w:val="Listenabsatz"/>
        <w:numPr>
          <w:ilvl w:val="0"/>
          <w:numId w:val="19"/>
        </w:numPr>
      </w:pPr>
      <w:r>
        <w:t xml:space="preserve">Österreichische Datenschutzbehörde (2021) Teilbescheid </w:t>
      </w:r>
      <w:r w:rsidRPr="00BB2613">
        <w:t>D155.027</w:t>
      </w:r>
      <w:r>
        <w:t xml:space="preserve">, 2021-0.586.257: Einsatz von Google </w:t>
      </w:r>
      <w:r w:rsidRPr="00BB2613">
        <w:t>Analytics</w:t>
      </w:r>
      <w:r>
        <w:t xml:space="preserve"> auf der Basis von Standarddatenschutzklauseln unzulässig.</w:t>
      </w:r>
      <w:r w:rsidR="005742A1">
        <w:t xml:space="preserve"> </w:t>
      </w:r>
      <w:r w:rsidR="005742A1" w:rsidRPr="005742A1">
        <w:t xml:space="preserve">Online, zitiert am 2023-04-09; verfügbar unter </w:t>
      </w:r>
      <w:hyperlink r:id="rId28" w:history="1">
        <w:r w:rsidRPr="00BB2613">
          <w:rPr>
            <w:rStyle w:val="Hyperlink"/>
          </w:rPr>
          <w:t>https://www.dsb.gv.at/dam/jcr:c1eb937b-7527-450c-8771-74523b01223c/D155.027%20GA.pdf</w:t>
        </w:r>
      </w:hyperlink>
    </w:p>
    <w:p w14:paraId="3786A5FD" w14:textId="77777777" w:rsidR="004140DF" w:rsidRDefault="004140DF" w:rsidP="004140DF">
      <w:pPr>
        <w:pStyle w:val="berschrift2"/>
      </w:pPr>
      <w:bookmarkStart w:id="108" w:name="_Toc132204347"/>
      <w:r>
        <w:t>Gutachten zur Rechtslage in Drittstaaten</w:t>
      </w:r>
      <w:bookmarkEnd w:id="108"/>
    </w:p>
    <w:p w14:paraId="439AA0F8" w14:textId="2D1ABD30" w:rsidR="004140DF" w:rsidRDefault="004140DF" w:rsidP="007D66D9">
      <w:pPr>
        <w:pStyle w:val="Listenabsatz"/>
        <w:numPr>
          <w:ilvl w:val="0"/>
          <w:numId w:val="20"/>
        </w:numPr>
      </w:pPr>
      <w:r w:rsidRPr="00BB2613">
        <w:t>DSK</w:t>
      </w:r>
      <w:r>
        <w:t xml:space="preserve"> (2022-01-25) Gutachten zum aktuellen Stand des US-Überwachungsrechts und der Überwachungsbefugnisse (Deutsch).</w:t>
      </w:r>
      <w:r w:rsidR="005742A1">
        <w:t xml:space="preserve"> Online, zitiert am 2023-04-09; verfügbar </w:t>
      </w:r>
      <w:r w:rsidR="005742A1" w:rsidRPr="00BB2613">
        <w:t xml:space="preserve">unter </w:t>
      </w:r>
      <w:r w:rsidR="005742A1">
        <w:t xml:space="preserve"> </w:t>
      </w:r>
      <w:hyperlink r:id="rId29" w:history="1">
        <w:r w:rsidR="005742A1">
          <w:rPr>
            <w:rStyle w:val="Hyperlink"/>
          </w:rPr>
          <w:t xml:space="preserve">https://www.datenschutzkonferenz-online.de/media/weitere_dokumente/Vladek_ </w:t>
        </w:r>
        <w:r w:rsidR="005742A1" w:rsidRPr="00BB2613">
          <w:rPr>
            <w:rStyle w:val="Hyperlink"/>
          </w:rPr>
          <w:t>Rechtsgutachten_DSK_de.pdf</w:t>
        </w:r>
      </w:hyperlink>
    </w:p>
    <w:p w14:paraId="1E1E1D91" w14:textId="14274960" w:rsidR="004140DF" w:rsidRDefault="004140DF" w:rsidP="00A45987">
      <w:pPr>
        <w:pStyle w:val="Listenabsatz"/>
        <w:numPr>
          <w:ilvl w:val="0"/>
          <w:numId w:val="20"/>
        </w:numPr>
      </w:pPr>
      <w:r w:rsidRPr="00BB2613">
        <w:t>DSK</w:t>
      </w:r>
      <w:r>
        <w:t xml:space="preserve"> (2022-01-25) </w:t>
      </w:r>
      <w:r w:rsidRPr="00BB2613">
        <w:t>Wesentliche</w:t>
      </w:r>
      <w:r>
        <w:t xml:space="preserve"> Befunde des Gutachtens von Stephen I. </w:t>
      </w:r>
      <w:r w:rsidRPr="00BB2613">
        <w:t>Vladeck</w:t>
      </w:r>
      <w:r>
        <w:t xml:space="preserve"> vom 15.11.2021 zur Rechtslage in den USA.</w:t>
      </w:r>
      <w:r w:rsidR="005742A1">
        <w:t xml:space="preserve"> Online, zitiert am 2023-04-09; verfügbar </w:t>
      </w:r>
      <w:r w:rsidR="005742A1" w:rsidRPr="00BB2613">
        <w:t xml:space="preserve">unter </w:t>
      </w:r>
      <w:r w:rsidR="005742A1">
        <w:t xml:space="preserve"> </w:t>
      </w:r>
      <w:hyperlink r:id="rId30" w:history="1">
        <w:r w:rsidR="005742A1">
          <w:rPr>
            <w:rStyle w:val="Hyperlink"/>
          </w:rPr>
          <w:t xml:space="preserve">https://www.datenschutzkonferenz-online.de/media/weitere_dokumente/20220125_dsk_ </w:t>
        </w:r>
        <w:r w:rsidR="005742A1" w:rsidRPr="00BB2613">
          <w:rPr>
            <w:rStyle w:val="Hyperlink"/>
          </w:rPr>
          <w:t>vladek.pdf</w:t>
        </w:r>
      </w:hyperlink>
    </w:p>
    <w:p w14:paraId="36409071" w14:textId="451D8FEB" w:rsidR="004140DF" w:rsidRPr="00CC4D9A" w:rsidRDefault="004140DF" w:rsidP="008F2CDE">
      <w:pPr>
        <w:pStyle w:val="Listenabsatz"/>
        <w:numPr>
          <w:ilvl w:val="0"/>
          <w:numId w:val="20"/>
        </w:numPr>
        <w:rPr>
          <w:rStyle w:val="Hyperlink"/>
          <w:color w:val="auto"/>
          <w:u w:val="none"/>
        </w:rPr>
      </w:pPr>
      <w:r w:rsidRPr="00536FFA">
        <w:rPr>
          <w:lang w:val="en-US"/>
        </w:rPr>
        <w:t xml:space="preserve">EDSA (2021-11-08) Legal study on Government access to data in third countries. </w:t>
      </w:r>
      <w:r>
        <w:t xml:space="preserve">(China, India, </w:t>
      </w:r>
      <w:r w:rsidRPr="00A976A9">
        <w:t>Russia</w:t>
      </w:r>
      <w:r>
        <w:t>)</w:t>
      </w:r>
      <w:r w:rsidR="005742A1">
        <w:t xml:space="preserve"> Online, zitiert am 2023-04-09; verfügbar </w:t>
      </w:r>
      <w:r w:rsidR="005742A1" w:rsidRPr="00A976A9">
        <w:t xml:space="preserve">unter </w:t>
      </w:r>
      <w:r w:rsidR="005742A1">
        <w:t xml:space="preserve"> </w:t>
      </w:r>
      <w:hyperlink r:id="rId31" w:history="1">
        <w:r w:rsidRPr="00FD476C">
          <w:rPr>
            <w:rStyle w:val="Hyperlink"/>
          </w:rPr>
          <w:t>https://edpb.europa.eu/our-work-tools/our-documents/legal-study-external-provider/legal-study-government-access-data-third_en</w:t>
        </w:r>
      </w:hyperlink>
    </w:p>
    <w:p w14:paraId="436F4F03" w14:textId="5874AD20" w:rsidR="004140DF" w:rsidRDefault="00CC4D9A" w:rsidP="00CC4D9A">
      <w:pPr>
        <w:pStyle w:val="berschrift1"/>
        <w:numPr>
          <w:ilvl w:val="0"/>
          <w:numId w:val="0"/>
        </w:numPr>
      </w:pPr>
      <w:bookmarkStart w:id="109" w:name="_Toc132204348"/>
      <w:r>
        <w:lastRenderedPageBreak/>
        <w:t xml:space="preserve">Anhang: </w:t>
      </w:r>
      <w:r w:rsidR="00F43AEE">
        <w:t>Makros</w:t>
      </w:r>
      <w:r>
        <w:t xml:space="preserve"> in Excel prüfen</w:t>
      </w:r>
      <w:bookmarkEnd w:id="109"/>
    </w:p>
    <w:p w14:paraId="796F817F" w14:textId="2A2AD28B" w:rsidR="00CC4D9A" w:rsidRDefault="00F43AEE" w:rsidP="00CC4D9A">
      <w:r>
        <w:rPr>
          <w:noProof/>
        </w:rPr>
        <mc:AlternateContent>
          <mc:Choice Requires="wpg">
            <w:drawing>
              <wp:anchor distT="0" distB="0" distL="114300" distR="114300" simplePos="0" relativeHeight="251664384" behindDoc="0" locked="0" layoutInCell="1" allowOverlap="1" wp14:anchorId="0F789DF1" wp14:editId="64BF222F">
                <wp:simplePos x="0" y="0"/>
                <wp:positionH relativeFrom="column">
                  <wp:posOffset>-102870</wp:posOffset>
                </wp:positionH>
                <wp:positionV relativeFrom="paragraph">
                  <wp:posOffset>1558290</wp:posOffset>
                </wp:positionV>
                <wp:extent cx="4274820" cy="1948180"/>
                <wp:effectExtent l="19050" t="0" r="0" b="0"/>
                <wp:wrapTopAndBottom/>
                <wp:docPr id="308315949" name="Gruppieren 2"/>
                <wp:cNvGraphicFramePr/>
                <a:graphic xmlns:a="http://schemas.openxmlformats.org/drawingml/2006/main">
                  <a:graphicData uri="http://schemas.microsoft.com/office/word/2010/wordprocessingGroup">
                    <wpg:wgp>
                      <wpg:cNvGrpSpPr/>
                      <wpg:grpSpPr>
                        <a:xfrm>
                          <a:off x="0" y="0"/>
                          <a:ext cx="4274820" cy="1948180"/>
                          <a:chOff x="0" y="0"/>
                          <a:chExt cx="4895328" cy="2324100"/>
                        </a:xfrm>
                      </wpg:grpSpPr>
                      <pic:pic xmlns:pic="http://schemas.openxmlformats.org/drawingml/2006/picture">
                        <pic:nvPicPr>
                          <pic:cNvPr id="943370000" name="Grafik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98233" y="0"/>
                            <a:ext cx="4697095" cy="2324100"/>
                          </a:xfrm>
                          <a:prstGeom prst="rect">
                            <a:avLst/>
                          </a:prstGeom>
                        </pic:spPr>
                      </pic:pic>
                      <wps:wsp>
                        <wps:cNvPr id="616929666" name="Ellipse 1"/>
                        <wps:cNvSpPr/>
                        <wps:spPr>
                          <a:xfrm>
                            <a:off x="0" y="1727167"/>
                            <a:ext cx="1499015" cy="351999"/>
                          </a:xfrm>
                          <a:prstGeom prst="ellipse">
                            <a:avLst/>
                          </a:prstGeom>
                          <a:noFill/>
                          <a:ln w="50800">
                            <a:solidFill>
                              <a:srgbClr val="F919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BFF005" id="Gruppieren 2" o:spid="_x0000_s1026" style="position:absolute;margin-left:-8.1pt;margin-top:122.7pt;width:336.6pt;height:153.4pt;z-index:251664384;mso-width-relative:margin;mso-height-relative:margin" coordsize="48953,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&#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1982;width:46971;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">
                  <v:imagedata r:id="rId33" o:title=""/>
                </v:shape>
                <v:oval id="Ellipse 1" o:spid="_x0000_s1028" style="position:absolute;top:17271;width:14990;height:3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" filled="f" strokecolor="#f91901" strokeweight="4pt">
                  <v:stroke joinstyle="miter"/>
                </v:oval>
                <w10:wrap type="topAndBottom"/>
              </v:group>
            </w:pict>
          </mc:Fallback>
        </mc:AlternateContent>
      </w:r>
      <w:r>
        <w:t xml:space="preserve">Office-Dateien mit einem „x“ in der Dateiendung wie beispielsweise </w:t>
      </w:r>
      <w:r w:rsidRPr="00BB2613">
        <w:t>docx</w:t>
      </w:r>
      <w:r>
        <w:t xml:space="preserve"> oder </w:t>
      </w:r>
      <w:r w:rsidRPr="00BB2613">
        <w:t>xlsx</w:t>
      </w:r>
      <w:r>
        <w:t xml:space="preserve"> sind nichts anderes als </w:t>
      </w:r>
      <w:r w:rsidRPr="00BB2613">
        <w:t>zip-Dateien</w:t>
      </w:r>
      <w:r>
        <w:t xml:space="preserve">. Daher kann man durch </w:t>
      </w:r>
      <w:r w:rsidR="00984D67">
        <w:t>U</w:t>
      </w:r>
      <w:r>
        <w:t xml:space="preserve">mbenennen und </w:t>
      </w:r>
      <w:r w:rsidR="00984D67">
        <w:t>A</w:t>
      </w:r>
      <w:r>
        <w:t>nfügen der Dateiendung „</w:t>
      </w:r>
      <w:r w:rsidRPr="00BB2613">
        <w:t>.zip</w:t>
      </w:r>
      <w:r>
        <w:t xml:space="preserve">“ eine Datei problemlos in einem Dateiexplorer öffnen und sich den Inhalt der entsprechenden Office-Datei ansehen. Auch Excel-Dateien </w:t>
      </w:r>
      <w:r w:rsidRPr="00BB2613">
        <w:t>mit enthaltenen Makros</w:t>
      </w:r>
      <w:r>
        <w:t xml:space="preserve"> (</w:t>
      </w:r>
      <w:r w:rsidRPr="00BB2613">
        <w:t>xlsm-Dateien</w:t>
      </w:r>
      <w:r>
        <w:t xml:space="preserve">) sind nichts anderes als </w:t>
      </w:r>
      <w:r w:rsidRPr="00BB2613">
        <w:t>zip-Dateien</w:t>
      </w:r>
      <w:r>
        <w:t xml:space="preserve"> und können so geöffnet werden. Fast alle in der </w:t>
      </w:r>
      <w:r w:rsidRPr="00BB2613">
        <w:t>zip-Datei</w:t>
      </w:r>
      <w:r>
        <w:t xml:space="preserve"> enthaltenen Dateien sind </w:t>
      </w:r>
      <w:r w:rsidRPr="00BB2613">
        <w:t>xml-Dateien</w:t>
      </w:r>
      <w:r>
        <w:t xml:space="preserve">, die mit jedem beliebigen Text-Editor angesehen und verändert werden können. Ausgerechnet die </w:t>
      </w:r>
      <w:r w:rsidRPr="00BB2613">
        <w:t>VBA-Makros</w:t>
      </w:r>
      <w:r>
        <w:t xml:space="preserve"> sind jedoch Binärdateien, sodass man den </w:t>
      </w:r>
      <w:r w:rsidRPr="00BB2613">
        <w:t>VBA-Code</w:t>
      </w:r>
      <w:r>
        <w:t xml:space="preserve"> auf diese Weise nicht prüfen kann (</w:t>
      </w:r>
      <w:r w:rsidRPr="00A976A9">
        <w:t>siehe</w:t>
      </w:r>
      <w:r>
        <w:t xml:space="preserve"> </w:t>
      </w:r>
      <w:r>
        <w:fldChar w:fldCharType="begin"/>
      </w:r>
      <w:r>
        <w:instrText xml:space="preserve"> REF _Ref131967497 \h </w:instrText>
      </w:r>
      <w:r>
        <w:fldChar w:fldCharType="separate"/>
      </w:r>
      <w:r w:rsidR="00A0643B">
        <w:t xml:space="preserve">Abbildung </w:t>
      </w:r>
      <w:r w:rsidR="00A0643B">
        <w:rPr>
          <w:noProof/>
        </w:rPr>
        <w:t>4</w:t>
      </w:r>
      <w:r>
        <w:fldChar w:fldCharType="end"/>
      </w:r>
      <w:r>
        <w:t>)</w:t>
      </w:r>
      <w:r w:rsidR="00341A72">
        <w:t>.</w:t>
      </w:r>
    </w:p>
    <w:p w14:paraId="0E7C85A2" w14:textId="4F244772" w:rsidR="00F43AEE" w:rsidRDefault="00F43AEE" w:rsidP="00F43AEE">
      <w:pPr>
        <w:pStyle w:val="Beschriftung"/>
      </w:pPr>
      <w:bookmarkStart w:id="110" w:name="_Ref131967497"/>
      <w:r>
        <w:t xml:space="preserve">Abbildung </w:t>
      </w:r>
      <w:fldSimple w:instr=" SEQ Abbildung \* ARABIC ">
        <w:r w:rsidR="00A0643B">
          <w:rPr>
            <w:noProof/>
          </w:rPr>
          <w:t>4</w:t>
        </w:r>
      </w:fldSimple>
      <w:bookmarkEnd w:id="110"/>
      <w:r>
        <w:t>:</w:t>
      </w:r>
      <w:r>
        <w:rPr>
          <w:noProof/>
        </w:rPr>
        <w:t xml:space="preserve"> </w:t>
      </w:r>
      <w:r w:rsidRPr="00BB2613">
        <w:rPr>
          <w:noProof/>
        </w:rPr>
        <w:t>Mit</w:t>
      </w:r>
      <w:r>
        <w:rPr>
          <w:noProof/>
        </w:rPr>
        <w:t xml:space="preserve"> "</w:t>
      </w:r>
      <w:r w:rsidRPr="00BB2613">
        <w:rPr>
          <w:noProof/>
        </w:rPr>
        <w:t>zip</w:t>
      </w:r>
      <w:r>
        <w:rPr>
          <w:noProof/>
        </w:rPr>
        <w:t xml:space="preserve">"-Endung versehene und geöffnete </w:t>
      </w:r>
      <w:r w:rsidRPr="00BB2613">
        <w:rPr>
          <w:noProof/>
        </w:rPr>
        <w:t>Exce</w:t>
      </w:r>
      <w:r>
        <w:rPr>
          <w:noProof/>
        </w:rPr>
        <w:t>--Tabelle</w:t>
      </w:r>
    </w:p>
    <w:p w14:paraId="2E3C2EA9" w14:textId="01529C85" w:rsidR="00F43AEE" w:rsidRDefault="00341A72" w:rsidP="00CC4D9A">
      <w:r w:rsidRPr="00A976A9">
        <w:t>Öff</w:t>
      </w:r>
      <w:r w:rsidR="001F1248" w:rsidRPr="00A976A9">
        <w:t>net</w:t>
      </w:r>
      <w:r w:rsidR="001F1248">
        <w:t xml:space="preserve"> man eine Excel-Datei mit einem Makro, werden Makros </w:t>
      </w:r>
      <w:r w:rsidR="00A976A9">
        <w:t xml:space="preserve">von Excel zunächst einmal aber </w:t>
      </w:r>
      <w:r w:rsidR="001F1248">
        <w:t xml:space="preserve">nicht ausgeführt. Stattdessen erhält man eine Sicherheitswarnung (siehe </w:t>
      </w:r>
      <w:r w:rsidR="001F1248">
        <w:fldChar w:fldCharType="begin"/>
      </w:r>
      <w:r w:rsidR="001F1248">
        <w:instrText xml:space="preserve"> REF _Ref131967661 \h </w:instrText>
      </w:r>
      <w:r w:rsidR="001F1248">
        <w:fldChar w:fldCharType="separate"/>
      </w:r>
      <w:r w:rsidR="00A0643B">
        <w:t xml:space="preserve">Abbildung </w:t>
      </w:r>
      <w:r w:rsidR="00A0643B">
        <w:rPr>
          <w:noProof/>
        </w:rPr>
        <w:t>5</w:t>
      </w:r>
      <w:r w:rsidR="001F1248">
        <w:fldChar w:fldCharType="end"/>
      </w:r>
      <w:r w:rsidR="001F1248">
        <w:t>).</w:t>
      </w:r>
    </w:p>
    <w:p w14:paraId="4E991BF3" w14:textId="65D45322" w:rsidR="001F1248" w:rsidRDefault="001F1248" w:rsidP="001F1248">
      <w:pPr>
        <w:spacing w:after="0"/>
      </w:pPr>
      <w:r w:rsidRPr="001F1248">
        <w:rPr>
          <w:noProof/>
        </w:rPr>
        <w:drawing>
          <wp:inline distT="0" distB="0" distL="0" distR="0" wp14:anchorId="1D862388" wp14:editId="779282B1">
            <wp:extent cx="5760720" cy="2467610"/>
            <wp:effectExtent l="0" t="0" r="0" b="8890"/>
            <wp:docPr id="8366833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83392" name=""/>
                    <pic:cNvPicPr/>
                  </pic:nvPicPr>
                  <pic:blipFill>
                    <a:blip r:embed="rId34"/>
                    <a:stretch>
                      <a:fillRect/>
                    </a:stretch>
                  </pic:blipFill>
                  <pic:spPr>
                    <a:xfrm>
                      <a:off x="0" y="0"/>
                      <a:ext cx="5760720" cy="2467610"/>
                    </a:xfrm>
                    <a:prstGeom prst="rect">
                      <a:avLst/>
                    </a:prstGeom>
                  </pic:spPr>
                </pic:pic>
              </a:graphicData>
            </a:graphic>
          </wp:inline>
        </w:drawing>
      </w:r>
    </w:p>
    <w:p w14:paraId="5DD88C3B" w14:textId="3C7C2875" w:rsidR="001F1248" w:rsidRDefault="001F1248" w:rsidP="001F1248">
      <w:pPr>
        <w:pStyle w:val="Beschriftung"/>
      </w:pPr>
      <w:bookmarkStart w:id="111" w:name="_Ref131967661"/>
      <w:r>
        <w:t xml:space="preserve">Abbildung </w:t>
      </w:r>
      <w:fldSimple w:instr=" SEQ Abbildung \* ARABIC ">
        <w:r w:rsidR="00A0643B">
          <w:rPr>
            <w:noProof/>
          </w:rPr>
          <w:t>5</w:t>
        </w:r>
      </w:fldSimple>
      <w:bookmarkEnd w:id="111"/>
      <w:r>
        <w:t>:</w:t>
      </w:r>
      <w:r>
        <w:rPr>
          <w:noProof/>
        </w:rPr>
        <w:t xml:space="preserve"> Warnung vor Makros bei Öffnen einer Excel-Tabelle mit Makros</w:t>
      </w:r>
    </w:p>
    <w:p w14:paraId="25D0B784" w14:textId="4B6C2F5A" w:rsidR="001F1248" w:rsidRDefault="001F1248" w:rsidP="00CC4D9A">
      <w:r>
        <w:t>Das oder die enthaltenen Makros werden erst aktiviert, wenn man auf „Inhalt aktivieren“ klickt.</w:t>
      </w:r>
      <w:r w:rsidR="00D2441D">
        <w:rPr>
          <w:rStyle w:val="Funotenzeichen"/>
        </w:rPr>
        <w:footnoteReference w:id="19"/>
      </w:r>
      <w:r>
        <w:t xml:space="preserve"> Bevor man </w:t>
      </w:r>
      <w:r w:rsidR="003B5C29">
        <w:t>klickt</w:t>
      </w:r>
      <w:r>
        <w:t>, sollte man sich jedoch die enthaltenen Makros ansehen. Hierzu klickt man in der Registerkarte „Entwicklertools“</w:t>
      </w:r>
      <w:r>
        <w:rPr>
          <w:rStyle w:val="Funotenzeichen"/>
        </w:rPr>
        <w:footnoteReference w:id="20"/>
      </w:r>
      <w:r>
        <w:t xml:space="preserve"> und dort auf „</w:t>
      </w:r>
      <w:r w:rsidRPr="00BB2613">
        <w:t>Visual</w:t>
      </w:r>
      <w:r>
        <w:t xml:space="preserve"> Basic“ (siehe </w:t>
      </w:r>
      <w:r>
        <w:fldChar w:fldCharType="begin"/>
      </w:r>
      <w:r>
        <w:instrText xml:space="preserve"> REF _Ref131968031 \h </w:instrText>
      </w:r>
      <w:r>
        <w:fldChar w:fldCharType="separate"/>
      </w:r>
      <w:r w:rsidR="00A0643B">
        <w:t xml:space="preserve">Abbildung </w:t>
      </w:r>
      <w:r w:rsidR="00A0643B">
        <w:rPr>
          <w:noProof/>
        </w:rPr>
        <w:t>6</w:t>
      </w:r>
      <w:r>
        <w:fldChar w:fldCharType="end"/>
      </w:r>
      <w:r>
        <w:t>).</w:t>
      </w:r>
    </w:p>
    <w:p w14:paraId="29A2F634" w14:textId="77777777" w:rsidR="001F1248" w:rsidRDefault="001F1248" w:rsidP="00CC4D9A"/>
    <w:p w14:paraId="0476DB66" w14:textId="4D8C56B6" w:rsidR="001F1248" w:rsidRDefault="001F1248" w:rsidP="001F1248">
      <w:pPr>
        <w:spacing w:after="0"/>
      </w:pPr>
      <w:r>
        <w:rPr>
          <w:noProof/>
        </w:rPr>
        <w:drawing>
          <wp:inline distT="0" distB="0" distL="0" distR="0" wp14:anchorId="1BE771D1" wp14:editId="075F5CF0">
            <wp:extent cx="5760720" cy="1496060"/>
            <wp:effectExtent l="0" t="0" r="0" b="8890"/>
            <wp:docPr id="3780514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51409" name=""/>
                    <pic:cNvPicPr/>
                  </pic:nvPicPr>
                  <pic:blipFill>
                    <a:blip r:embed="rId35"/>
                    <a:stretch>
                      <a:fillRect/>
                    </a:stretch>
                  </pic:blipFill>
                  <pic:spPr>
                    <a:xfrm>
                      <a:off x="0" y="0"/>
                      <a:ext cx="5760720" cy="1496060"/>
                    </a:xfrm>
                    <a:prstGeom prst="rect">
                      <a:avLst/>
                    </a:prstGeom>
                  </pic:spPr>
                </pic:pic>
              </a:graphicData>
            </a:graphic>
          </wp:inline>
        </w:drawing>
      </w:r>
    </w:p>
    <w:p w14:paraId="30709202" w14:textId="73ADD801" w:rsidR="001F1248" w:rsidRDefault="001F1248" w:rsidP="001F1248">
      <w:pPr>
        <w:pStyle w:val="Beschriftung"/>
        <w:rPr>
          <w:noProof/>
        </w:rPr>
      </w:pPr>
      <w:bookmarkStart w:id="112" w:name="_Ref131968031"/>
      <w:r>
        <w:t xml:space="preserve">Abbildung </w:t>
      </w:r>
      <w:fldSimple w:instr=" SEQ Abbildung \* ARABIC ">
        <w:r w:rsidR="00A0643B">
          <w:rPr>
            <w:noProof/>
          </w:rPr>
          <w:t>6</w:t>
        </w:r>
      </w:fldSimple>
      <w:bookmarkEnd w:id="112"/>
      <w:r>
        <w:t>:</w:t>
      </w:r>
      <w:r>
        <w:rPr>
          <w:noProof/>
        </w:rPr>
        <w:t xml:space="preserve"> Aufruf des </w:t>
      </w:r>
      <w:r w:rsidRPr="00BB2613">
        <w:rPr>
          <w:noProof/>
        </w:rPr>
        <w:t>VBA-Editors</w:t>
      </w:r>
      <w:r>
        <w:rPr>
          <w:noProof/>
        </w:rPr>
        <w:t xml:space="preserve"> in Excel</w:t>
      </w:r>
    </w:p>
    <w:p w14:paraId="68283E87" w14:textId="5D3A1BE3" w:rsidR="001F1248" w:rsidRDefault="001F1248" w:rsidP="001F1248">
      <w:r>
        <w:t xml:space="preserve">Daraufhin öffnet sich der </w:t>
      </w:r>
      <w:r w:rsidRPr="00BB2613">
        <w:t>Visual</w:t>
      </w:r>
      <w:r>
        <w:t xml:space="preserve"> Basic Editor von Microsoft und die in der Tabelle enthaltenen Makros werden angezeigt (siehe </w:t>
      </w:r>
      <w:r>
        <w:fldChar w:fldCharType="begin"/>
      </w:r>
      <w:r>
        <w:instrText xml:space="preserve"> REF _Ref131968243 \h </w:instrText>
      </w:r>
      <w:r>
        <w:fldChar w:fldCharType="separate"/>
      </w:r>
      <w:r w:rsidR="00A0643B">
        <w:t xml:space="preserve">Abbildung </w:t>
      </w:r>
      <w:r w:rsidR="00A0643B">
        <w:rPr>
          <w:noProof/>
        </w:rPr>
        <w:t>7</w:t>
      </w:r>
      <w:r>
        <w:fldChar w:fldCharType="end"/>
      </w:r>
      <w:r>
        <w:t>).</w:t>
      </w:r>
    </w:p>
    <w:p w14:paraId="62B0D07A" w14:textId="42C510B2" w:rsidR="001F1248" w:rsidRDefault="001F1248" w:rsidP="001F1248">
      <w:pPr>
        <w:spacing w:after="0"/>
      </w:pPr>
      <w:r w:rsidRPr="001F1248">
        <w:rPr>
          <w:noProof/>
        </w:rPr>
        <w:drawing>
          <wp:inline distT="0" distB="0" distL="0" distR="0" wp14:anchorId="1D1E420D" wp14:editId="1EAE0CE5">
            <wp:extent cx="5760720" cy="4327525"/>
            <wp:effectExtent l="0" t="0" r="0" b="0"/>
            <wp:docPr id="5151340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34098" name=""/>
                    <pic:cNvPicPr/>
                  </pic:nvPicPr>
                  <pic:blipFill>
                    <a:blip r:embed="rId36"/>
                    <a:stretch>
                      <a:fillRect/>
                    </a:stretch>
                  </pic:blipFill>
                  <pic:spPr>
                    <a:xfrm>
                      <a:off x="0" y="0"/>
                      <a:ext cx="5760720" cy="4327525"/>
                    </a:xfrm>
                    <a:prstGeom prst="rect">
                      <a:avLst/>
                    </a:prstGeom>
                  </pic:spPr>
                </pic:pic>
              </a:graphicData>
            </a:graphic>
          </wp:inline>
        </w:drawing>
      </w:r>
    </w:p>
    <w:p w14:paraId="593D4C33" w14:textId="15D4229B" w:rsidR="001F1248" w:rsidRDefault="001F1248" w:rsidP="001F1248">
      <w:pPr>
        <w:pStyle w:val="Beschriftung"/>
      </w:pPr>
      <w:bookmarkStart w:id="113" w:name="_Ref131968243"/>
      <w:r>
        <w:t xml:space="preserve">Abbildung </w:t>
      </w:r>
      <w:fldSimple w:instr=" SEQ Abbildung \* ARABIC ">
        <w:r w:rsidR="00A0643B">
          <w:rPr>
            <w:noProof/>
          </w:rPr>
          <w:t>7</w:t>
        </w:r>
      </w:fldSimple>
      <w:bookmarkEnd w:id="113"/>
      <w:r>
        <w:t xml:space="preserve">: </w:t>
      </w:r>
      <w:r w:rsidRPr="00BB2613">
        <w:t>In</w:t>
      </w:r>
      <w:r>
        <w:t xml:space="preserve"> TIA-Tabelle enthaltenes Makro zum Ein- und Ausblenden eines Tabellenblattes</w:t>
      </w:r>
    </w:p>
    <w:p w14:paraId="340832A0" w14:textId="3DE0D93F" w:rsidR="001F1248" w:rsidRPr="00536FFA" w:rsidRDefault="001F1248" w:rsidP="001F1248">
      <w:pPr>
        <w:spacing w:after="0"/>
        <w:rPr>
          <w:lang w:val="en-US"/>
        </w:rPr>
      </w:pPr>
      <w:r>
        <w:t xml:space="preserve">In der Excel-Tabelle zur TIA befindet sich ein einziges Makro, welches ein anderes Tabellenblatt in Abhängigkeit eines bestimmten Zellwertes in einem Tabellenblatt ein- oder ausblendet. </w:t>
      </w:r>
      <w:r w:rsidRPr="00536FFA">
        <w:rPr>
          <w:lang w:val="en-US"/>
        </w:rPr>
        <w:t xml:space="preserve">Der </w:t>
      </w:r>
      <w:r w:rsidRPr="00D2441D">
        <w:t>entsprechende</w:t>
      </w:r>
      <w:r w:rsidRPr="00536FFA">
        <w:rPr>
          <w:lang w:val="en-US"/>
        </w:rPr>
        <w:t xml:space="preserve"> VBA-Code lautet:</w:t>
      </w:r>
    </w:p>
    <w:p w14:paraId="7E3C4FB0" w14:textId="77777777" w:rsidR="001F1248" w:rsidRPr="00536FFA" w:rsidRDefault="001F1248" w:rsidP="001F1248">
      <w:pPr>
        <w:ind w:left="709"/>
        <w:contextualSpacing/>
        <w:rPr>
          <w:lang w:val="en-US"/>
        </w:rPr>
      </w:pPr>
      <w:r w:rsidRPr="00536FFA">
        <w:rPr>
          <w:lang w:val="en-US"/>
        </w:rPr>
        <w:t>Private Sub Worksheet_Change(ByVal Target As Range)</w:t>
      </w:r>
    </w:p>
    <w:p w14:paraId="6ACA16A9" w14:textId="14654E73" w:rsidR="001F1248" w:rsidRPr="00536FFA" w:rsidRDefault="001F1248" w:rsidP="001F1248">
      <w:pPr>
        <w:ind w:left="709" w:firstLine="708"/>
        <w:contextualSpacing/>
        <w:rPr>
          <w:lang w:val="en-US"/>
        </w:rPr>
      </w:pPr>
      <w:r w:rsidRPr="00536FFA">
        <w:rPr>
          <w:lang w:val="en-US"/>
        </w:rPr>
        <w:t>Dim KeyCells As Range</w:t>
      </w:r>
    </w:p>
    <w:p w14:paraId="65D437D2" w14:textId="79432B79" w:rsidR="001F1248" w:rsidRPr="00536FFA" w:rsidRDefault="001F1248" w:rsidP="001F1248">
      <w:pPr>
        <w:ind w:left="709" w:firstLine="708"/>
        <w:contextualSpacing/>
        <w:rPr>
          <w:lang w:val="en-US"/>
        </w:rPr>
      </w:pPr>
      <w:r w:rsidRPr="00536FFA">
        <w:rPr>
          <w:lang w:val="en-US"/>
        </w:rPr>
        <w:t>Set KeyCells = Range("$B$10")</w:t>
      </w:r>
    </w:p>
    <w:p w14:paraId="3952287C" w14:textId="46F71E0C" w:rsidR="001F1248" w:rsidRPr="00536FFA" w:rsidRDefault="001F1248" w:rsidP="001F1248">
      <w:pPr>
        <w:ind w:left="709"/>
        <w:contextualSpacing/>
        <w:rPr>
          <w:lang w:val="en-US"/>
        </w:rPr>
      </w:pPr>
      <w:r w:rsidRPr="00536FFA">
        <w:rPr>
          <w:lang w:val="en-US"/>
        </w:rPr>
        <w:t>If Target.Cells = "Auch unverschlüsselt" Then</w:t>
      </w:r>
    </w:p>
    <w:p w14:paraId="1FE7FFBB" w14:textId="55A7B638" w:rsidR="001F1248" w:rsidRPr="00536FFA" w:rsidRDefault="001F1248" w:rsidP="001F1248">
      <w:pPr>
        <w:ind w:left="709" w:firstLine="708"/>
        <w:contextualSpacing/>
        <w:rPr>
          <w:lang w:val="en-US"/>
        </w:rPr>
      </w:pPr>
      <w:r w:rsidRPr="00536FFA">
        <w:rPr>
          <w:lang w:val="en-US"/>
        </w:rPr>
        <w:t>Worksheets("Risiko,Massenüberwachung").Visible = True</w:t>
      </w:r>
    </w:p>
    <w:p w14:paraId="224A64E1" w14:textId="77777777" w:rsidR="001F1248" w:rsidRPr="00536FFA" w:rsidRDefault="001F1248" w:rsidP="001F1248">
      <w:pPr>
        <w:ind w:left="709" w:firstLine="707"/>
        <w:contextualSpacing/>
        <w:rPr>
          <w:lang w:val="en-US"/>
        </w:rPr>
      </w:pPr>
      <w:r w:rsidRPr="00536FFA">
        <w:rPr>
          <w:lang w:val="en-US"/>
        </w:rPr>
        <w:t>End If</w:t>
      </w:r>
    </w:p>
    <w:p w14:paraId="54DC5DF6" w14:textId="77777777" w:rsidR="001F1248" w:rsidRDefault="001F1248" w:rsidP="001F1248">
      <w:pPr>
        <w:ind w:left="709"/>
        <w:contextualSpacing/>
      </w:pPr>
      <w:r w:rsidRPr="00BB2613">
        <w:t>If</w:t>
      </w:r>
      <w:r>
        <w:t xml:space="preserve"> </w:t>
      </w:r>
      <w:r w:rsidRPr="00BB2613">
        <w:t>Target.Cells</w:t>
      </w:r>
      <w:r>
        <w:t xml:space="preserve"> = "Ausschließlich verschlüsselt" </w:t>
      </w:r>
      <w:r w:rsidRPr="00BB2613">
        <w:t>Then</w:t>
      </w:r>
    </w:p>
    <w:p w14:paraId="250D7891" w14:textId="1BCE8DB7" w:rsidR="001F1248" w:rsidRPr="00536FFA" w:rsidRDefault="001F1248" w:rsidP="001F1248">
      <w:pPr>
        <w:ind w:left="709" w:firstLine="708"/>
        <w:contextualSpacing/>
        <w:rPr>
          <w:lang w:val="en-US"/>
        </w:rPr>
      </w:pPr>
      <w:r w:rsidRPr="00536FFA">
        <w:rPr>
          <w:lang w:val="en-US"/>
        </w:rPr>
        <w:lastRenderedPageBreak/>
        <w:t>Worksheets("Risiko,Massenüberwachung").Visible = False</w:t>
      </w:r>
    </w:p>
    <w:p w14:paraId="10D7101F" w14:textId="77777777" w:rsidR="001F1248" w:rsidRPr="00536FFA" w:rsidRDefault="001F1248" w:rsidP="001F1248">
      <w:pPr>
        <w:ind w:left="709" w:firstLine="707"/>
        <w:contextualSpacing/>
        <w:rPr>
          <w:lang w:val="en-US"/>
        </w:rPr>
      </w:pPr>
      <w:r w:rsidRPr="00536FFA">
        <w:rPr>
          <w:lang w:val="en-US"/>
        </w:rPr>
        <w:t>End If</w:t>
      </w:r>
    </w:p>
    <w:p w14:paraId="5303B17B" w14:textId="259226A4" w:rsidR="001F1248" w:rsidRDefault="001F1248" w:rsidP="001F1248">
      <w:pPr>
        <w:ind w:left="709"/>
        <w:contextualSpacing/>
      </w:pPr>
      <w:r>
        <w:t xml:space="preserve">End </w:t>
      </w:r>
      <w:r w:rsidRPr="00BB2613">
        <w:t>Sub</w:t>
      </w:r>
    </w:p>
    <w:p w14:paraId="2C31AC4A" w14:textId="3C7DAD32" w:rsidR="001F1248" w:rsidRPr="001F1248" w:rsidRDefault="001F1248" w:rsidP="001F1248">
      <w:r>
        <w:t xml:space="preserve">Hat man sich die Makros angesehen und geprüft, ob diese ungefährlich sind, muss die Tabelle geschlossen und erneut geöffnet werden, damit mit einem </w:t>
      </w:r>
      <w:r w:rsidR="003B5C29">
        <w:t xml:space="preserve">erneuten </w:t>
      </w:r>
      <w:r>
        <w:t xml:space="preserve">Klick auf „Inhalt aktivieren“ (siehe </w:t>
      </w:r>
      <w:r>
        <w:fldChar w:fldCharType="begin"/>
      </w:r>
      <w:r>
        <w:instrText xml:space="preserve"> REF _Ref131967661 \h </w:instrText>
      </w:r>
      <w:r>
        <w:fldChar w:fldCharType="separate"/>
      </w:r>
      <w:r w:rsidR="00A0643B">
        <w:t xml:space="preserve">Abbildung </w:t>
      </w:r>
      <w:r w:rsidR="00A0643B">
        <w:rPr>
          <w:noProof/>
        </w:rPr>
        <w:t>5</w:t>
      </w:r>
      <w:r>
        <w:fldChar w:fldCharType="end"/>
      </w:r>
      <w:r>
        <w:t>) das Makro aktiviert</w:t>
      </w:r>
      <w:r w:rsidR="003B5C29">
        <w:t xml:space="preserve"> wird</w:t>
      </w:r>
      <w:r>
        <w:t>.</w:t>
      </w:r>
    </w:p>
    <w:sectPr w:rsidR="001F1248" w:rsidRPr="001F1248" w:rsidSect="004140DF">
      <w:footerReference w:type="default" r:id="rId37"/>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99D57" w14:textId="77777777" w:rsidR="00D3726C" w:rsidRDefault="00D3726C" w:rsidP="00054F11">
      <w:pPr>
        <w:spacing w:after="0" w:line="240" w:lineRule="auto"/>
      </w:pPr>
      <w:r>
        <w:separator/>
      </w:r>
    </w:p>
  </w:endnote>
  <w:endnote w:type="continuationSeparator" w:id="0">
    <w:p w14:paraId="286CFE5C" w14:textId="77777777" w:rsidR="00D3726C" w:rsidRDefault="00D3726C" w:rsidP="00054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40DF" w14:paraId="42C9C16E" w14:textId="77777777" w:rsidTr="00B361C3">
      <w:trPr>
        <w:jc w:val="center"/>
      </w:trPr>
      <w:tc>
        <w:tcPr>
          <w:tcW w:w="9062" w:type="dxa"/>
          <w:vAlign w:val="center"/>
        </w:tcPr>
        <w:p w14:paraId="04621B9B" w14:textId="77777777" w:rsidR="004140DF" w:rsidRDefault="004140DF" w:rsidP="004140DF">
          <w:pPr>
            <w:pStyle w:val="Fuzeile"/>
            <w:jc w:val="center"/>
          </w:pPr>
          <w:r>
            <w:rPr>
              <w:sz w:val="16"/>
              <w:szCs w:val="16"/>
            </w:rPr>
            <w:t xml:space="preserve">Seite </w:t>
          </w:r>
          <w:r>
            <w:rPr>
              <w:b/>
              <w:sz w:val="16"/>
              <w:szCs w:val="16"/>
            </w:rPr>
            <w:fldChar w:fldCharType="begin"/>
          </w:r>
          <w:r>
            <w:rPr>
              <w:b/>
              <w:sz w:val="16"/>
              <w:szCs w:val="16"/>
            </w:rPr>
            <w:instrText>PAGE  \* ROMAN  \* MERGEFORMAT</w:instrText>
          </w:r>
          <w:r>
            <w:rPr>
              <w:b/>
              <w:sz w:val="16"/>
              <w:szCs w:val="16"/>
            </w:rPr>
            <w:fldChar w:fldCharType="separate"/>
          </w:r>
          <w:r>
            <w:rPr>
              <w:b/>
              <w:sz w:val="16"/>
              <w:szCs w:val="16"/>
            </w:rPr>
            <w:t>I</w:t>
          </w:r>
          <w:r>
            <w:rPr>
              <w:b/>
              <w:sz w:val="16"/>
              <w:szCs w:val="16"/>
            </w:rPr>
            <w:fldChar w:fldCharType="end"/>
          </w:r>
        </w:p>
      </w:tc>
    </w:tr>
  </w:tbl>
  <w:p w14:paraId="510E74AC" w14:textId="77777777" w:rsidR="004140DF" w:rsidRPr="00F357C2" w:rsidRDefault="004140DF" w:rsidP="004140DF">
    <w:pPr>
      <w:pStyle w:val="Fuzeile"/>
      <w:rPr>
        <w:sz w:val="2"/>
        <w:szCs w:val="2"/>
      </w:rPr>
    </w:pPr>
  </w:p>
  <w:p w14:paraId="2BB21261" w14:textId="77777777" w:rsidR="008142CE" w:rsidRPr="004140DF" w:rsidRDefault="008142CE">
    <w:pPr>
      <w:pStyle w:val="Fuzeil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75D66" w14:paraId="4F99F005" w14:textId="77777777" w:rsidTr="00B361C3">
      <w:trPr>
        <w:jc w:val="center"/>
      </w:trPr>
      <w:tc>
        <w:tcPr>
          <w:tcW w:w="9062" w:type="dxa"/>
          <w:vAlign w:val="center"/>
        </w:tcPr>
        <w:p w14:paraId="61DBFD86" w14:textId="77777777" w:rsidR="00D75D66" w:rsidRDefault="00D75D66" w:rsidP="004140DF">
          <w:pPr>
            <w:pStyle w:val="Fuzeile"/>
            <w:jc w:val="center"/>
          </w:pPr>
          <w:r>
            <w:rPr>
              <w:sz w:val="16"/>
              <w:szCs w:val="16"/>
            </w:rPr>
            <w:t xml:space="preserve">Seite </w:t>
          </w:r>
          <w:r>
            <w:rPr>
              <w:b/>
              <w:sz w:val="16"/>
              <w:szCs w:val="16"/>
            </w:rPr>
            <w:fldChar w:fldCharType="begin"/>
          </w:r>
          <w:r>
            <w:rPr>
              <w:b/>
              <w:sz w:val="16"/>
              <w:szCs w:val="16"/>
            </w:rPr>
            <w:instrText>PAGE  \* ROMAN  \* MERGEFORMAT</w:instrText>
          </w:r>
          <w:r>
            <w:rPr>
              <w:b/>
              <w:sz w:val="16"/>
              <w:szCs w:val="16"/>
            </w:rPr>
            <w:fldChar w:fldCharType="separate"/>
          </w:r>
          <w:r>
            <w:rPr>
              <w:b/>
              <w:sz w:val="16"/>
              <w:szCs w:val="16"/>
            </w:rPr>
            <w:t>IV</w:t>
          </w:r>
          <w:r>
            <w:rPr>
              <w:b/>
              <w:sz w:val="16"/>
              <w:szCs w:val="16"/>
            </w:rPr>
            <w:fldChar w:fldCharType="end"/>
          </w:r>
        </w:p>
      </w:tc>
    </w:tr>
  </w:tbl>
  <w:p w14:paraId="5F99D0B2" w14:textId="77777777" w:rsidR="00D75D66" w:rsidRPr="004140DF" w:rsidRDefault="00D75D66">
    <w:pPr>
      <w:pStyle w:val="Fuzeile"/>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40DF" w14:paraId="41E2AFC9" w14:textId="77777777" w:rsidTr="00B361C3">
      <w:tc>
        <w:tcPr>
          <w:tcW w:w="9062" w:type="dxa"/>
        </w:tcPr>
        <w:p w14:paraId="1F6D5F03" w14:textId="1040C2A3" w:rsidR="004140DF" w:rsidRPr="00F357C2" w:rsidRDefault="00000000" w:rsidP="004140DF">
          <w:pPr>
            <w:pStyle w:val="Fuzeile"/>
            <w:jc w:val="center"/>
            <w:rPr>
              <w:sz w:val="16"/>
              <w:szCs w:val="16"/>
            </w:rPr>
          </w:pPr>
          <w:sdt>
            <w:sdtPr>
              <w:rPr>
                <w:sz w:val="16"/>
                <w:szCs w:val="16"/>
              </w:rPr>
              <w:id w:val="-1426956131"/>
              <w:docPartObj>
                <w:docPartGallery w:val="Page Numbers (Top of Page)"/>
                <w:docPartUnique/>
              </w:docPartObj>
            </w:sdtPr>
            <w:sdtContent>
              <w:r w:rsidR="004140DF">
                <w:rPr>
                  <w:sz w:val="16"/>
                  <w:szCs w:val="16"/>
                </w:rPr>
                <w:t xml:space="preserve">Seite </w:t>
              </w:r>
              <w:r w:rsidR="004140DF">
                <w:rPr>
                  <w:b/>
                  <w:sz w:val="16"/>
                  <w:szCs w:val="16"/>
                </w:rPr>
                <w:fldChar w:fldCharType="begin"/>
              </w:r>
              <w:r w:rsidR="004140DF">
                <w:rPr>
                  <w:b/>
                  <w:sz w:val="16"/>
                  <w:szCs w:val="16"/>
                </w:rPr>
                <w:instrText>PAGE  \* Arabic  \* MERGEFORMAT</w:instrText>
              </w:r>
              <w:r w:rsidR="004140DF">
                <w:rPr>
                  <w:b/>
                  <w:sz w:val="16"/>
                  <w:szCs w:val="16"/>
                </w:rPr>
                <w:fldChar w:fldCharType="separate"/>
              </w:r>
              <w:r w:rsidR="004140DF">
                <w:rPr>
                  <w:b/>
                  <w:sz w:val="16"/>
                  <w:szCs w:val="16"/>
                </w:rPr>
                <w:t>1</w:t>
              </w:r>
              <w:r w:rsidR="004140DF">
                <w:rPr>
                  <w:b/>
                  <w:sz w:val="16"/>
                  <w:szCs w:val="16"/>
                </w:rPr>
                <w:fldChar w:fldCharType="end"/>
              </w:r>
              <w:r w:rsidR="004140DF">
                <w:rPr>
                  <w:sz w:val="16"/>
                  <w:szCs w:val="16"/>
                </w:rPr>
                <w:t xml:space="preserve"> von</w:t>
              </w:r>
              <w:r w:rsidR="004140DF">
                <w:rPr>
                  <w:sz w:val="18"/>
                  <w:szCs w:val="18"/>
                </w:rPr>
                <w:t xml:space="preserve"> </w:t>
              </w:r>
              <w:r w:rsidR="004140DF">
                <w:rPr>
                  <w:sz w:val="18"/>
                  <w:szCs w:val="18"/>
                </w:rPr>
                <w:fldChar w:fldCharType="begin"/>
              </w:r>
              <w:r w:rsidR="004140DF">
                <w:rPr>
                  <w:sz w:val="18"/>
                  <w:szCs w:val="18"/>
                </w:rPr>
                <w:instrText xml:space="preserve"> =</w:instrText>
              </w:r>
              <w:r w:rsidR="004140DF">
                <w:rPr>
                  <w:b/>
                  <w:sz w:val="18"/>
                  <w:szCs w:val="18"/>
                </w:rPr>
                <w:fldChar w:fldCharType="begin"/>
              </w:r>
              <w:r w:rsidR="004140DF">
                <w:rPr>
                  <w:b/>
                  <w:sz w:val="18"/>
                  <w:szCs w:val="18"/>
                </w:rPr>
                <w:instrText>NUMPAGES  \* Arabic  \* MERGEFORMAT</w:instrText>
              </w:r>
              <w:r w:rsidR="004140DF">
                <w:rPr>
                  <w:b/>
                  <w:sz w:val="18"/>
                  <w:szCs w:val="18"/>
                </w:rPr>
                <w:fldChar w:fldCharType="separate"/>
              </w:r>
              <w:r w:rsidR="00D2441D">
                <w:rPr>
                  <w:b/>
                  <w:noProof/>
                  <w:sz w:val="18"/>
                  <w:szCs w:val="18"/>
                </w:rPr>
                <w:instrText>23</w:instrText>
              </w:r>
              <w:r w:rsidR="004140DF">
                <w:rPr>
                  <w:b/>
                  <w:sz w:val="18"/>
                  <w:szCs w:val="18"/>
                </w:rPr>
                <w:fldChar w:fldCharType="end"/>
              </w:r>
              <w:r w:rsidR="004140DF">
                <w:rPr>
                  <w:sz w:val="18"/>
                  <w:szCs w:val="18"/>
                </w:rPr>
                <w:instrText>-</w:instrText>
              </w:r>
              <w:r w:rsidR="00096DEE">
                <w:rPr>
                  <w:sz w:val="18"/>
                  <w:szCs w:val="18"/>
                </w:rPr>
                <w:instrText>3</w:instrText>
              </w:r>
              <w:r w:rsidR="004140DF">
                <w:rPr>
                  <w:sz w:val="18"/>
                  <w:szCs w:val="18"/>
                </w:rPr>
                <w:fldChar w:fldCharType="separate"/>
              </w:r>
              <w:r w:rsidR="00D2441D">
                <w:rPr>
                  <w:noProof/>
                  <w:sz w:val="18"/>
                  <w:szCs w:val="18"/>
                </w:rPr>
                <w:t>20</w:t>
              </w:r>
              <w:r w:rsidR="004140DF">
                <w:rPr>
                  <w:sz w:val="18"/>
                  <w:szCs w:val="18"/>
                </w:rPr>
                <w:fldChar w:fldCharType="end"/>
              </w:r>
            </w:sdtContent>
          </w:sdt>
        </w:p>
      </w:tc>
    </w:tr>
  </w:tbl>
  <w:p w14:paraId="3F7847AA" w14:textId="77777777" w:rsidR="004140DF" w:rsidRPr="004140DF" w:rsidRDefault="004140DF">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F7B43" w14:textId="77777777" w:rsidR="00D3726C" w:rsidRDefault="00D3726C" w:rsidP="00054F11">
      <w:pPr>
        <w:spacing w:after="0" w:line="240" w:lineRule="auto"/>
      </w:pPr>
      <w:r>
        <w:separator/>
      </w:r>
    </w:p>
  </w:footnote>
  <w:footnote w:type="continuationSeparator" w:id="0">
    <w:p w14:paraId="3FA01201" w14:textId="77777777" w:rsidR="00D3726C" w:rsidRDefault="00D3726C" w:rsidP="00054F11">
      <w:pPr>
        <w:spacing w:after="0" w:line="240" w:lineRule="auto"/>
      </w:pPr>
      <w:r>
        <w:continuationSeparator/>
      </w:r>
    </w:p>
  </w:footnote>
  <w:footnote w:id="1">
    <w:p w14:paraId="3BBC4E77" w14:textId="1F8E2410" w:rsidR="00007607" w:rsidRDefault="00007607">
      <w:pPr>
        <w:pStyle w:val="Funotentext"/>
      </w:pPr>
      <w:r>
        <w:rPr>
          <w:rStyle w:val="Funotenzeichen"/>
        </w:rPr>
        <w:footnoteRef/>
      </w:r>
      <w:r>
        <w:t xml:space="preserve"> </w:t>
      </w:r>
      <w:r w:rsidRPr="00007607">
        <w:t>Verordnung (EU) Nr. 182/2011 des Europäischen Parlaments und des Rates vom 16. Februar 2011 zur Festlegung der allgemeinen Regeln und Grundsätze, nach denen die Mitgliedstaaten die Wahrnehmung der Durchführungsbefugnisse durch die Kommission kontrollieren</w:t>
      </w:r>
      <w:r>
        <w:t xml:space="preserve">. </w:t>
      </w:r>
      <w:r w:rsidRPr="00054F11">
        <w:t>Online, zitiert am 202</w:t>
      </w:r>
      <w:r>
        <w:t>3</w:t>
      </w:r>
      <w:r w:rsidRPr="00054F11">
        <w:t>-0</w:t>
      </w:r>
      <w:r>
        <w:t>4</w:t>
      </w:r>
      <w:r w:rsidRPr="00054F11">
        <w:t>-</w:t>
      </w:r>
      <w:r>
        <w:t>08</w:t>
      </w:r>
      <w:r w:rsidRPr="00054F11">
        <w:t>; verfügbar unter</w:t>
      </w:r>
      <w:r>
        <w:t xml:space="preserve"> </w:t>
      </w:r>
      <w:hyperlink r:id="rId1" w:history="1">
        <w:r w:rsidRPr="00BB2613">
          <w:rPr>
            <w:rStyle w:val="Hyperlink"/>
          </w:rPr>
          <w:t>https://eur-lex.europa.eu/legal-content/DE/ALL/?uri=CELEX:32011R0182</w:t>
        </w:r>
      </w:hyperlink>
    </w:p>
  </w:footnote>
  <w:footnote w:id="2">
    <w:p w14:paraId="6928FE8F" w14:textId="7882DAC8" w:rsidR="00497D2D" w:rsidRDefault="00497D2D">
      <w:pPr>
        <w:pStyle w:val="Funotentext"/>
      </w:pPr>
      <w:r>
        <w:rPr>
          <w:rStyle w:val="Funotenzeichen"/>
        </w:rPr>
        <w:footnoteRef/>
      </w:r>
      <w:r>
        <w:t xml:space="preserve"> </w:t>
      </w:r>
      <w:r w:rsidRPr="00497D2D">
        <w:t>Vertrags über die Arbeitsweise der Europäischen Union</w:t>
      </w:r>
      <w:r>
        <w:t xml:space="preserve">. </w:t>
      </w:r>
      <w:r w:rsidRPr="00054F11">
        <w:t>Online, zitiert am 202</w:t>
      </w:r>
      <w:r>
        <w:t>3</w:t>
      </w:r>
      <w:r w:rsidRPr="00054F11">
        <w:t>-0</w:t>
      </w:r>
      <w:r>
        <w:t>4</w:t>
      </w:r>
      <w:r w:rsidRPr="00054F11">
        <w:t>-</w:t>
      </w:r>
      <w:r>
        <w:t>08</w:t>
      </w:r>
      <w:r w:rsidRPr="00054F11">
        <w:t>; verfügbar unter</w:t>
      </w:r>
      <w:r>
        <w:t xml:space="preserve"> </w:t>
      </w:r>
      <w:hyperlink r:id="rId2" w:tooltip="Gibt Zugriff auf dieses Dokument über seine ELI URI." w:history="1">
        <w:r w:rsidRPr="00BB2613">
          <w:rPr>
            <w:rStyle w:val="Hyperlink"/>
          </w:rPr>
          <w:t>http://data.europa.eu/eli/treaty/tfeu_2012/oj</w:t>
        </w:r>
      </w:hyperlink>
    </w:p>
  </w:footnote>
  <w:footnote w:id="3">
    <w:p w14:paraId="61821011" w14:textId="735C3A83" w:rsidR="00007607" w:rsidRDefault="00007607">
      <w:pPr>
        <w:pStyle w:val="Funotentext"/>
      </w:pPr>
      <w:r>
        <w:rPr>
          <w:rStyle w:val="Funotenzeichen"/>
        </w:rPr>
        <w:footnoteRef/>
      </w:r>
      <w:r>
        <w:t xml:space="preserve"> </w:t>
      </w:r>
      <w:r w:rsidRPr="00007607">
        <w:t xml:space="preserve">EuGH, </w:t>
      </w:r>
      <w:r w:rsidRPr="00BB2613">
        <w:t>Urt</w:t>
      </w:r>
      <w:r w:rsidRPr="00007607">
        <w:t xml:space="preserve">. </w:t>
      </w:r>
      <w:r w:rsidRPr="00BB2613">
        <w:t>v.</w:t>
      </w:r>
      <w:r w:rsidRPr="00007607">
        <w:t xml:space="preserve"> 2015-10-06, AZ C-362/14</w:t>
      </w:r>
      <w:r>
        <w:t xml:space="preserve"> („</w:t>
      </w:r>
      <w:r w:rsidRPr="00BB2613">
        <w:t>Schrems</w:t>
      </w:r>
      <w:r w:rsidR="00341A72" w:rsidRPr="00BB2613">
        <w:t>-</w:t>
      </w:r>
      <w:r w:rsidRPr="00BB2613">
        <w:t>I</w:t>
      </w:r>
      <w:r>
        <w:t>“)</w:t>
      </w:r>
      <w:r w:rsidR="005163FF">
        <w:t xml:space="preserve">, insbesondere </w:t>
      </w:r>
      <w:r w:rsidR="004140DF">
        <w:t>Rn. </w:t>
      </w:r>
      <w:r w:rsidR="005163FF">
        <w:t xml:space="preserve">57 „[…] </w:t>
      </w:r>
      <w:r w:rsidR="005163FF" w:rsidRPr="005163FF">
        <w:t>müssen die nationalen Kontrollstellen daher, wenn sich eine Person mit einer Eingabe zum Schutz ihrer Rechte und Freiheiten bei der Verarbeitung ihrer personenbezogenen Daten an sie wendet, in völliger Unabhängigkeit prüfen können, ob bei der Übermittlung dieser Daten die in der Richtlinie aufgestellten Anforderungen gewahrt werden.</w:t>
      </w:r>
      <w:r w:rsidR="005163FF">
        <w:t xml:space="preserve">“ </w:t>
      </w:r>
      <w:r w:rsidRPr="00054F11">
        <w:t>Online, zitiert am 202</w:t>
      </w:r>
      <w:r>
        <w:t>3</w:t>
      </w:r>
      <w:r w:rsidRPr="00054F11">
        <w:t>-0</w:t>
      </w:r>
      <w:r>
        <w:t>4</w:t>
      </w:r>
      <w:r w:rsidRPr="00054F11">
        <w:t>-</w:t>
      </w:r>
      <w:r>
        <w:t>08</w:t>
      </w:r>
      <w:r w:rsidRPr="00054F11">
        <w:t>; verfügbar unter</w:t>
      </w:r>
      <w:r>
        <w:t xml:space="preserve"> </w:t>
      </w:r>
      <w:hyperlink r:id="rId3" w:history="1">
        <w:r w:rsidR="005163FF">
          <w:rPr>
            <w:rStyle w:val="Hyperlink"/>
          </w:rPr>
          <w:t xml:space="preserve">https://curia.europa.eu/juris/document/document.jsf? </w:t>
        </w:r>
        <w:r w:rsidR="005163FF" w:rsidRPr="00BB2613">
          <w:rPr>
            <w:rStyle w:val="Hyperlink"/>
          </w:rPr>
          <w:t>text</w:t>
        </w:r>
        <w:r w:rsidR="005163FF">
          <w:rPr>
            <w:rStyle w:val="Hyperlink"/>
          </w:rPr>
          <w:t>=&amp;</w:t>
        </w:r>
        <w:r w:rsidR="005163FF" w:rsidRPr="00BB2613">
          <w:rPr>
            <w:rStyle w:val="Hyperlink"/>
          </w:rPr>
          <w:t>docid</w:t>
        </w:r>
        <w:r w:rsidR="005163FF">
          <w:rPr>
            <w:rStyle w:val="Hyperlink"/>
          </w:rPr>
          <w:t>=169195&amp;</w:t>
        </w:r>
        <w:r w:rsidR="005163FF" w:rsidRPr="00BB2613">
          <w:rPr>
            <w:rStyle w:val="Hyperlink"/>
          </w:rPr>
          <w:t>pageIndex</w:t>
        </w:r>
        <w:r w:rsidR="005163FF">
          <w:rPr>
            <w:rStyle w:val="Hyperlink"/>
          </w:rPr>
          <w:t>=0&amp;</w:t>
        </w:r>
        <w:r w:rsidR="005163FF" w:rsidRPr="00BB2613">
          <w:rPr>
            <w:rStyle w:val="Hyperlink"/>
          </w:rPr>
          <w:t>doclang</w:t>
        </w:r>
        <w:r w:rsidR="005163FF">
          <w:rPr>
            <w:rStyle w:val="Hyperlink"/>
          </w:rPr>
          <w:t>=DE&amp;mode=</w:t>
        </w:r>
        <w:r w:rsidR="005163FF" w:rsidRPr="00BB2613">
          <w:rPr>
            <w:rStyle w:val="Hyperlink"/>
          </w:rPr>
          <w:t>req</w:t>
        </w:r>
        <w:r w:rsidR="005163FF">
          <w:rPr>
            <w:rStyle w:val="Hyperlink"/>
          </w:rPr>
          <w:t>&amp;dir=&amp;</w:t>
        </w:r>
        <w:r w:rsidR="005163FF" w:rsidRPr="00BB2613">
          <w:rPr>
            <w:rStyle w:val="Hyperlink"/>
          </w:rPr>
          <w:t>occ</w:t>
        </w:r>
        <w:r w:rsidR="005163FF">
          <w:rPr>
            <w:rStyle w:val="Hyperlink"/>
          </w:rPr>
          <w:t>=</w:t>
        </w:r>
        <w:r w:rsidR="005163FF" w:rsidRPr="00BB2613">
          <w:rPr>
            <w:rStyle w:val="Hyperlink"/>
          </w:rPr>
          <w:t>first</w:t>
        </w:r>
        <w:r w:rsidR="005163FF">
          <w:rPr>
            <w:rStyle w:val="Hyperlink"/>
          </w:rPr>
          <w:t>&amp;</w:t>
        </w:r>
        <w:r w:rsidR="005163FF" w:rsidRPr="00BB2613">
          <w:rPr>
            <w:rStyle w:val="Hyperlink"/>
          </w:rPr>
          <w:t>part</w:t>
        </w:r>
        <w:r w:rsidR="005163FF">
          <w:rPr>
            <w:rStyle w:val="Hyperlink"/>
          </w:rPr>
          <w:t>=</w:t>
        </w:r>
        <w:r w:rsidR="005163FF" w:rsidRPr="00BB2613">
          <w:rPr>
            <w:rStyle w:val="Hyperlink"/>
          </w:rPr>
          <w:t>1</w:t>
        </w:r>
      </w:hyperlink>
    </w:p>
  </w:footnote>
  <w:footnote w:id="4">
    <w:p w14:paraId="38176545" w14:textId="686A4220" w:rsidR="00497D2D" w:rsidRPr="00536FFA" w:rsidRDefault="00497D2D">
      <w:pPr>
        <w:pStyle w:val="Funotentext"/>
        <w:rPr>
          <w:lang w:val="en-US"/>
        </w:rPr>
      </w:pPr>
      <w:r>
        <w:rPr>
          <w:rStyle w:val="Funotenzeichen"/>
        </w:rPr>
        <w:footnoteRef/>
      </w:r>
      <w:r w:rsidRPr="00536FFA">
        <w:rPr>
          <w:lang w:val="en-US"/>
        </w:rPr>
        <w:t xml:space="preserve"> EU-Kommission: Adequacy decisions. Online, zitiert am 2023-04-08; verfügbar</w:t>
      </w:r>
      <w:r w:rsidR="00AD28C2">
        <w:rPr>
          <w:lang w:val="en-US"/>
        </w:rPr>
        <w:t xml:space="preserve"> </w:t>
      </w:r>
      <w:r w:rsidRPr="00536FFA">
        <w:rPr>
          <w:lang w:val="en-US"/>
        </w:rPr>
        <w:t xml:space="preserve">unter </w:t>
      </w:r>
      <w:hyperlink r:id="rId4" w:history="1">
        <w:r w:rsidRPr="00536FFA">
          <w:rPr>
            <w:rStyle w:val="Hyperlink"/>
            <w:lang w:val="en-US"/>
          </w:rPr>
          <w:t>https://commission. europa.eu/law/law-topic/data-protection/international-dimension-data-protection/adequacy-decisions_en</w:t>
        </w:r>
      </w:hyperlink>
    </w:p>
  </w:footnote>
  <w:footnote w:id="5">
    <w:p w14:paraId="79AAAFD3" w14:textId="458125D6" w:rsidR="00921306" w:rsidRDefault="00921306">
      <w:pPr>
        <w:pStyle w:val="Funotentext"/>
      </w:pPr>
      <w:r>
        <w:rPr>
          <w:rStyle w:val="Funotenzeichen"/>
        </w:rPr>
        <w:footnoteRef/>
      </w:r>
      <w:r>
        <w:t xml:space="preserve"> </w:t>
      </w:r>
      <w:r w:rsidRPr="00921306">
        <w:t>Durchführungsbeschluss (EU) 2021/914 der Kommission vom 4. Juni 2021 über Standardvertragsklauseln für die Übermittlung personenbezogener Daten an Drittländer gemäß der Verordnung (EU) 2016/679 des Europäischen Parlaments und des Rates</w:t>
      </w:r>
      <w:r>
        <w:t>.</w:t>
      </w:r>
      <w:r w:rsidRPr="00921306">
        <w:t xml:space="preserve"> </w:t>
      </w:r>
      <w:r w:rsidRPr="00054F11">
        <w:t>Online, zitiert am 202</w:t>
      </w:r>
      <w:r>
        <w:t>3</w:t>
      </w:r>
      <w:r w:rsidRPr="00054F11">
        <w:t>-0</w:t>
      </w:r>
      <w:r>
        <w:t>4</w:t>
      </w:r>
      <w:r w:rsidRPr="00054F11">
        <w:t>-</w:t>
      </w:r>
      <w:r>
        <w:t>08</w:t>
      </w:r>
      <w:r w:rsidRPr="00054F11">
        <w:t>; verfügbar unter</w:t>
      </w:r>
      <w:r>
        <w:t xml:space="preserve"> </w:t>
      </w:r>
      <w:hyperlink r:id="rId5" w:history="1">
        <w:r w:rsidRPr="00BB2613">
          <w:rPr>
            <w:rStyle w:val="Hyperlink"/>
          </w:rPr>
          <w:t>https://eur-lex.europa.eu/eli/dec_impl/2021/914/oj?locale=de&amp;uri=CELEX:32021D0914</w:t>
        </w:r>
      </w:hyperlink>
    </w:p>
  </w:footnote>
  <w:footnote w:id="6">
    <w:p w14:paraId="7364CBF3" w14:textId="17E7CE34" w:rsidR="004265F9" w:rsidRDefault="004265F9">
      <w:pPr>
        <w:pStyle w:val="Funotentext"/>
      </w:pPr>
      <w:r>
        <w:rPr>
          <w:rStyle w:val="Funotenzeichen"/>
        </w:rPr>
        <w:footnoteRef/>
      </w:r>
      <w:r>
        <w:t xml:space="preserve"> Bei der Interpretation von Klausel 14 sollten insbesondere auch ErwGr. 18, 19, 20 und 21 der </w:t>
      </w:r>
      <w:r w:rsidRPr="00921306">
        <w:t>Standarddatenschutzklauseln</w:t>
      </w:r>
      <w:r>
        <w:t xml:space="preserve"> </w:t>
      </w:r>
      <w:r w:rsidR="00A7469C">
        <w:t>mitberücksichtigt</w:t>
      </w:r>
      <w:r>
        <w:t xml:space="preserve"> </w:t>
      </w:r>
      <w:r w:rsidRPr="00BB2613">
        <w:t>werden</w:t>
      </w:r>
    </w:p>
  </w:footnote>
  <w:footnote w:id="7">
    <w:p w14:paraId="72588BD7" w14:textId="33ACFA86" w:rsidR="00B0362F" w:rsidRDefault="00B0362F" w:rsidP="00B0362F">
      <w:pPr>
        <w:pStyle w:val="Listenabsatz"/>
        <w:numPr>
          <w:ilvl w:val="0"/>
          <w:numId w:val="18"/>
        </w:numPr>
      </w:pPr>
      <w:r>
        <w:rPr>
          <w:rStyle w:val="Funotenzeichen"/>
        </w:rPr>
        <w:footnoteRef/>
      </w:r>
      <w:r>
        <w:t xml:space="preserve"> So z. B. zu finden in: </w:t>
      </w:r>
      <w:r w:rsidRPr="00BB2613">
        <w:t>Kröpfl</w:t>
      </w:r>
      <w:r>
        <w:t xml:space="preserve">, Maximilian. Praxiskommentar zu den SCC 2021. Klausel 14 Rn. 4. Jan </w:t>
      </w:r>
      <w:r w:rsidRPr="00BB2613">
        <w:t>Sramek</w:t>
      </w:r>
      <w:r>
        <w:t xml:space="preserve"> Verlag KG, 2021. ISBN 978-3-7097-0285-7</w:t>
      </w:r>
    </w:p>
    <w:p w14:paraId="02EADA8B" w14:textId="49F9B2F6" w:rsidR="00B0362F" w:rsidRDefault="00B0362F">
      <w:pPr>
        <w:pStyle w:val="Funotentext"/>
      </w:pPr>
    </w:p>
  </w:footnote>
  <w:footnote w:id="8">
    <w:p w14:paraId="01086C24" w14:textId="73713F3C" w:rsidR="00054F11" w:rsidRDefault="00054F11">
      <w:pPr>
        <w:pStyle w:val="Funotentext"/>
      </w:pPr>
      <w:r>
        <w:rPr>
          <w:rStyle w:val="Funotenzeichen"/>
        </w:rPr>
        <w:footnoteRef/>
      </w:r>
      <w:r>
        <w:t xml:space="preserve"> Hervorhebungen in Zitaten in den jeweiligen Randnummern </w:t>
      </w:r>
      <w:r w:rsidR="00341A72">
        <w:t xml:space="preserve">des EuGH-Urteils </w:t>
      </w:r>
      <w:r>
        <w:t>erfolgten durch d</w:t>
      </w:r>
      <w:r w:rsidR="00BB2613">
        <w:t>ie</w:t>
      </w:r>
      <w:r>
        <w:t xml:space="preserve"> </w:t>
      </w:r>
      <w:r w:rsidRPr="00A976A9">
        <w:t>Autor</w:t>
      </w:r>
      <w:r w:rsidR="00BB2613">
        <w:t>en</w:t>
      </w:r>
      <w:r w:rsidR="00341A72" w:rsidRPr="007B2D49">
        <w:t xml:space="preserve">, nicht durch das Gericht </w:t>
      </w:r>
      <w:r w:rsidR="00341A72" w:rsidRPr="00BB2613">
        <w:t>selbst</w:t>
      </w:r>
    </w:p>
  </w:footnote>
  <w:footnote w:id="9">
    <w:p w14:paraId="0741177C" w14:textId="19FB1635" w:rsidR="005163FF" w:rsidRDefault="005163FF">
      <w:pPr>
        <w:pStyle w:val="Funotentext"/>
      </w:pPr>
      <w:r>
        <w:rPr>
          <w:rStyle w:val="Funotenzeichen"/>
        </w:rPr>
        <w:footnoteRef/>
      </w:r>
      <w:r>
        <w:t xml:space="preserve"> </w:t>
      </w:r>
      <w:r w:rsidRPr="005163FF">
        <w:t xml:space="preserve">EuGH, </w:t>
      </w:r>
      <w:r w:rsidRPr="00BB2613">
        <w:t>Urt</w:t>
      </w:r>
      <w:r w:rsidRPr="005163FF">
        <w:t xml:space="preserve">. </w:t>
      </w:r>
      <w:r w:rsidRPr="00BB2613">
        <w:t>v.</w:t>
      </w:r>
      <w:r w:rsidRPr="005163FF">
        <w:t xml:space="preserve"> 2020-07-16. AZ. C-311/18 ("</w:t>
      </w:r>
      <w:r w:rsidRPr="00BB2613">
        <w:t>Schrems</w:t>
      </w:r>
      <w:r w:rsidR="00341A72" w:rsidRPr="00BB2613">
        <w:t>-</w:t>
      </w:r>
      <w:r w:rsidRPr="00BB2613">
        <w:t>II</w:t>
      </w:r>
      <w:r w:rsidRPr="005163FF">
        <w:t>"). Online, zitiert am 2023-04-08; verfügbar unter</w:t>
      </w:r>
      <w:r>
        <w:t xml:space="preserve"> </w:t>
      </w:r>
      <w:hyperlink r:id="rId6" w:history="1">
        <w:r w:rsidRPr="00BB2613">
          <w:rPr>
            <w:rStyle w:val="Hyperlink"/>
          </w:rPr>
          <w:t>https://curia.europa.eu/juris/document/document.jsf?text=&amp;docid=228677&amp;pageIndex=0&amp;doclang=DE&amp;mode=req&amp;dir=&amp;occ=first&amp;part=1</w:t>
        </w:r>
      </w:hyperlink>
    </w:p>
  </w:footnote>
  <w:footnote w:id="10">
    <w:p w14:paraId="5A024AE7" w14:textId="10349F45" w:rsidR="00054F11" w:rsidRDefault="00054F11" w:rsidP="00054F11">
      <w:pPr>
        <w:pStyle w:val="Funotentext"/>
      </w:pPr>
      <w:r>
        <w:rPr>
          <w:rStyle w:val="Funotenzeichen"/>
        </w:rPr>
        <w:footnoteRef/>
      </w:r>
      <w:r>
        <w:t xml:space="preserve"> </w:t>
      </w:r>
      <w:r w:rsidRPr="00054F11">
        <w:t>Charta der Grundrechte der Europäischen Union</w:t>
      </w:r>
      <w:r>
        <w:t xml:space="preserve">: Artikel 47 „Recht auf einen wirksamen Rechtsbehelf und ein unparteiisches Gericht“. </w:t>
      </w:r>
      <w:r w:rsidRPr="00054F11">
        <w:t>Online, zitiert am 202</w:t>
      </w:r>
      <w:r>
        <w:t>3</w:t>
      </w:r>
      <w:r w:rsidRPr="00054F11">
        <w:t>-0</w:t>
      </w:r>
      <w:r>
        <w:t>4</w:t>
      </w:r>
      <w:r w:rsidRPr="00054F11">
        <w:t>-</w:t>
      </w:r>
      <w:r>
        <w:t>07</w:t>
      </w:r>
      <w:r w:rsidRPr="00054F11">
        <w:t>; verfügbar unter</w:t>
      </w:r>
      <w:r>
        <w:t xml:space="preserve"> </w:t>
      </w:r>
      <w:hyperlink r:id="rId7" w:anchor="d1e697-393-1" w:history="1">
        <w:r w:rsidR="00A04C3B" w:rsidRPr="00BB2613">
          <w:rPr>
            <w:rStyle w:val="Hyperlink"/>
          </w:rPr>
          <w:t>https://eur-lex.europa.eu/legal-content/DE/TXT/HTML/?uri=CELEX:12012P/TXT&amp;from=DE#d1e697-393-1</w:t>
        </w:r>
      </w:hyperlink>
    </w:p>
  </w:footnote>
  <w:footnote w:id="11">
    <w:p w14:paraId="16E78951" w14:textId="67FF7468" w:rsidR="00C10850" w:rsidRDefault="00C10850">
      <w:pPr>
        <w:pStyle w:val="Funotentext"/>
      </w:pPr>
      <w:r>
        <w:rPr>
          <w:rStyle w:val="Funotenzeichen"/>
        </w:rPr>
        <w:footnoteRef/>
      </w:r>
      <w:r>
        <w:t xml:space="preserve"> Bei der Interpretation von Art. 47 Grundrechtecharta muss insbesondere auch Art. 52 Grundrechtecharta beachtet werden.</w:t>
      </w:r>
      <w:r w:rsidRPr="00C10850">
        <w:t xml:space="preserve"> </w:t>
      </w:r>
      <w:r w:rsidRPr="00054F11">
        <w:t>Online, zitiert am 202</w:t>
      </w:r>
      <w:r>
        <w:t>3</w:t>
      </w:r>
      <w:r w:rsidRPr="00054F11">
        <w:t>-0</w:t>
      </w:r>
      <w:r>
        <w:t>4</w:t>
      </w:r>
      <w:r w:rsidRPr="00054F11">
        <w:t>-</w:t>
      </w:r>
      <w:r>
        <w:t>10</w:t>
      </w:r>
      <w:r w:rsidRPr="00054F11">
        <w:t>; verfügbar unter</w:t>
      </w:r>
      <w:r>
        <w:t xml:space="preserve"> </w:t>
      </w:r>
      <w:hyperlink r:id="rId8" w:anchor="d1e774-393-1" w:history="1">
        <w:r w:rsidRPr="00BB2613">
          <w:rPr>
            <w:rStyle w:val="Hyperlink"/>
          </w:rPr>
          <w:t>https://eur-lex.europa.eu/legal-content/DE/TXT/HTML/?uri=CELEX:12012P/TXT&amp;from=DE#d1e774-393-1</w:t>
        </w:r>
      </w:hyperlink>
    </w:p>
  </w:footnote>
  <w:footnote w:id="12">
    <w:p w14:paraId="5D0AE2C9" w14:textId="55718EF6" w:rsidR="00A04C3B" w:rsidRDefault="00A04C3B">
      <w:pPr>
        <w:pStyle w:val="Funotentext"/>
      </w:pPr>
      <w:r>
        <w:rPr>
          <w:rStyle w:val="Funotenzeichen"/>
        </w:rPr>
        <w:footnoteRef/>
      </w:r>
      <w:r>
        <w:t xml:space="preserve"> EDSA: </w:t>
      </w:r>
      <w:r w:rsidRPr="00A04C3B">
        <w:t>Empfehlungen 01/2020 zu Maßnahmen zur Ergänzung von Übermittlungstools zur Gewährleistung des unionsrechtlichen Schutzniveaus für personenbezogene Daten</w:t>
      </w:r>
      <w:r>
        <w:t xml:space="preserve">. </w:t>
      </w:r>
      <w:r w:rsidRPr="00054F11">
        <w:t>Online, zitiert am 202</w:t>
      </w:r>
      <w:r>
        <w:t>3</w:t>
      </w:r>
      <w:r w:rsidRPr="00054F11">
        <w:t>-0</w:t>
      </w:r>
      <w:r>
        <w:t>4</w:t>
      </w:r>
      <w:r w:rsidRPr="00054F11">
        <w:t>-</w:t>
      </w:r>
      <w:r>
        <w:t>07</w:t>
      </w:r>
      <w:r w:rsidRPr="00054F11">
        <w:t>; verfügbar unter</w:t>
      </w:r>
      <w:r>
        <w:t xml:space="preserve"> </w:t>
      </w:r>
      <w:hyperlink r:id="rId9" w:history="1">
        <w:r w:rsidRPr="00BB2613">
          <w:rPr>
            <w:rStyle w:val="Hyperlink"/>
          </w:rPr>
          <w:t>https://edpb.europa.eu/our-work-tools/our-documents/recommendations/recommendations-012020-measures-supplement-transfer_de</w:t>
        </w:r>
      </w:hyperlink>
    </w:p>
  </w:footnote>
  <w:footnote w:id="13">
    <w:p w14:paraId="6CEF299E" w14:textId="10C43523" w:rsidR="008F38B5" w:rsidRDefault="008F38B5">
      <w:pPr>
        <w:pStyle w:val="Funotentext"/>
      </w:pPr>
      <w:r>
        <w:rPr>
          <w:rStyle w:val="Funotenzeichen"/>
        </w:rPr>
        <w:footnoteRef/>
      </w:r>
      <w:r>
        <w:t xml:space="preserve"> EU-Kommission: </w:t>
      </w:r>
      <w:r w:rsidRPr="008F38B5">
        <w:t>Durchführungsbeschluss (EU) 2021/914 der Kommission vom 4. Juni 2021 über Standardvertragsklauseln für die Übermittlung personenbezogener Daten an Drittländer gemäß der Verordnung (EU) 2016/679 des Europäischen Parlaments und des Rates</w:t>
      </w:r>
      <w:r>
        <w:t>.</w:t>
      </w:r>
      <w:r w:rsidRPr="008F38B5">
        <w:t xml:space="preserve"> </w:t>
      </w:r>
      <w:r w:rsidRPr="00054F11">
        <w:t>Online, zitiert am 202</w:t>
      </w:r>
      <w:r>
        <w:t>3</w:t>
      </w:r>
      <w:r w:rsidRPr="00054F11">
        <w:t>-0</w:t>
      </w:r>
      <w:r>
        <w:t>4</w:t>
      </w:r>
      <w:r w:rsidRPr="00054F11">
        <w:t>-</w:t>
      </w:r>
      <w:r>
        <w:t>07</w:t>
      </w:r>
      <w:r w:rsidRPr="00054F11">
        <w:t>; verfügbar unter</w:t>
      </w:r>
      <w:r>
        <w:t xml:space="preserve"> </w:t>
      </w:r>
      <w:hyperlink r:id="rId10" w:history="1">
        <w:r w:rsidRPr="00BB2613">
          <w:rPr>
            <w:rStyle w:val="Hyperlink"/>
          </w:rPr>
          <w:t>https://eur-lex.europa.eu/eli/dec_impl/2021/914/oj?locale=de&amp;uri=CELEX%3A32021D0914</w:t>
        </w:r>
      </w:hyperlink>
    </w:p>
  </w:footnote>
  <w:footnote w:id="14">
    <w:p w14:paraId="0F1D1D00" w14:textId="40B8BB25" w:rsidR="006463D7" w:rsidRDefault="006463D7">
      <w:pPr>
        <w:pStyle w:val="Funotentext"/>
      </w:pPr>
      <w:r>
        <w:rPr>
          <w:rStyle w:val="Funotenzeichen"/>
        </w:rPr>
        <w:footnoteRef/>
      </w:r>
      <w:r>
        <w:t xml:space="preserve"> Lediglich die nicht mehr zu den europäischen Aufsichtsbehörden gehörende </w:t>
      </w:r>
      <w:r w:rsidRPr="00BB2613">
        <w:t>ICO</w:t>
      </w:r>
      <w:r>
        <w:t xml:space="preserve"> veröffentlichte 2018 eine Vorlage für eine </w:t>
      </w:r>
      <w:r w:rsidRPr="00BB2613">
        <w:t>DPIA</w:t>
      </w:r>
      <w:r>
        <w:t xml:space="preserve">, welche aber nicht alle Anforderungen aus dem Schrems-II-Urteil berücksichtigt: </w:t>
      </w:r>
      <w:r w:rsidRPr="00BB2613">
        <w:t>ICO</w:t>
      </w:r>
      <w:r w:rsidRPr="006463D7">
        <w:t xml:space="preserve"> (2018) </w:t>
      </w:r>
      <w:r w:rsidRPr="00BB2613">
        <w:rPr>
          <w:lang w:val="en-US"/>
        </w:rPr>
        <w:t>sample DPIA template.</w:t>
      </w:r>
      <w:r w:rsidRPr="006463D7">
        <w:t xml:space="preserve"> Online, zitiert am 2023-04-09; verfügbar unter </w:t>
      </w:r>
      <w:hyperlink r:id="rId11" w:history="1">
        <w:r w:rsidRPr="00BB2613">
          <w:rPr>
            <w:rStyle w:val="Hyperlink"/>
          </w:rPr>
          <w:t>https://ico.org.uk/media/for-organisations/documents/2553993/dpia-template.docx</w:t>
        </w:r>
      </w:hyperlink>
    </w:p>
  </w:footnote>
  <w:footnote w:id="15">
    <w:p w14:paraId="4739D6A5" w14:textId="1B90F96F" w:rsidR="004A0D58" w:rsidRDefault="004A0D58" w:rsidP="004A0D58">
      <w:pPr>
        <w:pStyle w:val="Funotentext"/>
      </w:pPr>
      <w:r>
        <w:rPr>
          <w:rStyle w:val="Funotenzeichen"/>
        </w:rPr>
        <w:footnoteRef/>
      </w:r>
      <w:r w:rsidRPr="008142CE">
        <w:rPr>
          <w:lang w:val="en-US"/>
        </w:rPr>
        <w:t xml:space="preserve"> Information Commissioner's Office (ICO) (2022) International data transfer agreement and guidance. </w:t>
      </w:r>
      <w:r w:rsidRPr="00054F11">
        <w:t>Online, zitiert am 202</w:t>
      </w:r>
      <w:r>
        <w:t>3</w:t>
      </w:r>
      <w:r w:rsidRPr="00054F11">
        <w:t>-0</w:t>
      </w:r>
      <w:r>
        <w:t>4</w:t>
      </w:r>
      <w:r w:rsidRPr="00054F11">
        <w:t>-</w:t>
      </w:r>
      <w:r>
        <w:t>07</w:t>
      </w:r>
      <w:r w:rsidRPr="00054F11">
        <w:t>; verfügbar unter</w:t>
      </w:r>
      <w:r>
        <w:t xml:space="preserve"> </w:t>
      </w:r>
      <w:hyperlink r:id="rId12" w:history="1">
        <w:r w:rsidRPr="008142CE">
          <w:rPr>
            <w:rStyle w:val="Hyperlink"/>
          </w:rPr>
          <w:t>https://ico.org.uk/for-organisations/guide-to-data-protection/guide-to-the-general-data-protection-regulation-gdpr/international-data-transfer-agreement-and-guidance/</w:t>
        </w:r>
      </w:hyperlink>
    </w:p>
    <w:p w14:paraId="62A773A9" w14:textId="68093E2D" w:rsidR="004A0D58" w:rsidRDefault="004A0D58" w:rsidP="004A0D58">
      <w:pPr>
        <w:pStyle w:val="Funotentext"/>
      </w:pPr>
      <w:r w:rsidRPr="008142CE">
        <w:rPr>
          <w:lang w:val="en-US"/>
        </w:rPr>
        <w:t xml:space="preserve">Information Commissioner's Office (ICO) (2022) Transfer risk assessments. </w:t>
      </w:r>
      <w:r w:rsidRPr="00054F11">
        <w:t>Online, zitiert am 202</w:t>
      </w:r>
      <w:r>
        <w:t>3</w:t>
      </w:r>
      <w:r w:rsidRPr="00054F11">
        <w:t>-0</w:t>
      </w:r>
      <w:r>
        <w:t>4</w:t>
      </w:r>
      <w:r w:rsidRPr="00054F11">
        <w:t>-</w:t>
      </w:r>
      <w:r>
        <w:t>07</w:t>
      </w:r>
      <w:r w:rsidRPr="00054F11">
        <w:t xml:space="preserve">; verfügbar </w:t>
      </w:r>
      <w:r w:rsidRPr="008142CE">
        <w:t>unter unter</w:t>
      </w:r>
      <w:r>
        <w:t xml:space="preserve"> </w:t>
      </w:r>
      <w:hyperlink r:id="rId13" w:history="1">
        <w:r w:rsidRPr="008142CE">
          <w:rPr>
            <w:rStyle w:val="Hyperlink"/>
          </w:rPr>
          <w:t>https://ico.org.uk/for-organisations/guide-to-data-protection/guide-to-the-general-data-protection-regulation-gdpr/international-data-transfer-agreement-and-guidance/transfer-risk-assessments/</w:t>
        </w:r>
      </w:hyperlink>
    </w:p>
  </w:footnote>
  <w:footnote w:id="16">
    <w:p w14:paraId="30D3AD53" w14:textId="411021FF" w:rsidR="00535911" w:rsidRDefault="00535911">
      <w:pPr>
        <w:pStyle w:val="Funotentext"/>
      </w:pPr>
      <w:r>
        <w:rPr>
          <w:rStyle w:val="Funotenzeichen"/>
        </w:rPr>
        <w:footnoteRef/>
      </w:r>
      <w:r>
        <w:t xml:space="preserve"> </w:t>
      </w:r>
      <w:r w:rsidR="00763498">
        <w:t xml:space="preserve">Eine dem risikobasierten Ansatz zustimmende </w:t>
      </w:r>
      <w:r>
        <w:t xml:space="preserve">Diskussion </w:t>
      </w:r>
      <w:r w:rsidR="00763498">
        <w:t xml:space="preserve">findet sich bspw. </w:t>
      </w:r>
      <w:r>
        <w:t xml:space="preserve">in: </w:t>
      </w:r>
      <w:r w:rsidRPr="00BB2613">
        <w:t>Eisenmenger</w:t>
      </w:r>
      <w:r w:rsidRPr="00535911">
        <w:t xml:space="preserve"> F. (2023) Durchführung von Transfer Impact Assessments am Beispiel der VR China. </w:t>
      </w:r>
      <w:r w:rsidRPr="00BB2613">
        <w:t>ZD</w:t>
      </w:r>
      <w:r w:rsidRPr="00535911">
        <w:t>: 204-209</w:t>
      </w:r>
    </w:p>
  </w:footnote>
  <w:footnote w:id="17">
    <w:p w14:paraId="05C30849" w14:textId="669B69AB" w:rsidR="00497D2D" w:rsidRDefault="00497D2D" w:rsidP="00497D2D">
      <w:pPr>
        <w:pStyle w:val="Funotentext"/>
      </w:pPr>
      <w:r>
        <w:rPr>
          <w:rStyle w:val="Funotenzeichen"/>
        </w:rPr>
        <w:footnoteRef/>
      </w:r>
      <w:r>
        <w:t xml:space="preserve"> Nach </w:t>
      </w:r>
      <w:r w:rsidR="004140DF">
        <w:t>ErwGr. </w:t>
      </w:r>
      <w:r w:rsidRPr="00497D2D">
        <w:t xml:space="preserve">20 und Fußnote 12 </w:t>
      </w:r>
      <w:r w:rsidRPr="00F34948">
        <w:t>der aktuelle</w:t>
      </w:r>
      <w:r w:rsidR="00F34948" w:rsidRPr="00F34948">
        <w:t>n</w:t>
      </w:r>
      <w:r w:rsidRPr="00F34948">
        <w:t xml:space="preserve"> Standarddatenschutzklauseln</w:t>
      </w:r>
      <w:r>
        <w:t xml:space="preserve"> der EU-Kommission scheint ein risikobasierter Ansatz („</w:t>
      </w:r>
      <w:r w:rsidRPr="00497D2D">
        <w:t>subjektive</w:t>
      </w:r>
      <w:r>
        <w:t>r</w:t>
      </w:r>
      <w:r w:rsidRPr="00497D2D">
        <w:t xml:space="preserve"> Ansatz</w:t>
      </w:r>
      <w:r>
        <w:t xml:space="preserve">“) möglich. EDSA </w:t>
      </w:r>
      <w:r w:rsidRPr="00497D2D">
        <w:t>forder</w:t>
      </w:r>
      <w:r>
        <w:t>t hingegen, dass das tatsächliche vorhandene Recht bewertet werden muss (</w:t>
      </w:r>
      <w:r w:rsidRPr="00497D2D">
        <w:t>objektive</w:t>
      </w:r>
      <w:r>
        <w:t>r</w:t>
      </w:r>
      <w:r w:rsidRPr="00497D2D">
        <w:t xml:space="preserve"> Ansatz</w:t>
      </w:r>
      <w:r>
        <w:t xml:space="preserve">“), </w:t>
      </w:r>
      <w:r w:rsidRPr="00F34948">
        <w:t>z.</w:t>
      </w:r>
      <w:r w:rsidR="00F34948" w:rsidRPr="00F34948">
        <w:t> </w:t>
      </w:r>
      <w:r w:rsidRPr="00F34948">
        <w:t>B.</w:t>
      </w:r>
      <w:r w:rsidR="00F34948" w:rsidRPr="00F34948">
        <w:t xml:space="preserve"> </w:t>
      </w:r>
      <w:r w:rsidRPr="00F34948">
        <w:t>in</w:t>
      </w:r>
      <w:r>
        <w:t xml:space="preserve"> den EDSA-</w:t>
      </w:r>
      <w:r w:rsidRPr="00497D2D">
        <w:t xml:space="preserve"> Empfehlungen 01/2020</w:t>
      </w:r>
      <w:r>
        <w:t xml:space="preserve">. Da die EU-Kommission ausdrücklich </w:t>
      </w:r>
      <w:r w:rsidRPr="00497D2D">
        <w:t>auf die Empfehlungen des</w:t>
      </w:r>
      <w:r>
        <w:t xml:space="preserve"> EDSA verweist und eine einheitliche Auslegung der DS-GVO in Europa zu den in der DS-GVO verankerten Aufgaben des EDSA gehören, sollte im Rahmen einer Risikominimierung den Empfehlungen des EDSA gefolgt werden. Eine abschließende Rechtsprechung zu dem Thema existiert bisher nicht</w:t>
      </w:r>
      <w:r w:rsidR="00D47065">
        <w:t xml:space="preserve"> (wenn man vom Schrems-II-Urteil und der darin geforderten Einhaltung der Vorgaben der EU Grundrechtecharta absieht)</w:t>
      </w:r>
      <w:r>
        <w:t xml:space="preserve">, sodass Verantwortliche für sich selbst entscheiden müssen, </w:t>
      </w:r>
      <w:r w:rsidRPr="00F34948">
        <w:t>wie</w:t>
      </w:r>
      <w:r w:rsidR="00F34948" w:rsidRPr="00F34948">
        <w:t xml:space="preserve"> </w:t>
      </w:r>
      <w:r w:rsidRPr="00F34948">
        <w:t>viel</w:t>
      </w:r>
      <w:r>
        <w:t xml:space="preserve"> Risiko sie tragen wollen.</w:t>
      </w:r>
    </w:p>
  </w:footnote>
  <w:footnote w:id="18">
    <w:p w14:paraId="52B38F0D" w14:textId="4353741A" w:rsidR="00D4239F" w:rsidRDefault="00D4239F">
      <w:pPr>
        <w:pStyle w:val="Funotentext"/>
      </w:pPr>
      <w:r>
        <w:rPr>
          <w:rStyle w:val="Funotenzeichen"/>
        </w:rPr>
        <w:footnoteRef/>
      </w:r>
      <w:r>
        <w:t xml:space="preserve"> </w:t>
      </w:r>
      <w:r w:rsidRPr="00BB2613">
        <w:t>Creative</w:t>
      </w:r>
      <w:r w:rsidRPr="00D4239F">
        <w:t xml:space="preserve"> Commons </w:t>
      </w:r>
      <w:r>
        <w:t>(CC):</w:t>
      </w:r>
      <w:r w:rsidR="00497D2D">
        <w:t xml:space="preserve"> </w:t>
      </w:r>
      <w:r>
        <w:t>Lizenz „</w:t>
      </w:r>
      <w:r w:rsidRPr="00D4239F">
        <w:t xml:space="preserve">Namensnennung - Weitergabe unter gleichen Bedingungen 4.0 International (CC </w:t>
      </w:r>
      <w:r w:rsidRPr="00BB2613">
        <w:t>BY-SA</w:t>
      </w:r>
      <w:r w:rsidRPr="00D4239F">
        <w:t xml:space="preserve"> 4.0)</w:t>
      </w:r>
      <w:r>
        <w:t>“.</w:t>
      </w:r>
      <w:r w:rsidRPr="00D4239F">
        <w:t xml:space="preserve"> </w:t>
      </w:r>
      <w:r w:rsidRPr="00054F11">
        <w:t>Online, zitiert am 202</w:t>
      </w:r>
      <w:r>
        <w:t>3</w:t>
      </w:r>
      <w:r w:rsidRPr="00054F11">
        <w:t>-0</w:t>
      </w:r>
      <w:r>
        <w:t>4</w:t>
      </w:r>
      <w:r w:rsidRPr="00054F11">
        <w:t>-</w:t>
      </w:r>
      <w:r>
        <w:t>07</w:t>
      </w:r>
      <w:r w:rsidRPr="00054F11">
        <w:t>; verfügbar unter</w:t>
      </w:r>
      <w:r>
        <w:t xml:space="preserve"> </w:t>
      </w:r>
      <w:hyperlink r:id="rId14" w:history="1">
        <w:r w:rsidRPr="00EF0420">
          <w:rPr>
            <w:rStyle w:val="Hyperlink"/>
          </w:rPr>
          <w:t>https://creativecommons.org/licenses/by-</w:t>
        </w:r>
        <w:r w:rsidRPr="00BB2613">
          <w:rPr>
            <w:rStyle w:val="Hyperlink"/>
          </w:rPr>
          <w:t>sa</w:t>
        </w:r>
        <w:r w:rsidRPr="00EF0420">
          <w:rPr>
            <w:rStyle w:val="Hyperlink"/>
          </w:rPr>
          <w:t>/4.0/</w:t>
        </w:r>
        <w:r w:rsidRPr="00BB2613">
          <w:rPr>
            <w:rStyle w:val="Hyperlink"/>
          </w:rPr>
          <w:t>deed.de</w:t>
        </w:r>
      </w:hyperlink>
    </w:p>
  </w:footnote>
  <w:footnote w:id="19">
    <w:p w14:paraId="10617E84" w14:textId="0B64BAAD" w:rsidR="00D2441D" w:rsidRDefault="00D2441D">
      <w:pPr>
        <w:pStyle w:val="Funotentext"/>
      </w:pPr>
      <w:r>
        <w:rPr>
          <w:rStyle w:val="Funotenzeichen"/>
        </w:rPr>
        <w:footnoteRef/>
      </w:r>
      <w:r>
        <w:t xml:space="preserve"> Microsoft sperrt bei aus dem Internet stammenden Excel-Dateien</w:t>
      </w:r>
      <w:r w:rsidRPr="00D2441D">
        <w:t xml:space="preserve"> </w:t>
      </w:r>
      <w:r>
        <w:t>alle Makros</w:t>
      </w:r>
      <w:r>
        <w:t xml:space="preserve">. Einen Hinweis zum Entsperren findet man unter </w:t>
      </w:r>
      <w:hyperlink r:id="rId15" w:history="1">
        <w:r w:rsidRPr="00410462">
          <w:rPr>
            <w:rStyle w:val="Hyperlink"/>
          </w:rPr>
          <w:t>https://support.microsoft.com/de-de/topic/ein-potenziell-gef%C3%A4hrliches-makro-wurde-blockiert-0952faa0-37e7-4316-b61d-5b5ed6024216</w:t>
        </w:r>
      </w:hyperlink>
      <w:r>
        <w:t xml:space="preserve"> </w:t>
      </w:r>
    </w:p>
  </w:footnote>
  <w:footnote w:id="20">
    <w:p w14:paraId="7E0AB5B2" w14:textId="495C7245" w:rsidR="001F1248" w:rsidRDefault="001F1248">
      <w:pPr>
        <w:pStyle w:val="Funotentext"/>
      </w:pPr>
      <w:r>
        <w:rPr>
          <w:rStyle w:val="Funotenzeichen"/>
        </w:rPr>
        <w:footnoteRef/>
      </w:r>
      <w:r>
        <w:t xml:space="preserve"> Eine Anleitung, wie man die Registerkarte in Excel zum </w:t>
      </w:r>
      <w:r w:rsidR="003B5C29" w:rsidRPr="00BB2613">
        <w:t>M</w:t>
      </w:r>
      <w:r w:rsidRPr="00BB2613">
        <w:t>enu</w:t>
      </w:r>
      <w:r>
        <w:t xml:space="preserve"> hinzufügt, findet man bei Microsoft.</w:t>
      </w:r>
      <w:r w:rsidRPr="001F1248">
        <w:t xml:space="preserve"> </w:t>
      </w:r>
      <w:r w:rsidRPr="00054F11">
        <w:t>Online, zitiert am 202</w:t>
      </w:r>
      <w:r>
        <w:t>3</w:t>
      </w:r>
      <w:r w:rsidRPr="00054F11">
        <w:t>-0</w:t>
      </w:r>
      <w:r>
        <w:t>4</w:t>
      </w:r>
      <w:r w:rsidRPr="00054F11">
        <w:t>-</w:t>
      </w:r>
      <w:r>
        <w:t>09</w:t>
      </w:r>
      <w:r w:rsidRPr="00054F11">
        <w:t>; verfügbar unter</w:t>
      </w:r>
      <w:r>
        <w:t xml:space="preserve"> </w:t>
      </w:r>
      <w:hyperlink r:id="rId16" w:history="1">
        <w:r w:rsidRPr="00BB2613">
          <w:rPr>
            <w:rStyle w:val="Hyperlink"/>
          </w:rPr>
          <w:t>https://support.microsoft.com/de-de/office/anzeigen-der-registerkarte-entwicklertools-e1192344-5e56-4d45-931b-e5fd9bea2d45</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096"/>
    <w:multiLevelType w:val="hybridMultilevel"/>
    <w:tmpl w:val="7F882A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8F42EC"/>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05D275B0"/>
    <w:multiLevelType w:val="hybridMultilevel"/>
    <w:tmpl w:val="58DC75AA"/>
    <w:lvl w:ilvl="0" w:tplc="354272CE">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8BA036A"/>
    <w:multiLevelType w:val="hybridMultilevel"/>
    <w:tmpl w:val="F17258EA"/>
    <w:lvl w:ilvl="0" w:tplc="6F3A928E">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0A0C237A"/>
    <w:multiLevelType w:val="hybridMultilevel"/>
    <w:tmpl w:val="8B62C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893087"/>
    <w:multiLevelType w:val="hybridMultilevel"/>
    <w:tmpl w:val="C85CF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8C0A63"/>
    <w:multiLevelType w:val="hybridMultilevel"/>
    <w:tmpl w:val="49942B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B7B485B"/>
    <w:multiLevelType w:val="hybridMultilevel"/>
    <w:tmpl w:val="01986B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C7118DE"/>
    <w:multiLevelType w:val="hybridMultilevel"/>
    <w:tmpl w:val="540E13B0"/>
    <w:lvl w:ilvl="0" w:tplc="540EED46">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DF325E"/>
    <w:multiLevelType w:val="hybridMultilevel"/>
    <w:tmpl w:val="18F280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ED1660"/>
    <w:multiLevelType w:val="hybridMultilevel"/>
    <w:tmpl w:val="14D0F5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EB77A3"/>
    <w:multiLevelType w:val="hybridMultilevel"/>
    <w:tmpl w:val="FA180E14"/>
    <w:lvl w:ilvl="0" w:tplc="DBB8D37E">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3D2F6EFB"/>
    <w:multiLevelType w:val="hybridMultilevel"/>
    <w:tmpl w:val="C64CD3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E464E7B"/>
    <w:multiLevelType w:val="hybridMultilevel"/>
    <w:tmpl w:val="38628B58"/>
    <w:lvl w:ilvl="0" w:tplc="04070001">
      <w:start w:val="1"/>
      <w:numFmt w:val="bullet"/>
      <w:lvlText w:val=""/>
      <w:lvlJc w:val="left"/>
      <w:pPr>
        <w:ind w:left="2136" w:hanging="360"/>
      </w:pPr>
      <w:rPr>
        <w:rFonts w:ascii="Symbol" w:hAnsi="Symbol" w:hint="default"/>
      </w:rPr>
    </w:lvl>
    <w:lvl w:ilvl="1" w:tplc="FFFFFFFF" w:tentative="1">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14" w15:restartNumberingAfterBreak="0">
    <w:nsid w:val="42E3311D"/>
    <w:multiLevelType w:val="hybridMultilevel"/>
    <w:tmpl w:val="BCFCBA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D92292A"/>
    <w:multiLevelType w:val="hybridMultilevel"/>
    <w:tmpl w:val="F10629F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4EE66B4"/>
    <w:multiLevelType w:val="hybridMultilevel"/>
    <w:tmpl w:val="B6A0A002"/>
    <w:lvl w:ilvl="0" w:tplc="E4AC4B4C">
      <w:numFmt w:val="bullet"/>
      <w:lvlText w:val="-"/>
      <w:lvlJc w:val="left"/>
      <w:pPr>
        <w:ind w:left="1428" w:hanging="360"/>
      </w:pPr>
      <w:rPr>
        <w:rFonts w:ascii="Calibri" w:eastAsiaTheme="minorHAnsi" w:hAnsi="Calibri" w:cs="Calibri"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7" w15:restartNumberingAfterBreak="0">
    <w:nsid w:val="692E6094"/>
    <w:multiLevelType w:val="hybridMultilevel"/>
    <w:tmpl w:val="5A6EA58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AB31FB0"/>
    <w:multiLevelType w:val="hybridMultilevel"/>
    <w:tmpl w:val="D408EF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2EF0FC8"/>
    <w:multiLevelType w:val="hybridMultilevel"/>
    <w:tmpl w:val="E200C702"/>
    <w:lvl w:ilvl="0" w:tplc="BBAE85F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E86A50"/>
    <w:multiLevelType w:val="hybridMultilevel"/>
    <w:tmpl w:val="251024E2"/>
    <w:lvl w:ilvl="0" w:tplc="E4AC4B4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34554297">
    <w:abstractNumId w:val="17"/>
  </w:num>
  <w:num w:numId="2" w16cid:durableId="268586128">
    <w:abstractNumId w:val="0"/>
  </w:num>
  <w:num w:numId="3" w16cid:durableId="376588261">
    <w:abstractNumId w:val="20"/>
  </w:num>
  <w:num w:numId="4" w16cid:durableId="2099910739">
    <w:abstractNumId w:val="16"/>
  </w:num>
  <w:num w:numId="5" w16cid:durableId="1909800608">
    <w:abstractNumId w:val="3"/>
  </w:num>
  <w:num w:numId="6" w16cid:durableId="18822034">
    <w:abstractNumId w:val="13"/>
  </w:num>
  <w:num w:numId="7" w16cid:durableId="474420833">
    <w:abstractNumId w:val="10"/>
  </w:num>
  <w:num w:numId="8" w16cid:durableId="1738551529">
    <w:abstractNumId w:val="4"/>
  </w:num>
  <w:num w:numId="9" w16cid:durableId="1187519012">
    <w:abstractNumId w:val="5"/>
  </w:num>
  <w:num w:numId="10" w16cid:durableId="1827436149">
    <w:abstractNumId w:val="14"/>
  </w:num>
  <w:num w:numId="11" w16cid:durableId="799882354">
    <w:abstractNumId w:val="8"/>
  </w:num>
  <w:num w:numId="12" w16cid:durableId="1290865070">
    <w:abstractNumId w:val="15"/>
  </w:num>
  <w:num w:numId="13" w16cid:durableId="101146964">
    <w:abstractNumId w:val="9"/>
  </w:num>
  <w:num w:numId="14" w16cid:durableId="470296117">
    <w:abstractNumId w:val="2"/>
  </w:num>
  <w:num w:numId="15" w16cid:durableId="1755004843">
    <w:abstractNumId w:val="11"/>
  </w:num>
  <w:num w:numId="16" w16cid:durableId="1782652182">
    <w:abstractNumId w:val="1"/>
  </w:num>
  <w:num w:numId="17" w16cid:durableId="1382248938">
    <w:abstractNumId w:val="18"/>
  </w:num>
  <w:num w:numId="18" w16cid:durableId="7030588">
    <w:abstractNumId w:val="6"/>
  </w:num>
  <w:num w:numId="19" w16cid:durableId="485126012">
    <w:abstractNumId w:val="12"/>
  </w:num>
  <w:num w:numId="20" w16cid:durableId="17128851">
    <w:abstractNumId w:val="7"/>
  </w:num>
  <w:num w:numId="21" w16cid:durableId="19396038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FD4"/>
    <w:rsid w:val="00007607"/>
    <w:rsid w:val="00054F11"/>
    <w:rsid w:val="00090EAF"/>
    <w:rsid w:val="00096DEE"/>
    <w:rsid w:val="000D6C60"/>
    <w:rsid w:val="00101749"/>
    <w:rsid w:val="00120FD4"/>
    <w:rsid w:val="001B5780"/>
    <w:rsid w:val="001F1248"/>
    <w:rsid w:val="002651C3"/>
    <w:rsid w:val="00302A7B"/>
    <w:rsid w:val="003418AD"/>
    <w:rsid w:val="00341A72"/>
    <w:rsid w:val="003B078C"/>
    <w:rsid w:val="003B5C29"/>
    <w:rsid w:val="003D2728"/>
    <w:rsid w:val="003F4C1F"/>
    <w:rsid w:val="003F6926"/>
    <w:rsid w:val="004140DF"/>
    <w:rsid w:val="004265F9"/>
    <w:rsid w:val="00481EB2"/>
    <w:rsid w:val="00497D2D"/>
    <w:rsid w:val="004A0D58"/>
    <w:rsid w:val="004C26B8"/>
    <w:rsid w:val="004D3B20"/>
    <w:rsid w:val="005163FF"/>
    <w:rsid w:val="00535911"/>
    <w:rsid w:val="00536FFA"/>
    <w:rsid w:val="005742A1"/>
    <w:rsid w:val="005E6A3D"/>
    <w:rsid w:val="00612B13"/>
    <w:rsid w:val="006131CB"/>
    <w:rsid w:val="006342DC"/>
    <w:rsid w:val="006463D7"/>
    <w:rsid w:val="00656A55"/>
    <w:rsid w:val="007143B5"/>
    <w:rsid w:val="007164BB"/>
    <w:rsid w:val="00730195"/>
    <w:rsid w:val="00745CB8"/>
    <w:rsid w:val="00763498"/>
    <w:rsid w:val="007974B4"/>
    <w:rsid w:val="007977F8"/>
    <w:rsid w:val="007A4B7B"/>
    <w:rsid w:val="007B2D49"/>
    <w:rsid w:val="007C71E3"/>
    <w:rsid w:val="007D09EC"/>
    <w:rsid w:val="00804657"/>
    <w:rsid w:val="008142CE"/>
    <w:rsid w:val="00881A09"/>
    <w:rsid w:val="008C78C6"/>
    <w:rsid w:val="008D0A45"/>
    <w:rsid w:val="008D49E5"/>
    <w:rsid w:val="008F38B5"/>
    <w:rsid w:val="00902E95"/>
    <w:rsid w:val="00921306"/>
    <w:rsid w:val="00984D67"/>
    <w:rsid w:val="00A01108"/>
    <w:rsid w:val="00A04C3B"/>
    <w:rsid w:val="00A0643B"/>
    <w:rsid w:val="00A601A8"/>
    <w:rsid w:val="00A7469C"/>
    <w:rsid w:val="00A976A9"/>
    <w:rsid w:val="00AC69DE"/>
    <w:rsid w:val="00AD28C2"/>
    <w:rsid w:val="00AF28A4"/>
    <w:rsid w:val="00AF4B60"/>
    <w:rsid w:val="00B0362F"/>
    <w:rsid w:val="00BB2613"/>
    <w:rsid w:val="00C10850"/>
    <w:rsid w:val="00C52B75"/>
    <w:rsid w:val="00C61E75"/>
    <w:rsid w:val="00C67F5E"/>
    <w:rsid w:val="00CC4D9A"/>
    <w:rsid w:val="00D2441D"/>
    <w:rsid w:val="00D34689"/>
    <w:rsid w:val="00D3726C"/>
    <w:rsid w:val="00D4239F"/>
    <w:rsid w:val="00D47065"/>
    <w:rsid w:val="00D75D66"/>
    <w:rsid w:val="00D8474D"/>
    <w:rsid w:val="00DA7A50"/>
    <w:rsid w:val="00E00998"/>
    <w:rsid w:val="00E807AB"/>
    <w:rsid w:val="00EA1700"/>
    <w:rsid w:val="00F222F6"/>
    <w:rsid w:val="00F34948"/>
    <w:rsid w:val="00F43AEE"/>
    <w:rsid w:val="00F509FF"/>
    <w:rsid w:val="00FD1B1E"/>
    <w:rsid w:val="00FE564F"/>
    <w:rsid w:val="00FF5E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8B8DA5"/>
  <w15:chartTrackingRefBased/>
  <w15:docId w15:val="{309C392D-B7B8-47F2-B76F-4A6FCF869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69DE"/>
    <w:pPr>
      <w:jc w:val="both"/>
    </w:pPr>
  </w:style>
  <w:style w:type="paragraph" w:styleId="berschrift1">
    <w:name w:val="heading 1"/>
    <w:basedOn w:val="Standard"/>
    <w:next w:val="Standard"/>
    <w:link w:val="berschrift1Zchn"/>
    <w:uiPriority w:val="9"/>
    <w:qFormat/>
    <w:rsid w:val="00C61E75"/>
    <w:pPr>
      <w:keepNext/>
      <w:keepLines/>
      <w:numPr>
        <w:numId w:val="16"/>
      </w:numPr>
      <w:spacing w:before="240" w:after="0"/>
      <w:jc w:val="left"/>
      <w:outlineLvl w:val="0"/>
    </w:pPr>
    <w:rPr>
      <w:rFonts w:ascii="Cambria" w:eastAsiaTheme="majorEastAsia" w:hAnsi="Cambria" w:cstheme="majorBidi"/>
      <w:color w:val="0070C0"/>
      <w:sz w:val="28"/>
      <w:szCs w:val="32"/>
    </w:rPr>
  </w:style>
  <w:style w:type="paragraph" w:styleId="berschrift2">
    <w:name w:val="heading 2"/>
    <w:basedOn w:val="Standard"/>
    <w:next w:val="Standard"/>
    <w:link w:val="berschrift2Zchn"/>
    <w:uiPriority w:val="9"/>
    <w:unhideWhenUsed/>
    <w:qFormat/>
    <w:rsid w:val="00C61E75"/>
    <w:pPr>
      <w:keepNext/>
      <w:keepLines/>
      <w:numPr>
        <w:ilvl w:val="1"/>
        <w:numId w:val="16"/>
      </w:numPr>
      <w:spacing w:before="40" w:after="0"/>
      <w:jc w:val="left"/>
      <w:outlineLvl w:val="1"/>
    </w:pPr>
    <w:rPr>
      <w:rFonts w:ascii="Cambria" w:eastAsiaTheme="majorEastAsia" w:hAnsi="Cambria" w:cstheme="majorBidi"/>
      <w:color w:val="0070C0"/>
      <w:sz w:val="26"/>
      <w:szCs w:val="26"/>
    </w:rPr>
  </w:style>
  <w:style w:type="paragraph" w:styleId="berschrift3">
    <w:name w:val="heading 3"/>
    <w:basedOn w:val="Standard"/>
    <w:next w:val="Standard"/>
    <w:link w:val="berschrift3Zchn"/>
    <w:uiPriority w:val="9"/>
    <w:unhideWhenUsed/>
    <w:qFormat/>
    <w:rsid w:val="00054F11"/>
    <w:pPr>
      <w:keepNext/>
      <w:keepLines/>
      <w:numPr>
        <w:ilvl w:val="2"/>
        <w:numId w:val="16"/>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921306"/>
    <w:pPr>
      <w:keepNext/>
      <w:keepLines/>
      <w:numPr>
        <w:ilvl w:val="3"/>
        <w:numId w:val="16"/>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4140DF"/>
    <w:pPr>
      <w:keepNext/>
      <w:keepLines/>
      <w:numPr>
        <w:ilvl w:val="4"/>
        <w:numId w:val="16"/>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4140DF"/>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4140DF"/>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4140DF"/>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140DF"/>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61E75"/>
    <w:rPr>
      <w:rFonts w:ascii="Cambria" w:eastAsiaTheme="majorEastAsia" w:hAnsi="Cambria" w:cstheme="majorBidi"/>
      <w:color w:val="0070C0"/>
      <w:sz w:val="28"/>
      <w:szCs w:val="32"/>
    </w:rPr>
  </w:style>
  <w:style w:type="paragraph" w:styleId="Listenabsatz">
    <w:name w:val="List Paragraph"/>
    <w:aliases w:val="Nummerierung,Listenabsatz1"/>
    <w:basedOn w:val="Standard"/>
    <w:link w:val="ListenabsatzZchn"/>
    <w:uiPriority w:val="34"/>
    <w:qFormat/>
    <w:rsid w:val="00054F11"/>
    <w:pPr>
      <w:ind w:left="720"/>
      <w:contextualSpacing/>
    </w:pPr>
  </w:style>
  <w:style w:type="character" w:customStyle="1" w:styleId="berschrift2Zchn">
    <w:name w:val="Überschrift 2 Zchn"/>
    <w:basedOn w:val="Absatz-Standardschriftart"/>
    <w:link w:val="berschrift2"/>
    <w:uiPriority w:val="9"/>
    <w:rsid w:val="00C61E75"/>
    <w:rPr>
      <w:rFonts w:ascii="Cambria" w:eastAsiaTheme="majorEastAsia" w:hAnsi="Cambria" w:cstheme="majorBidi"/>
      <w:color w:val="0070C0"/>
      <w:sz w:val="26"/>
      <w:szCs w:val="26"/>
    </w:rPr>
  </w:style>
  <w:style w:type="paragraph" w:styleId="Funotentext">
    <w:name w:val="footnote text"/>
    <w:basedOn w:val="Standard"/>
    <w:link w:val="FunotentextZchn"/>
    <w:uiPriority w:val="99"/>
    <w:semiHidden/>
    <w:unhideWhenUsed/>
    <w:rsid w:val="00054F1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54F11"/>
    <w:rPr>
      <w:sz w:val="20"/>
      <w:szCs w:val="20"/>
    </w:rPr>
  </w:style>
  <w:style w:type="character" w:styleId="Funotenzeichen">
    <w:name w:val="footnote reference"/>
    <w:basedOn w:val="Absatz-Standardschriftart"/>
    <w:uiPriority w:val="99"/>
    <w:semiHidden/>
    <w:unhideWhenUsed/>
    <w:rsid w:val="00054F11"/>
    <w:rPr>
      <w:vertAlign w:val="superscript"/>
    </w:rPr>
  </w:style>
  <w:style w:type="character" w:customStyle="1" w:styleId="berschrift3Zchn">
    <w:name w:val="Überschrift 3 Zchn"/>
    <w:basedOn w:val="Absatz-Standardschriftart"/>
    <w:link w:val="berschrift3"/>
    <w:uiPriority w:val="9"/>
    <w:rsid w:val="00054F11"/>
    <w:rPr>
      <w:rFonts w:asciiTheme="majorHAnsi" w:eastAsiaTheme="majorEastAsia" w:hAnsiTheme="majorHAnsi" w:cstheme="majorBidi"/>
      <w:color w:val="1F3763" w:themeColor="accent1" w:themeShade="7F"/>
      <w:sz w:val="24"/>
      <w:szCs w:val="24"/>
    </w:rPr>
  </w:style>
  <w:style w:type="character" w:styleId="Hyperlink">
    <w:name w:val="Hyperlink"/>
    <w:basedOn w:val="Absatz-Standardschriftart"/>
    <w:uiPriority w:val="99"/>
    <w:unhideWhenUsed/>
    <w:rsid w:val="00A04C3B"/>
    <w:rPr>
      <w:color w:val="0563C1" w:themeColor="hyperlink"/>
      <w:u w:val="single"/>
    </w:rPr>
  </w:style>
  <w:style w:type="character" w:styleId="NichtaufgelsteErwhnung">
    <w:name w:val="Unresolved Mention"/>
    <w:basedOn w:val="Absatz-Standardschriftart"/>
    <w:uiPriority w:val="99"/>
    <w:semiHidden/>
    <w:unhideWhenUsed/>
    <w:rsid w:val="00A04C3B"/>
    <w:rPr>
      <w:color w:val="605E5C"/>
      <w:shd w:val="clear" w:color="auto" w:fill="E1DFDD"/>
    </w:rPr>
  </w:style>
  <w:style w:type="character" w:styleId="BesuchterLink">
    <w:name w:val="FollowedHyperlink"/>
    <w:basedOn w:val="Absatz-Standardschriftart"/>
    <w:uiPriority w:val="99"/>
    <w:semiHidden/>
    <w:unhideWhenUsed/>
    <w:rsid w:val="004A0D58"/>
    <w:rPr>
      <w:color w:val="954F72" w:themeColor="followedHyperlink"/>
      <w:u w:val="single"/>
    </w:rPr>
  </w:style>
  <w:style w:type="paragraph" w:styleId="Kopfzeile">
    <w:name w:val="header"/>
    <w:basedOn w:val="Standard"/>
    <w:link w:val="KopfzeileZchn"/>
    <w:uiPriority w:val="99"/>
    <w:unhideWhenUsed/>
    <w:rsid w:val="008142C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42CE"/>
  </w:style>
  <w:style w:type="paragraph" w:styleId="Fuzeile">
    <w:name w:val="footer"/>
    <w:basedOn w:val="Standard"/>
    <w:link w:val="FuzeileZchn"/>
    <w:uiPriority w:val="99"/>
    <w:unhideWhenUsed/>
    <w:rsid w:val="008142C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42CE"/>
  </w:style>
  <w:style w:type="character" w:customStyle="1" w:styleId="berschrift4Zchn">
    <w:name w:val="Überschrift 4 Zchn"/>
    <w:basedOn w:val="Absatz-Standardschriftart"/>
    <w:link w:val="berschrift4"/>
    <w:uiPriority w:val="9"/>
    <w:rsid w:val="00921306"/>
    <w:rPr>
      <w:rFonts w:asciiTheme="majorHAnsi" w:eastAsiaTheme="majorEastAsia" w:hAnsiTheme="majorHAnsi" w:cstheme="majorBidi"/>
      <w:i/>
      <w:iCs/>
      <w:color w:val="2F5496" w:themeColor="accent1" w:themeShade="BF"/>
    </w:rPr>
  </w:style>
  <w:style w:type="paragraph" w:styleId="Beschriftung">
    <w:name w:val="caption"/>
    <w:basedOn w:val="Standard"/>
    <w:next w:val="Standard"/>
    <w:uiPriority w:val="35"/>
    <w:unhideWhenUsed/>
    <w:qFormat/>
    <w:rsid w:val="000D6C60"/>
    <w:pPr>
      <w:spacing w:after="200" w:line="240" w:lineRule="auto"/>
    </w:pPr>
    <w:rPr>
      <w:iCs/>
      <w:color w:val="44546A" w:themeColor="text2"/>
      <w:sz w:val="18"/>
      <w:szCs w:val="18"/>
    </w:rPr>
  </w:style>
  <w:style w:type="paragraph" w:styleId="Titel">
    <w:name w:val="Title"/>
    <w:basedOn w:val="Standard"/>
    <w:next w:val="Standard"/>
    <w:link w:val="TitelZchn"/>
    <w:uiPriority w:val="10"/>
    <w:qFormat/>
    <w:rsid w:val="00090EAF"/>
    <w:pPr>
      <w:spacing w:after="0" w:line="240" w:lineRule="auto"/>
      <w:contextualSpacing/>
    </w:pPr>
    <w:rPr>
      <w:rFonts w:asciiTheme="majorHAnsi" w:eastAsiaTheme="majorEastAsia" w:hAnsiTheme="majorHAnsi" w:cstheme="majorBidi"/>
      <w:color w:val="0070C0"/>
      <w:spacing w:val="-10"/>
      <w:kern w:val="28"/>
      <w:sz w:val="56"/>
      <w:szCs w:val="56"/>
    </w:rPr>
  </w:style>
  <w:style w:type="character" w:customStyle="1" w:styleId="TitelZchn">
    <w:name w:val="Titel Zchn"/>
    <w:basedOn w:val="Absatz-Standardschriftart"/>
    <w:link w:val="Titel"/>
    <w:uiPriority w:val="10"/>
    <w:rsid w:val="00090EAF"/>
    <w:rPr>
      <w:rFonts w:asciiTheme="majorHAnsi" w:eastAsiaTheme="majorEastAsia" w:hAnsiTheme="majorHAnsi" w:cstheme="majorBidi"/>
      <w:color w:val="0070C0"/>
      <w:spacing w:val="-10"/>
      <w:kern w:val="28"/>
      <w:sz w:val="56"/>
      <w:szCs w:val="56"/>
    </w:rPr>
  </w:style>
  <w:style w:type="table" w:styleId="Tabellenraster">
    <w:name w:val="Table Grid"/>
    <w:basedOn w:val="NormaleTabelle"/>
    <w:uiPriority w:val="39"/>
    <w:rsid w:val="00414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nabsatzZchn">
    <w:name w:val="Listenabsatz Zchn"/>
    <w:aliases w:val="Nummerierung Zchn,Listenabsatz1 Zchn"/>
    <w:basedOn w:val="Absatz-Standardschriftart"/>
    <w:link w:val="Listenabsatz"/>
    <w:uiPriority w:val="34"/>
    <w:locked/>
    <w:rsid w:val="004140DF"/>
  </w:style>
  <w:style w:type="character" w:customStyle="1" w:styleId="berschrift5Zchn">
    <w:name w:val="Überschrift 5 Zchn"/>
    <w:basedOn w:val="Absatz-Standardschriftart"/>
    <w:link w:val="berschrift5"/>
    <w:uiPriority w:val="9"/>
    <w:semiHidden/>
    <w:rsid w:val="004140DF"/>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4140DF"/>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4140DF"/>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4140DF"/>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140DF"/>
    <w:rPr>
      <w:rFonts w:asciiTheme="majorHAnsi" w:eastAsiaTheme="majorEastAsia" w:hAnsiTheme="majorHAnsi" w:cstheme="majorBidi"/>
      <w:i/>
      <w:iCs/>
      <w:color w:val="272727" w:themeColor="text1" w:themeTint="D8"/>
      <w:sz w:val="21"/>
      <w:szCs w:val="21"/>
    </w:rPr>
  </w:style>
  <w:style w:type="paragraph" w:styleId="Verzeichnis1">
    <w:name w:val="toc 1"/>
    <w:basedOn w:val="Standard"/>
    <w:next w:val="Standard"/>
    <w:autoRedefine/>
    <w:uiPriority w:val="39"/>
    <w:unhideWhenUsed/>
    <w:rsid w:val="00CC4D9A"/>
    <w:pPr>
      <w:spacing w:before="120" w:after="0"/>
      <w:jc w:val="left"/>
    </w:pPr>
    <w:rPr>
      <w:rFonts w:cstheme="minorHAnsi"/>
      <w:b/>
      <w:bCs/>
      <w:iCs/>
      <w:sz w:val="24"/>
      <w:szCs w:val="24"/>
    </w:rPr>
  </w:style>
  <w:style w:type="paragraph" w:styleId="Verzeichnis2">
    <w:name w:val="toc 2"/>
    <w:basedOn w:val="Standard"/>
    <w:next w:val="Standard"/>
    <w:autoRedefine/>
    <w:uiPriority w:val="39"/>
    <w:unhideWhenUsed/>
    <w:rsid w:val="00CC4D9A"/>
    <w:pPr>
      <w:spacing w:before="120" w:after="0"/>
      <w:ind w:left="220"/>
      <w:jc w:val="left"/>
    </w:pPr>
    <w:rPr>
      <w:rFonts w:cstheme="minorHAnsi"/>
      <w:b/>
      <w:bCs/>
    </w:rPr>
  </w:style>
  <w:style w:type="paragraph" w:styleId="Verzeichnis3">
    <w:name w:val="toc 3"/>
    <w:basedOn w:val="Standard"/>
    <w:next w:val="Standard"/>
    <w:autoRedefine/>
    <w:uiPriority w:val="39"/>
    <w:unhideWhenUsed/>
    <w:rsid w:val="00CC4D9A"/>
    <w:pPr>
      <w:spacing w:after="0"/>
      <w:ind w:left="440"/>
      <w:jc w:val="left"/>
    </w:pPr>
    <w:rPr>
      <w:rFonts w:cstheme="minorHAnsi"/>
      <w:sz w:val="20"/>
      <w:szCs w:val="20"/>
    </w:rPr>
  </w:style>
  <w:style w:type="paragraph" w:styleId="Verzeichnis4">
    <w:name w:val="toc 4"/>
    <w:basedOn w:val="Standard"/>
    <w:next w:val="Standard"/>
    <w:autoRedefine/>
    <w:uiPriority w:val="39"/>
    <w:unhideWhenUsed/>
    <w:rsid w:val="00CC4D9A"/>
    <w:pPr>
      <w:spacing w:after="0"/>
      <w:ind w:left="660"/>
      <w:jc w:val="left"/>
    </w:pPr>
    <w:rPr>
      <w:rFonts w:cstheme="minorHAnsi"/>
      <w:sz w:val="20"/>
      <w:szCs w:val="20"/>
    </w:rPr>
  </w:style>
  <w:style w:type="paragraph" w:styleId="Verzeichnis5">
    <w:name w:val="toc 5"/>
    <w:basedOn w:val="Standard"/>
    <w:next w:val="Standard"/>
    <w:autoRedefine/>
    <w:uiPriority w:val="39"/>
    <w:unhideWhenUsed/>
    <w:rsid w:val="00CC4D9A"/>
    <w:pPr>
      <w:spacing w:after="0"/>
      <w:ind w:left="880"/>
      <w:jc w:val="left"/>
    </w:pPr>
    <w:rPr>
      <w:rFonts w:cstheme="minorHAnsi"/>
      <w:sz w:val="20"/>
      <w:szCs w:val="20"/>
    </w:rPr>
  </w:style>
  <w:style w:type="paragraph" w:styleId="Verzeichnis6">
    <w:name w:val="toc 6"/>
    <w:basedOn w:val="Standard"/>
    <w:next w:val="Standard"/>
    <w:autoRedefine/>
    <w:uiPriority w:val="39"/>
    <w:unhideWhenUsed/>
    <w:rsid w:val="00CC4D9A"/>
    <w:pPr>
      <w:spacing w:after="0"/>
      <w:ind w:left="1100"/>
      <w:jc w:val="left"/>
    </w:pPr>
    <w:rPr>
      <w:rFonts w:cstheme="minorHAnsi"/>
      <w:sz w:val="20"/>
      <w:szCs w:val="20"/>
    </w:rPr>
  </w:style>
  <w:style w:type="paragraph" w:styleId="Verzeichnis7">
    <w:name w:val="toc 7"/>
    <w:basedOn w:val="Standard"/>
    <w:next w:val="Standard"/>
    <w:autoRedefine/>
    <w:uiPriority w:val="39"/>
    <w:unhideWhenUsed/>
    <w:rsid w:val="00CC4D9A"/>
    <w:pPr>
      <w:spacing w:after="0"/>
      <w:ind w:left="1320"/>
      <w:jc w:val="left"/>
    </w:pPr>
    <w:rPr>
      <w:rFonts w:cstheme="minorHAnsi"/>
      <w:sz w:val="20"/>
      <w:szCs w:val="20"/>
    </w:rPr>
  </w:style>
  <w:style w:type="paragraph" w:styleId="Verzeichnis8">
    <w:name w:val="toc 8"/>
    <w:basedOn w:val="Standard"/>
    <w:next w:val="Standard"/>
    <w:autoRedefine/>
    <w:uiPriority w:val="39"/>
    <w:unhideWhenUsed/>
    <w:rsid w:val="00CC4D9A"/>
    <w:pPr>
      <w:spacing w:after="0"/>
      <w:ind w:left="1540"/>
      <w:jc w:val="left"/>
    </w:pPr>
    <w:rPr>
      <w:rFonts w:cstheme="minorHAnsi"/>
      <w:sz w:val="20"/>
      <w:szCs w:val="20"/>
    </w:rPr>
  </w:style>
  <w:style w:type="paragraph" w:styleId="Verzeichnis9">
    <w:name w:val="toc 9"/>
    <w:basedOn w:val="Standard"/>
    <w:next w:val="Standard"/>
    <w:autoRedefine/>
    <w:uiPriority w:val="39"/>
    <w:unhideWhenUsed/>
    <w:rsid w:val="00CC4D9A"/>
    <w:pPr>
      <w:spacing w:after="0"/>
      <w:ind w:left="1760"/>
      <w:jc w:val="left"/>
    </w:pPr>
    <w:rPr>
      <w:rFonts w:cstheme="minorHAnsi"/>
      <w:sz w:val="20"/>
      <w:szCs w:val="20"/>
    </w:rPr>
  </w:style>
  <w:style w:type="paragraph" w:styleId="berarbeitung">
    <w:name w:val="Revision"/>
    <w:hidden/>
    <w:uiPriority w:val="99"/>
    <w:semiHidden/>
    <w:rsid w:val="001F1248"/>
    <w:pPr>
      <w:spacing w:after="0" w:line="240" w:lineRule="auto"/>
    </w:pPr>
  </w:style>
  <w:style w:type="character" w:styleId="Kommentarzeichen">
    <w:name w:val="annotation reference"/>
    <w:basedOn w:val="Absatz-Standardschriftart"/>
    <w:uiPriority w:val="99"/>
    <w:semiHidden/>
    <w:unhideWhenUsed/>
    <w:rsid w:val="00536FFA"/>
    <w:rPr>
      <w:sz w:val="16"/>
      <w:szCs w:val="16"/>
    </w:rPr>
  </w:style>
  <w:style w:type="paragraph" w:styleId="Kommentartext">
    <w:name w:val="annotation text"/>
    <w:basedOn w:val="Standard"/>
    <w:link w:val="KommentartextZchn"/>
    <w:uiPriority w:val="99"/>
    <w:semiHidden/>
    <w:unhideWhenUsed/>
    <w:rsid w:val="00536FF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36FFA"/>
    <w:rPr>
      <w:sz w:val="20"/>
      <w:szCs w:val="20"/>
    </w:rPr>
  </w:style>
  <w:style w:type="paragraph" w:styleId="Kommentarthema">
    <w:name w:val="annotation subject"/>
    <w:basedOn w:val="Kommentartext"/>
    <w:next w:val="Kommentartext"/>
    <w:link w:val="KommentarthemaZchn"/>
    <w:uiPriority w:val="99"/>
    <w:semiHidden/>
    <w:unhideWhenUsed/>
    <w:rsid w:val="00536FFA"/>
    <w:rPr>
      <w:b/>
      <w:bCs/>
    </w:rPr>
  </w:style>
  <w:style w:type="character" w:customStyle="1" w:styleId="KommentarthemaZchn">
    <w:name w:val="Kommentarthema Zchn"/>
    <w:basedOn w:val="KommentartextZchn"/>
    <w:link w:val="Kommentarthema"/>
    <w:uiPriority w:val="99"/>
    <w:semiHidden/>
    <w:rsid w:val="00536F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4593">
      <w:bodyDiv w:val="1"/>
      <w:marLeft w:val="0"/>
      <w:marRight w:val="0"/>
      <w:marTop w:val="0"/>
      <w:marBottom w:val="0"/>
      <w:divBdr>
        <w:top w:val="none" w:sz="0" w:space="0" w:color="auto"/>
        <w:left w:val="none" w:sz="0" w:space="0" w:color="auto"/>
        <w:bottom w:val="none" w:sz="0" w:space="0" w:color="auto"/>
        <w:right w:val="none" w:sz="0" w:space="0" w:color="auto"/>
      </w:divBdr>
    </w:div>
    <w:div w:id="206067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4.0/legalcode.de" TargetMode="External"/><Relationship Id="rId18" Type="http://schemas.openxmlformats.org/officeDocument/2006/relationships/image" Target="media/image6.png"/><Relationship Id="rId26" Type="http://schemas.openxmlformats.org/officeDocument/2006/relationships/hyperlink" Target="https://iapp.org/resources/article/transfer-impact-assessment-templates/" TargetMode="External"/><Relationship Id="rId39" Type="http://schemas.openxmlformats.org/officeDocument/2006/relationships/theme" Target="theme/theme1.xml"/><Relationship Id="rId21" Type="http://schemas.openxmlformats.org/officeDocument/2006/relationships/hyperlink" Target="https://edpb.europa.eu/our-work-tools/our-documents/recommendations/recommendations-012020-measures-supplement-transfer_de"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creativecommons.org/licenses/by-sa/4.0/deed.de" TargetMode="External"/><Relationship Id="rId17" Type="http://schemas.openxmlformats.org/officeDocument/2006/relationships/image" Target="media/image5.png"/><Relationship Id="rId25" Type="http://schemas.openxmlformats.org/officeDocument/2006/relationships/hyperlink" Target="https://ico.org.uk/for-organisations/guide-to-data-protection/guide-to-the-general-data-protection-regulation-gdpr/international-data-transfer-agreement-and-guidance/transfer-risk-assessments/"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datenschutzkonferenz-online.de/media/weitere_dokumente/Kurzgutachten_Facebook-Fanpages_V1_1_clean.pdf" TargetMode="External"/><Relationship Id="rId29" Type="http://schemas.openxmlformats.org/officeDocument/2006/relationships/hyperlink" Target="https://www.datenschutzkonferenz-online.de/media/weitere_dokumente/Vladek_Rechtsgutachten_DSK_d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ico.org.uk/for-organisations/guide-to-data-protection/guide-to-the-general-data-protection-regulation-gdpr/international-data-transfer-agreement-and-guidance/" TargetMode="External"/><Relationship Id="rId32" Type="http://schemas.openxmlformats.org/officeDocument/2006/relationships/image" Target="media/image7.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gesundheitsdatenschutz.org/html/tia.php" TargetMode="External"/><Relationship Id="rId23" Type="http://schemas.openxmlformats.org/officeDocument/2006/relationships/hyperlink" Target="https://ico.org.uk/media/for-organisations/documents/2553993/dpia-template.docx" TargetMode="External"/><Relationship Id="rId28" Type="http://schemas.openxmlformats.org/officeDocument/2006/relationships/hyperlink" Target="https://www.dsb.gv.at/dam/jcr:c1eb937b-7527-450c-8771-74523b01223c/D155.027%20GA.pdf" TargetMode="External"/><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hyperlink" Target="https://www.bitkom.org/Bitkom/Publikationen/Verarbeitung-personenbezogener-Daten-Drittlaender" TargetMode="External"/><Relationship Id="rId31" Type="http://schemas.openxmlformats.org/officeDocument/2006/relationships/hyperlink" Target="https://edpb.europa.eu/our-work-tools/our-documents/legal-study-external-provider/legal-study-government-access-data-third_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ico.org.uk/for-organisations/guide-to-data-protection/guide-to-the-general-data-protection-regulation-gdpr/accountability-and-governance/data-protection-impact-assessments/" TargetMode="External"/><Relationship Id="rId27" Type="http://schemas.openxmlformats.org/officeDocument/2006/relationships/hyperlink" Target="https://learn.microsoft.com/en-us/compliance/regulatory/gdpr-data-protection-impact-assessments" TargetMode="External"/><Relationship Id="rId30" Type="http://schemas.openxmlformats.org/officeDocument/2006/relationships/hyperlink" Target="https://www.datenschutzkonferenz-online.de/media/weitere_dokumente/20220125_dsk_vladek.pdf" TargetMode="External"/><Relationship Id="rId35"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DE/TXT/HTML/?uri=CELEX:12012P/TXT&amp;from=DE" TargetMode="External"/><Relationship Id="rId13" Type="http://schemas.openxmlformats.org/officeDocument/2006/relationships/hyperlink" Target="https://ico.org.uk/for-organisations/guide-to-data-protection/guide-to-the-general-data-protection-regulation-gdpr/international-data-transfer-agreement-and-guidance/transfer-risk-assessments/" TargetMode="External"/><Relationship Id="rId3" Type="http://schemas.openxmlformats.org/officeDocument/2006/relationships/hyperlink" Target="https://curia.europa.eu/juris/document/document.jsf?text=&amp;docid=169195&amp;pageIndex=0&amp;doclang=DE&amp;mode=req&amp;dir=&amp;occ=first&amp;part=1" TargetMode="External"/><Relationship Id="rId7" Type="http://schemas.openxmlformats.org/officeDocument/2006/relationships/hyperlink" Target="https://eur-lex.europa.eu/legal-content/DE/TXT/HTML/?uri=CELEX:12012P/TXT&amp;from=DE" TargetMode="External"/><Relationship Id="rId12" Type="http://schemas.openxmlformats.org/officeDocument/2006/relationships/hyperlink" Target="https://ico.org.uk/for-organisations/guide-to-data-protection/guide-to-the-general-data-protection-regulation-gdpr/international-data-transfer-agreement-and-guidance/" TargetMode="External"/><Relationship Id="rId2" Type="http://schemas.openxmlformats.org/officeDocument/2006/relationships/hyperlink" Target="http://data.europa.eu/eli/treaty/tfeu_2012/oj" TargetMode="External"/><Relationship Id="rId16" Type="http://schemas.openxmlformats.org/officeDocument/2006/relationships/hyperlink" Target="https://support.microsoft.com/de-de/office/anzeigen-der-registerkarte-entwicklertools-e1192344-5e56-4d45-931b-e5fd9bea2d45" TargetMode="External"/><Relationship Id="rId1" Type="http://schemas.openxmlformats.org/officeDocument/2006/relationships/hyperlink" Target="https://eur-lex.europa.eu/legal-content/DE/ALL/?uri=CELEX:32011R0182" TargetMode="External"/><Relationship Id="rId6" Type="http://schemas.openxmlformats.org/officeDocument/2006/relationships/hyperlink" Target="https://curia.europa.eu/juris/document/document.jsf?text=&amp;docid=228677&amp;pageIndex=0&amp;doclang=DE&amp;mode=req&amp;dir=&amp;occ=first&amp;part=1" TargetMode="External"/><Relationship Id="rId11" Type="http://schemas.openxmlformats.org/officeDocument/2006/relationships/hyperlink" Target="https://ico.org.uk/media/for-organisations/documents/2553993/dpia-template.docx" TargetMode="External"/><Relationship Id="rId5" Type="http://schemas.openxmlformats.org/officeDocument/2006/relationships/hyperlink" Target="https://eur-lex.europa.eu/eli/dec_impl/2021/914/oj?locale=de&amp;uri=CELEX:32021D0914" TargetMode="External"/><Relationship Id="rId15" Type="http://schemas.openxmlformats.org/officeDocument/2006/relationships/hyperlink" Target="https://support.microsoft.com/de-de/topic/ein-potenziell-gef%C3%A4hrliches-makro-wurde-blockiert-0952faa0-37e7-4316-b61d-5b5ed6024216" TargetMode="External"/><Relationship Id="rId10" Type="http://schemas.openxmlformats.org/officeDocument/2006/relationships/hyperlink" Target="https://eur-lex.europa.eu/eli/dec_impl/2021/914/oj?locale=de&amp;uri=CELEX%3A32021D0914" TargetMode="External"/><Relationship Id="rId4" Type="http://schemas.openxmlformats.org/officeDocument/2006/relationships/hyperlink" Target="https://commission.europa.eu/law/law-topic/data-protection/international-dimension-data-protection/adequacy-decisions_en" TargetMode="External"/><Relationship Id="rId9" Type="http://schemas.openxmlformats.org/officeDocument/2006/relationships/hyperlink" Target="https://edpb.europa.eu/our-work-tools/our-documents/recommendations/recommendations-012020-measures-supplement-transfer_de" TargetMode="External"/><Relationship Id="rId14" Type="http://schemas.openxmlformats.org/officeDocument/2006/relationships/hyperlink" Target="https://creativecommons.org/licenses/by-sa/4.0/deed.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DB32F-A543-4794-9EB0-1252D5A11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6788</Words>
  <Characters>42766</Characters>
  <Application>Microsoft Office Word</Application>
  <DocSecurity>0</DocSecurity>
  <Lines>356</Lines>
  <Paragraphs>98</Paragraphs>
  <ScaleCrop>false</ScaleCrop>
  <HeadingPairs>
    <vt:vector size="2" baseType="variant">
      <vt:variant>
        <vt:lpstr>Titel</vt:lpstr>
      </vt:variant>
      <vt:variant>
        <vt:i4>1</vt:i4>
      </vt:variant>
    </vt:vector>
  </HeadingPairs>
  <TitlesOfParts>
    <vt:vector size="1" baseType="lpstr">
      <vt:lpstr>Datenverarbeitung in einem Drittland: Data Transfer Impact Assessment (TIA) – eine Einführung ins Thema</vt:lpstr>
    </vt:vector>
  </TitlesOfParts>
  <Company/>
  <LinksUpToDate>false</LinksUpToDate>
  <CharactersWithSpaces>49456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Datenverarbeitung in einem Drittland: Data Transfer Impact Assessment (TIA) – eine Einführung ins Thema</dc:title>
  <dc:subject>Datenschutzrechtliche Prüfung einer Drittland-Verarbeitung unter Berücksichtigung der Vorgaben der DS-GVO</dc:subject>
  <dc:creator>Dr. Bernd Schütze, Regina Mühlich</dc:creator>
  <cp:keywords>Drittland-Transfer, Transfer Impact Assessment, DS-GVO, EU-Grundrechtecharta</cp:keywords>
  <dc:description/>
  <cp:lastModifiedBy>Bernd Schütze</cp:lastModifiedBy>
  <cp:revision>8</cp:revision>
  <dcterms:created xsi:type="dcterms:W3CDTF">2023-04-13T09:19:00Z</dcterms:created>
  <dcterms:modified xsi:type="dcterms:W3CDTF">2023-04-14T05:35:00Z</dcterms:modified>
</cp:coreProperties>
</file>